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3BAB" w14:textId="77777777" w:rsidR="00BE5B55" w:rsidRPr="00526AD1" w:rsidRDefault="00BE5B55" w:rsidP="001E1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2ECF401" wp14:editId="5759748C">
            <wp:extent cx="5724525" cy="3067050"/>
            <wp:effectExtent l="19050" t="0" r="9525" b="0"/>
            <wp:docPr id="4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0E0B7" w14:textId="0AC262F7" w:rsidR="004E0535" w:rsidRDefault="00AD6CD9" w:rsidP="00AD6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Pula, 1</w:t>
      </w:r>
      <w:r w:rsidR="00C17F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C17F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49C544" w14:textId="77777777" w:rsidR="00AD6CD9" w:rsidRDefault="00AD6CD9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1940C" w14:textId="77777777" w:rsidR="00BE5B55" w:rsidRPr="00526AD1" w:rsidRDefault="00BE5B5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 xml:space="preserve">GRAD PULA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>POLA</w:t>
      </w:r>
    </w:p>
    <w:p w14:paraId="6D398219" w14:textId="77777777" w:rsidR="00BE5B55" w:rsidRDefault="00BE5B5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  <w:r w:rsidR="001E12E2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="001E12E2" w:rsidRPr="00526AD1">
        <w:rPr>
          <w:rFonts w:ascii="Times New Roman" w:hAnsi="Times New Roman" w:cs="Times New Roman"/>
          <w:b/>
          <w:sz w:val="24"/>
          <w:szCs w:val="24"/>
        </w:rPr>
        <w:t xml:space="preserve"> razina 22</w:t>
      </w:r>
    </w:p>
    <w:p w14:paraId="5240EEF2" w14:textId="77777777" w:rsidR="004E0535" w:rsidRPr="00526AD1" w:rsidRDefault="004E053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754"/>
        <w:tblW w:w="9235" w:type="dxa"/>
        <w:tblLook w:val="04A0" w:firstRow="1" w:lastRow="0" w:firstColumn="1" w:lastColumn="0" w:noHBand="0" w:noVBand="1"/>
      </w:tblPr>
      <w:tblGrid>
        <w:gridCol w:w="1520"/>
        <w:gridCol w:w="1106"/>
        <w:gridCol w:w="1848"/>
        <w:gridCol w:w="444"/>
        <w:gridCol w:w="1815"/>
        <w:gridCol w:w="2502"/>
      </w:tblGrid>
      <w:tr w:rsidR="00AD6CD9" w:rsidRPr="00526AD1" w14:paraId="32B31FDE" w14:textId="77777777" w:rsidTr="005C69B0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891E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Broj RKP-a: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B67F726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34813</w:t>
            </w:r>
          </w:p>
        </w:tc>
        <w:tc>
          <w:tcPr>
            <w:tcW w:w="6609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14FEF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  <w:p w14:paraId="01E46995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 </w:t>
            </w:r>
          </w:p>
        </w:tc>
      </w:tr>
      <w:tr w:rsidR="00AD6CD9" w:rsidRPr="00526AD1" w14:paraId="5C100DF2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5DF8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Matični broj: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53C72B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02539560</w:t>
            </w:r>
          </w:p>
        </w:tc>
        <w:tc>
          <w:tcPr>
            <w:tcW w:w="6609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C6875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32FFE" w:rsidRPr="00526AD1" w14:paraId="3D051590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E30A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Naziv obveznika: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59E694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7DA1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Od datuma: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B3565E" w14:textId="5585FFF4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1.1.20</w:t>
            </w:r>
            <w:r w:rsidR="0018557A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20</w:t>
            </w:r>
          </w:p>
        </w:tc>
      </w:tr>
      <w:tr w:rsidR="00AD6CD9" w:rsidRPr="00526AD1" w14:paraId="6217D14D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FEBF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Pošta i mjesto: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F19929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52100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38DA771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62F6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20BA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Do datuma: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B6639A" w14:textId="311DB021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31.12.20</w:t>
            </w:r>
            <w:r w:rsidR="0018557A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20</w:t>
            </w:r>
          </w:p>
        </w:tc>
      </w:tr>
      <w:tr w:rsidR="00AD6CD9" w:rsidRPr="00526AD1" w14:paraId="316587DE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6651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Ulica i kućni broj: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DF3081F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FORUM 1</w:t>
            </w:r>
          </w:p>
        </w:tc>
        <w:tc>
          <w:tcPr>
            <w:tcW w:w="4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46CF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9DB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OIB: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B406B6A" w14:textId="77777777"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79517841355</w:t>
            </w:r>
          </w:p>
        </w:tc>
      </w:tr>
      <w:tr w:rsidR="00E32FFE" w:rsidRPr="00526AD1" w14:paraId="0A0E356C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8A2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Razina: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2FAF2E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0579F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E32FFE" w:rsidRPr="00526AD1" w14:paraId="449C2BF6" w14:textId="77777777" w:rsidTr="005C69B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2EB9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Šifra djelatnosti: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215BC8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8411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AC2B2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Opće djelatnosti javne uprave</w:t>
            </w:r>
          </w:p>
        </w:tc>
      </w:tr>
      <w:tr w:rsidR="00E32FFE" w:rsidRPr="00526AD1" w14:paraId="5838E13C" w14:textId="77777777" w:rsidTr="005C69B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5B9A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Šifra grada/</w:t>
            </w:r>
            <w:proofErr w:type="spellStart"/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opć</w:t>
            </w:r>
            <w:proofErr w:type="spellEnd"/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79F79E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359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D259D" w14:textId="77777777"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</w:tbl>
    <w:p w14:paraId="1925958A" w14:textId="6AAB8E40" w:rsidR="003A7BA0" w:rsidRDefault="00A71598" w:rsidP="008209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Grad Pula je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dana 01.01.2012. godine uveo Lokalnu riznicu za sve svoje proračunske korisnike. </w:t>
      </w:r>
      <w:r w:rsidR="0005683A" w:rsidRPr="00526AD1">
        <w:rPr>
          <w:rFonts w:ascii="Times New Roman" w:hAnsi="Times New Roman" w:cs="Times New Roman"/>
          <w:sz w:val="24"/>
          <w:szCs w:val="24"/>
        </w:rPr>
        <w:t>Žiro računi p</w:t>
      </w:r>
      <w:r w:rsidR="00785CE8" w:rsidRPr="00526AD1">
        <w:rPr>
          <w:rFonts w:ascii="Times New Roman" w:hAnsi="Times New Roman" w:cs="Times New Roman"/>
          <w:sz w:val="24"/>
          <w:szCs w:val="24"/>
        </w:rPr>
        <w:t>roračunski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h korisnika zatvoreni su </w:t>
      </w:r>
      <w:r w:rsidR="00744C26">
        <w:rPr>
          <w:rFonts w:ascii="Times New Roman" w:hAnsi="Times New Roman" w:cs="Times New Roman"/>
          <w:sz w:val="24"/>
          <w:szCs w:val="24"/>
        </w:rPr>
        <w:t xml:space="preserve">krajem </w:t>
      </w:r>
      <w:r w:rsidR="0005683A" w:rsidRPr="00526AD1">
        <w:rPr>
          <w:rFonts w:ascii="Times New Roman" w:hAnsi="Times New Roman" w:cs="Times New Roman"/>
          <w:sz w:val="24"/>
          <w:szCs w:val="24"/>
        </w:rPr>
        <w:t>2011. godine, a cjelokupno financijsko poslovanje obavlja se putem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jedinstvenog žiro računa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Grada Pule</w:t>
      </w:r>
      <w:r w:rsidR="00785CE8" w:rsidRPr="00526AD1">
        <w:rPr>
          <w:rFonts w:ascii="Times New Roman" w:hAnsi="Times New Roman" w:cs="Times New Roman"/>
          <w:sz w:val="24"/>
          <w:szCs w:val="24"/>
        </w:rPr>
        <w:t>.</w:t>
      </w:r>
      <w:r w:rsidR="001E12E2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785CE8" w:rsidRPr="00526AD1">
        <w:rPr>
          <w:rFonts w:ascii="Times New Roman" w:hAnsi="Times New Roman" w:cs="Times New Roman"/>
          <w:sz w:val="24"/>
          <w:szCs w:val="24"/>
        </w:rPr>
        <w:t>Na dan 31.12.</w:t>
      </w:r>
      <w:r w:rsidR="003C20C6">
        <w:rPr>
          <w:rFonts w:ascii="Times New Roman" w:hAnsi="Times New Roman" w:cs="Times New Roman"/>
          <w:sz w:val="24"/>
          <w:szCs w:val="24"/>
        </w:rPr>
        <w:t>20</w:t>
      </w:r>
      <w:r w:rsidR="00A4222A">
        <w:rPr>
          <w:rFonts w:ascii="Times New Roman" w:hAnsi="Times New Roman" w:cs="Times New Roman"/>
          <w:sz w:val="24"/>
          <w:szCs w:val="24"/>
        </w:rPr>
        <w:t>20</w:t>
      </w:r>
      <w:r w:rsidR="003C20C6">
        <w:rPr>
          <w:rFonts w:ascii="Times New Roman" w:hAnsi="Times New Roman" w:cs="Times New Roman"/>
          <w:sz w:val="24"/>
          <w:szCs w:val="24"/>
        </w:rPr>
        <w:t>.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godine p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roračunski korisnici Grada Pule jesu: Istarsko narodno kazalište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Gradsko kazalište Pula, Gradska knjižnica i čitaonica Pula, </w:t>
      </w:r>
      <w:r w:rsidR="007E5C9B" w:rsidRPr="00526AD1">
        <w:rPr>
          <w:rFonts w:ascii="Times New Roman" w:hAnsi="Times New Roman" w:cs="Times New Roman"/>
          <w:sz w:val="24"/>
          <w:szCs w:val="24"/>
        </w:rPr>
        <w:t>DV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Pula,</w:t>
      </w:r>
      <w:r w:rsidR="007E5C9B" w:rsidRPr="00526AD1">
        <w:rPr>
          <w:rFonts w:ascii="Times New Roman" w:hAnsi="Times New Roman" w:cs="Times New Roman"/>
          <w:sz w:val="24"/>
          <w:szCs w:val="24"/>
        </w:rPr>
        <w:t xml:space="preserve"> DV Mali Svijet,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DV </w:t>
      </w:r>
      <w:proofErr w:type="spellStart"/>
      <w:r w:rsidR="00785CE8" w:rsidRPr="00526AD1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="00785CE8" w:rsidRPr="00526AD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785CE8" w:rsidRPr="00526AD1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="00785CE8" w:rsidRPr="00526AD1">
        <w:rPr>
          <w:rFonts w:ascii="Times New Roman" w:hAnsi="Times New Roman" w:cs="Times New Roman"/>
          <w:sz w:val="24"/>
          <w:szCs w:val="24"/>
        </w:rPr>
        <w:t xml:space="preserve"> Pula, Javna vatrogasna postrojba Pula, Dnevni centar za rehabilitaciju Veruda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Pula, Osnovne škole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na području grada Pule</w:t>
      </w:r>
      <w:r w:rsidR="00785CE8" w:rsidRPr="00526AD1">
        <w:rPr>
          <w:rFonts w:ascii="Times New Roman" w:hAnsi="Times New Roman" w:cs="Times New Roman"/>
          <w:sz w:val="24"/>
          <w:szCs w:val="24"/>
        </w:rPr>
        <w:t>, Mjesni odbori te Vijeća nacionalnih manjina na području grada Pule.</w:t>
      </w:r>
    </w:p>
    <w:p w14:paraId="51E68156" w14:textId="77777777" w:rsidR="00A02CC6" w:rsidRDefault="00A02CC6" w:rsidP="008209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FC8E8C" w14:textId="77777777" w:rsidR="00BC3606" w:rsidRPr="00526AD1" w:rsidRDefault="005843AE" w:rsidP="005C6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lastRenderedPageBreak/>
        <w:t>Obrazac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/>
          <w:sz w:val="24"/>
          <w:szCs w:val="24"/>
        </w:rPr>
        <w:t>PR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>RAS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Izvještaj o prihodima i rashodima, primicima i izdacima</w:t>
      </w:r>
    </w:p>
    <w:p w14:paraId="7DF53D37" w14:textId="44D96E04" w:rsidR="00E95A49" w:rsidRDefault="005843AE" w:rsidP="00A02CC6">
      <w:pPr>
        <w:pStyle w:val="Style20"/>
        <w:widowControl/>
        <w:tabs>
          <w:tab w:val="center" w:pos="4819"/>
        </w:tabs>
        <w:spacing w:line="276" w:lineRule="auto"/>
        <w:contextualSpacing/>
        <w:rPr>
          <w:rFonts w:ascii="Times New Roman" w:hAnsi="Times New Roman" w:cs="Times New Roman"/>
          <w:b/>
        </w:rPr>
      </w:pPr>
      <w:r w:rsidRPr="0094430F">
        <w:rPr>
          <w:rFonts w:ascii="Times New Roman" w:hAnsi="Times New Roman" w:cs="Times New Roman"/>
          <w:b/>
        </w:rPr>
        <w:t>BILJEŠKA br</w:t>
      </w:r>
      <w:r w:rsidR="00BE5B55" w:rsidRPr="0094430F">
        <w:rPr>
          <w:rFonts w:ascii="Times New Roman" w:hAnsi="Times New Roman" w:cs="Times New Roman"/>
          <w:b/>
        </w:rPr>
        <w:t>. 1</w:t>
      </w:r>
    </w:p>
    <w:p w14:paraId="0CE366DD" w14:textId="77777777" w:rsidR="00A71598" w:rsidRPr="00526AD1" w:rsidRDefault="008C5303" w:rsidP="00A02CC6">
      <w:pPr>
        <w:pStyle w:val="Style20"/>
        <w:widowControl/>
        <w:tabs>
          <w:tab w:val="center" w:pos="4819"/>
        </w:tabs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</w:rPr>
        <w:t>R</w:t>
      </w:r>
      <w:r w:rsidR="00174DBB" w:rsidRPr="00526AD1">
        <w:rPr>
          <w:rFonts w:ascii="Times New Roman" w:hAnsi="Times New Roman" w:cs="Times New Roman"/>
        </w:rPr>
        <w:t xml:space="preserve">azina 22 izvještavanja </w:t>
      </w:r>
      <w:r w:rsidR="00BE5B55" w:rsidRPr="00526AD1">
        <w:rPr>
          <w:rFonts w:ascii="Times New Roman" w:hAnsi="Times New Roman" w:cs="Times New Roman"/>
        </w:rPr>
        <w:t>propisuje da obrazac PR</w:t>
      </w:r>
      <w:r w:rsidR="003A7E83" w:rsidRPr="00526AD1">
        <w:rPr>
          <w:rFonts w:ascii="Times New Roman" w:hAnsi="Times New Roman" w:cs="Times New Roman"/>
        </w:rPr>
        <w:t>-</w:t>
      </w:r>
      <w:r w:rsidR="00BE5B55" w:rsidRPr="00526AD1">
        <w:rPr>
          <w:rFonts w:ascii="Times New Roman" w:hAnsi="Times New Roman" w:cs="Times New Roman"/>
        </w:rPr>
        <w:t>RAS treba obuhvatiti prihode i primitke te rashode i izdatke proračuna, uključujući plaćene rashode korisnika koji se financiraju iz prihoda i primitaka proračuna. Ovaj izvještaj ne uključuje vlastite i namjenske prihode i primitke proračunskih korisnika te rashode i izdatke koji se financiraju iz navedenih prihoda i primitaka.</w:t>
      </w:r>
    </w:p>
    <w:p w14:paraId="626630BE" w14:textId="77777777"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568DCB7" w14:textId="645E6193" w:rsidR="00743410" w:rsidRPr="00526AD1" w:rsidRDefault="00743410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94430F">
        <w:rPr>
          <w:rFonts w:ascii="Times New Roman" w:hAnsi="Times New Roman" w:cs="Times New Roman"/>
          <w:b/>
        </w:rPr>
        <w:t xml:space="preserve">BILJEŠKA br. </w:t>
      </w:r>
      <w:r w:rsidR="00BE5B55" w:rsidRPr="0094430F">
        <w:rPr>
          <w:rFonts w:ascii="Times New Roman" w:hAnsi="Times New Roman" w:cs="Times New Roman"/>
          <w:b/>
        </w:rPr>
        <w:t>2</w:t>
      </w:r>
    </w:p>
    <w:p w14:paraId="3DBA69AC" w14:textId="27829474" w:rsidR="00743410" w:rsidRDefault="00743410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Prihodi poslovanja</w:t>
      </w:r>
    </w:p>
    <w:p w14:paraId="5785F93C" w14:textId="77777777" w:rsidR="008C15DE" w:rsidRDefault="008C15DE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812"/>
        <w:gridCol w:w="554"/>
        <w:gridCol w:w="1252"/>
        <w:gridCol w:w="1157"/>
        <w:gridCol w:w="679"/>
        <w:gridCol w:w="1115"/>
      </w:tblGrid>
      <w:tr w:rsidR="00A4222A" w:rsidRPr="00B93E3E" w14:paraId="7375DF0B" w14:textId="77777777" w:rsidTr="005C69B0">
        <w:trPr>
          <w:trHeight w:val="525"/>
          <w:jc w:val="center"/>
        </w:trPr>
        <w:tc>
          <w:tcPr>
            <w:tcW w:w="827" w:type="dxa"/>
            <w:vMerge w:val="restart"/>
            <w:shd w:val="clear" w:color="auto" w:fill="DBE5F1" w:themeFill="accent1" w:themeFillTint="33"/>
            <w:vAlign w:val="center"/>
            <w:hideMark/>
          </w:tcPr>
          <w:p w14:paraId="33DCC01D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 / Skupina</w:t>
            </w:r>
          </w:p>
        </w:tc>
        <w:tc>
          <w:tcPr>
            <w:tcW w:w="381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6C2D8AD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5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FF2AE7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52" w:type="dxa"/>
            <w:vMerge w:val="restart"/>
            <w:shd w:val="clear" w:color="auto" w:fill="DBE5F1" w:themeFill="accent1" w:themeFillTint="33"/>
            <w:vAlign w:val="center"/>
            <w:hideMark/>
          </w:tcPr>
          <w:p w14:paraId="371DD9C1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157" w:type="dxa"/>
            <w:vMerge w:val="restart"/>
            <w:shd w:val="clear" w:color="auto" w:fill="DBE5F1" w:themeFill="accent1" w:themeFillTint="33"/>
            <w:vAlign w:val="center"/>
            <w:hideMark/>
          </w:tcPr>
          <w:p w14:paraId="0F378214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679" w:type="dxa"/>
            <w:vMerge w:val="restart"/>
            <w:shd w:val="clear" w:color="auto" w:fill="DBE5F1" w:themeFill="accent1" w:themeFillTint="33"/>
            <w:vAlign w:val="center"/>
            <w:hideMark/>
          </w:tcPr>
          <w:p w14:paraId="5F85FF3F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 (5/4)</w:t>
            </w:r>
          </w:p>
        </w:tc>
        <w:tc>
          <w:tcPr>
            <w:tcW w:w="1115" w:type="dxa"/>
            <w:vMerge w:val="restart"/>
            <w:shd w:val="clear" w:color="auto" w:fill="DBE5F1" w:themeFill="accent1" w:themeFillTint="33"/>
            <w:vAlign w:val="center"/>
            <w:hideMark/>
          </w:tcPr>
          <w:p w14:paraId="329E06C1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A4222A" w:rsidRPr="00B93E3E" w14:paraId="148F271A" w14:textId="77777777" w:rsidTr="005C69B0">
        <w:trPr>
          <w:trHeight w:val="420"/>
          <w:jc w:val="center"/>
        </w:trPr>
        <w:tc>
          <w:tcPr>
            <w:tcW w:w="827" w:type="dxa"/>
            <w:vMerge/>
            <w:shd w:val="clear" w:color="auto" w:fill="DBE5F1" w:themeFill="accent1" w:themeFillTint="33"/>
            <w:vAlign w:val="center"/>
            <w:hideMark/>
          </w:tcPr>
          <w:p w14:paraId="0BFAAD66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812" w:type="dxa"/>
            <w:vMerge/>
            <w:shd w:val="clear" w:color="auto" w:fill="DBE5F1" w:themeFill="accent1" w:themeFillTint="33"/>
            <w:vAlign w:val="center"/>
            <w:hideMark/>
          </w:tcPr>
          <w:p w14:paraId="2ADAD409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4" w:type="dxa"/>
            <w:vMerge/>
            <w:shd w:val="clear" w:color="auto" w:fill="DBE5F1" w:themeFill="accent1" w:themeFillTint="33"/>
            <w:vAlign w:val="center"/>
            <w:hideMark/>
          </w:tcPr>
          <w:p w14:paraId="280516AB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Merge/>
            <w:shd w:val="clear" w:color="auto" w:fill="DBE5F1" w:themeFill="accent1" w:themeFillTint="33"/>
            <w:vAlign w:val="center"/>
            <w:hideMark/>
          </w:tcPr>
          <w:p w14:paraId="664356D7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57" w:type="dxa"/>
            <w:vMerge/>
            <w:shd w:val="clear" w:color="auto" w:fill="DBE5F1" w:themeFill="accent1" w:themeFillTint="33"/>
            <w:vAlign w:val="center"/>
            <w:hideMark/>
          </w:tcPr>
          <w:p w14:paraId="40676334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9" w:type="dxa"/>
            <w:vMerge/>
            <w:shd w:val="clear" w:color="auto" w:fill="DBE5F1" w:themeFill="accent1" w:themeFillTint="33"/>
            <w:vAlign w:val="center"/>
            <w:hideMark/>
          </w:tcPr>
          <w:p w14:paraId="59558759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5" w:type="dxa"/>
            <w:vMerge/>
            <w:shd w:val="clear" w:color="auto" w:fill="DBE5F1" w:themeFill="accent1" w:themeFillTint="33"/>
            <w:vAlign w:val="center"/>
            <w:hideMark/>
          </w:tcPr>
          <w:p w14:paraId="413649C8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A4222A" w:rsidRPr="00B93E3E" w14:paraId="78609593" w14:textId="77777777" w:rsidTr="005C69B0">
        <w:trPr>
          <w:trHeight w:val="255"/>
          <w:jc w:val="center"/>
        </w:trPr>
        <w:tc>
          <w:tcPr>
            <w:tcW w:w="827" w:type="dxa"/>
            <w:shd w:val="clear" w:color="auto" w:fill="B8CCE4" w:themeFill="accent1" w:themeFillTint="66"/>
            <w:vAlign w:val="center"/>
            <w:hideMark/>
          </w:tcPr>
          <w:p w14:paraId="52DBDB00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12" w:type="dxa"/>
            <w:shd w:val="clear" w:color="auto" w:fill="B8CCE4" w:themeFill="accent1" w:themeFillTint="66"/>
            <w:noWrap/>
            <w:vAlign w:val="center"/>
            <w:hideMark/>
          </w:tcPr>
          <w:p w14:paraId="576D5E93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dxa"/>
            <w:shd w:val="clear" w:color="auto" w:fill="B8CCE4" w:themeFill="accent1" w:themeFillTint="66"/>
            <w:noWrap/>
            <w:vAlign w:val="center"/>
            <w:hideMark/>
          </w:tcPr>
          <w:p w14:paraId="19D2037F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52" w:type="dxa"/>
            <w:shd w:val="clear" w:color="auto" w:fill="B8CCE4" w:themeFill="accent1" w:themeFillTint="66"/>
            <w:noWrap/>
            <w:vAlign w:val="center"/>
            <w:hideMark/>
          </w:tcPr>
          <w:p w14:paraId="28DCEDAA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57" w:type="dxa"/>
            <w:shd w:val="clear" w:color="auto" w:fill="B8CCE4" w:themeFill="accent1" w:themeFillTint="66"/>
            <w:vAlign w:val="center"/>
            <w:hideMark/>
          </w:tcPr>
          <w:p w14:paraId="3E965405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79" w:type="dxa"/>
            <w:shd w:val="clear" w:color="auto" w:fill="B8CCE4" w:themeFill="accent1" w:themeFillTint="66"/>
            <w:vAlign w:val="center"/>
            <w:hideMark/>
          </w:tcPr>
          <w:p w14:paraId="282225AD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15" w:type="dxa"/>
            <w:shd w:val="clear" w:color="auto" w:fill="B8CCE4" w:themeFill="accent1" w:themeFillTint="66"/>
            <w:vAlign w:val="center"/>
            <w:hideMark/>
          </w:tcPr>
          <w:p w14:paraId="410C19DE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5-6</w:t>
            </w:r>
          </w:p>
        </w:tc>
      </w:tr>
      <w:tr w:rsidR="00A4222A" w:rsidRPr="00B93E3E" w14:paraId="18F31D1B" w14:textId="77777777" w:rsidTr="005C69B0">
        <w:trPr>
          <w:trHeight w:val="25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2C572157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5A6C0AD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93A7DEC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3FD8EB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164.727.079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5159D7DA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141.550.126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B54F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85,9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BCAA636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-23.176.953</w:t>
            </w:r>
          </w:p>
        </w:tc>
      </w:tr>
      <w:tr w:rsidR="00A4222A" w:rsidRPr="00B93E3E" w14:paraId="63DE9A59" w14:textId="77777777" w:rsidTr="005C69B0">
        <w:trPr>
          <w:trHeight w:val="46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41B0559F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4D1932C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707D3BB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252711F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21.042.926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4FCA70FA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29.488.622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D01EF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140,1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F2002DF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8.445.696</w:t>
            </w:r>
          </w:p>
        </w:tc>
      </w:tr>
      <w:tr w:rsidR="00A4222A" w:rsidRPr="00B93E3E" w14:paraId="0590EB59" w14:textId="77777777" w:rsidTr="005C69B0">
        <w:trPr>
          <w:trHeight w:val="25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6DD424F1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E9A1EDE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Prihodi od imovine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99F2B72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A52BDE8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29.400.572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034C531D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26.642.139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1D2D3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90,6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45D75B9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-2.758.433</w:t>
            </w:r>
          </w:p>
        </w:tc>
      </w:tr>
      <w:tr w:rsidR="00A4222A" w:rsidRPr="00B93E3E" w14:paraId="3F832A8F" w14:textId="77777777" w:rsidTr="005C69B0">
        <w:trPr>
          <w:trHeight w:val="46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23A15E2C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0A6713D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Prihodi od upravnih i administrativnih  pristojbi, pristojbi po posebnim propisima i naknada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C52EDEE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47E82D9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73.690.899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646EBDCC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79.981.514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74201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108,5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D00CCAF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6.290.615</w:t>
            </w:r>
          </w:p>
        </w:tc>
      </w:tr>
      <w:tr w:rsidR="00A4222A" w:rsidRPr="00B93E3E" w14:paraId="70661CE9" w14:textId="77777777" w:rsidTr="005C69B0">
        <w:trPr>
          <w:trHeight w:val="46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26048824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16E79EE7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Prihodi od prodaje proizvoda i robe te </w:t>
            </w:r>
            <w:proofErr w:type="spellStart"/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pruž</w:t>
            </w:r>
            <w:proofErr w:type="spellEnd"/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. usluga i prihodi od donacija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EC7C4E1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0D8D815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1.412.344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9E6907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1.920.801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421D13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136,0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C621994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508.457</w:t>
            </w:r>
          </w:p>
        </w:tc>
      </w:tr>
      <w:tr w:rsidR="00A4222A" w:rsidRPr="00B93E3E" w14:paraId="43D796E1" w14:textId="77777777" w:rsidTr="005C69B0">
        <w:trPr>
          <w:trHeight w:val="255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186FF9DA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1AD0E68E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Kazne, upravne mjere i ostali prihodi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B299E91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6B4F75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1.388.598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4782B10E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1.725.019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CF531A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124,2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BB417A9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336.421</w:t>
            </w:r>
          </w:p>
        </w:tc>
      </w:tr>
      <w:tr w:rsidR="00A4222A" w:rsidRPr="00B93E3E" w14:paraId="2C24B96E" w14:textId="77777777" w:rsidTr="005C69B0">
        <w:trPr>
          <w:trHeight w:val="315"/>
          <w:jc w:val="center"/>
        </w:trPr>
        <w:tc>
          <w:tcPr>
            <w:tcW w:w="827" w:type="dxa"/>
            <w:shd w:val="clear" w:color="auto" w:fill="DBE5F1" w:themeFill="accent1" w:themeFillTint="33"/>
            <w:vAlign w:val="center"/>
            <w:hideMark/>
          </w:tcPr>
          <w:p w14:paraId="40C40C6E" w14:textId="77777777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812" w:type="dxa"/>
            <w:shd w:val="clear" w:color="auto" w:fill="DBE5F1" w:themeFill="accent1" w:themeFillTint="33"/>
            <w:vAlign w:val="center"/>
            <w:hideMark/>
          </w:tcPr>
          <w:p w14:paraId="3C1DB7DF" w14:textId="77777777" w:rsidR="00A4222A" w:rsidRPr="00B93E3E" w:rsidRDefault="00A4222A" w:rsidP="0054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554" w:type="dxa"/>
            <w:shd w:val="clear" w:color="auto" w:fill="DBE5F1" w:themeFill="accent1" w:themeFillTint="33"/>
            <w:vAlign w:val="center"/>
            <w:hideMark/>
          </w:tcPr>
          <w:p w14:paraId="5B23ACAB" w14:textId="38C266BB" w:rsidR="00A4222A" w:rsidRPr="00B93E3E" w:rsidRDefault="00A4222A" w:rsidP="005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center"/>
            <w:hideMark/>
          </w:tcPr>
          <w:p w14:paraId="02A400FB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291.662.418</w:t>
            </w:r>
          </w:p>
        </w:tc>
        <w:tc>
          <w:tcPr>
            <w:tcW w:w="1157" w:type="dxa"/>
            <w:shd w:val="clear" w:color="auto" w:fill="DBE5F1" w:themeFill="accent1" w:themeFillTint="33"/>
            <w:noWrap/>
            <w:vAlign w:val="center"/>
            <w:hideMark/>
          </w:tcPr>
          <w:p w14:paraId="68C63D07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281.308.221</w:t>
            </w:r>
          </w:p>
        </w:tc>
        <w:tc>
          <w:tcPr>
            <w:tcW w:w="679" w:type="dxa"/>
            <w:shd w:val="clear" w:color="auto" w:fill="DBE5F1" w:themeFill="accent1" w:themeFillTint="33"/>
            <w:noWrap/>
            <w:vAlign w:val="center"/>
            <w:hideMark/>
          </w:tcPr>
          <w:p w14:paraId="182016F4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96,4</w:t>
            </w:r>
          </w:p>
        </w:tc>
        <w:tc>
          <w:tcPr>
            <w:tcW w:w="1115" w:type="dxa"/>
            <w:shd w:val="clear" w:color="auto" w:fill="DBE5F1" w:themeFill="accent1" w:themeFillTint="33"/>
            <w:noWrap/>
            <w:vAlign w:val="center"/>
            <w:hideMark/>
          </w:tcPr>
          <w:p w14:paraId="221D5E37" w14:textId="77777777" w:rsidR="00A4222A" w:rsidRPr="00B93E3E" w:rsidRDefault="00A4222A" w:rsidP="005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-10.354.197</w:t>
            </w:r>
          </w:p>
        </w:tc>
      </w:tr>
    </w:tbl>
    <w:p w14:paraId="25807473" w14:textId="77777777"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4C0020BD" w14:textId="07649D2F" w:rsidR="00AE5C38" w:rsidRDefault="00AE5C38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C15DE">
        <w:rPr>
          <w:rFonts w:ascii="Times New Roman" w:hAnsi="Times New Roman" w:cs="Times New Roman"/>
          <w:b/>
        </w:rPr>
        <w:t xml:space="preserve">BILJEŠKA br. </w:t>
      </w:r>
      <w:r w:rsidR="00AB1AE9" w:rsidRPr="008C15DE">
        <w:rPr>
          <w:rFonts w:ascii="Times New Roman" w:hAnsi="Times New Roman" w:cs="Times New Roman"/>
          <w:b/>
        </w:rPr>
        <w:t>3</w:t>
      </w:r>
    </w:p>
    <w:p w14:paraId="023A1A3B" w14:textId="6C77A375" w:rsidR="005E6641" w:rsidRDefault="00BE5B55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5DE">
        <w:rPr>
          <w:rFonts w:ascii="Times New Roman" w:hAnsi="Times New Roman" w:cs="Times New Roman"/>
          <w:bCs/>
          <w:sz w:val="24"/>
          <w:szCs w:val="24"/>
        </w:rPr>
        <w:t>Prihodi od poreza (AOP002)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5E6641">
        <w:rPr>
          <w:rFonts w:ascii="Times New Roman" w:hAnsi="Times New Roman" w:cs="Times New Roman"/>
          <w:sz w:val="24"/>
          <w:szCs w:val="24"/>
        </w:rPr>
        <w:t>141.550.126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C55DF4">
        <w:rPr>
          <w:rFonts w:ascii="Times New Roman" w:hAnsi="Times New Roman" w:cs="Times New Roman"/>
          <w:sz w:val="24"/>
          <w:szCs w:val="24"/>
        </w:rPr>
        <w:t>14,1</w:t>
      </w:r>
      <w:r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5E6641">
        <w:rPr>
          <w:rFonts w:ascii="Times New Roman" w:hAnsi="Times New Roman" w:cs="Times New Roman"/>
          <w:sz w:val="24"/>
          <w:szCs w:val="24"/>
        </w:rPr>
        <w:t>manje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827FDE">
        <w:rPr>
          <w:rFonts w:ascii="Times New Roman" w:hAnsi="Times New Roman" w:cs="Times New Roman"/>
          <w:sz w:val="24"/>
          <w:szCs w:val="24"/>
        </w:rPr>
        <w:t>u odnosu na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827FDE" w:rsidRPr="00526AD1">
        <w:rPr>
          <w:rFonts w:ascii="Times New Roman" w:hAnsi="Times New Roman" w:cs="Times New Roman"/>
          <w:sz w:val="24"/>
          <w:szCs w:val="24"/>
        </w:rPr>
        <w:t>isto razdoblj</w:t>
      </w:r>
      <w:r w:rsidR="00827FDE">
        <w:rPr>
          <w:rFonts w:ascii="Times New Roman" w:hAnsi="Times New Roman" w:cs="Times New Roman"/>
          <w:sz w:val="24"/>
          <w:szCs w:val="24"/>
        </w:rPr>
        <w:t>e</w:t>
      </w:r>
      <w:r w:rsidR="00827FDE" w:rsidRPr="00526AD1">
        <w:rPr>
          <w:rFonts w:ascii="Times New Roman" w:hAnsi="Times New Roman" w:cs="Times New Roman"/>
          <w:sz w:val="24"/>
          <w:szCs w:val="24"/>
        </w:rPr>
        <w:t xml:space="preserve"> izvještavanja </w:t>
      </w:r>
      <w:r w:rsidR="00685BE8">
        <w:rPr>
          <w:rFonts w:ascii="Times New Roman" w:hAnsi="Times New Roman" w:cs="Times New Roman"/>
          <w:sz w:val="24"/>
          <w:szCs w:val="24"/>
        </w:rPr>
        <w:t>20</w:t>
      </w:r>
      <w:r w:rsidR="005E6641">
        <w:rPr>
          <w:rFonts w:ascii="Times New Roman" w:hAnsi="Times New Roman" w:cs="Times New Roman"/>
          <w:sz w:val="24"/>
          <w:szCs w:val="24"/>
        </w:rPr>
        <w:t>19</w:t>
      </w:r>
      <w:r w:rsidR="00685BE8">
        <w:rPr>
          <w:rFonts w:ascii="Times New Roman" w:hAnsi="Times New Roman" w:cs="Times New Roman"/>
          <w:sz w:val="24"/>
          <w:szCs w:val="24"/>
        </w:rPr>
        <w:t>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</w:t>
      </w:r>
      <w:r w:rsidR="00827FDE">
        <w:rPr>
          <w:rFonts w:ascii="Times New Roman" w:hAnsi="Times New Roman" w:cs="Times New Roman"/>
          <w:sz w:val="24"/>
          <w:szCs w:val="24"/>
        </w:rPr>
        <w:t>e.</w:t>
      </w:r>
    </w:p>
    <w:p w14:paraId="3C1C1C3B" w14:textId="033152C7" w:rsidR="00E23CA1" w:rsidRDefault="00E23CA1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Unutar navedene skupine prihoda evidentirani su porez i prirez na dohodak </w:t>
      </w:r>
      <w:r w:rsidR="00F54ED4" w:rsidRPr="00526AD1">
        <w:rPr>
          <w:rFonts w:ascii="Times New Roman" w:hAnsi="Times New Roman" w:cs="Times New Roman"/>
          <w:sz w:val="24"/>
          <w:szCs w:val="24"/>
        </w:rPr>
        <w:t>za decentralizirane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F54ED4" w:rsidRPr="00526AD1">
        <w:rPr>
          <w:rFonts w:ascii="Times New Roman" w:hAnsi="Times New Roman" w:cs="Times New Roman"/>
          <w:sz w:val="24"/>
          <w:szCs w:val="24"/>
        </w:rPr>
        <w:t>funkcije vatrogastva</w:t>
      </w:r>
      <w:r w:rsidR="00A82ECE" w:rsidRPr="00526A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E6641">
        <w:rPr>
          <w:rFonts w:ascii="Times New Roman" w:hAnsi="Times New Roman" w:cs="Times New Roman"/>
          <w:sz w:val="24"/>
          <w:szCs w:val="24"/>
        </w:rPr>
        <w:t>1.578.431</w:t>
      </w:r>
      <w:r w:rsidR="00B071C9">
        <w:rPr>
          <w:rFonts w:ascii="Times New Roman" w:hAnsi="Times New Roman" w:cs="Times New Roman"/>
          <w:sz w:val="24"/>
          <w:szCs w:val="24"/>
        </w:rPr>
        <w:t xml:space="preserve"> kn</w:t>
      </w:r>
      <w:r w:rsidR="00F54ED4" w:rsidRPr="00526AD1">
        <w:rPr>
          <w:rFonts w:ascii="Times New Roman" w:hAnsi="Times New Roman" w:cs="Times New Roman"/>
          <w:sz w:val="24"/>
          <w:szCs w:val="24"/>
        </w:rPr>
        <w:t xml:space="preserve"> i osnovnog školstva</w:t>
      </w:r>
      <w:r w:rsidRPr="00526A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E6641">
        <w:rPr>
          <w:rFonts w:ascii="Times New Roman" w:hAnsi="Times New Roman" w:cs="Times New Roman"/>
          <w:sz w:val="24"/>
          <w:szCs w:val="24"/>
        </w:rPr>
        <w:t>2.999.031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20F32C86" w14:textId="2BFFC2A9" w:rsidR="005E6641" w:rsidRDefault="005E6641" w:rsidP="00326C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EA299" w14:textId="060A47D1" w:rsidR="00C55DF4" w:rsidRDefault="00C55DF4" w:rsidP="0032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Podskupina Porez i prirez na dohodak (AOP003</w:t>
      </w:r>
      <w:r w:rsidR="00A4222A">
        <w:rPr>
          <w:rFonts w:ascii="Times New Roman" w:hAnsi="Times New Roman" w:cs="Times New Roman"/>
          <w:sz w:val="24"/>
          <w:szCs w:val="24"/>
        </w:rPr>
        <w:t xml:space="preserve">) - </w:t>
      </w:r>
      <w:r w:rsidR="005E6641" w:rsidRPr="005E6641">
        <w:rPr>
          <w:rFonts w:ascii="Times New Roman" w:hAnsi="Times New Roman" w:cs="Times New Roman"/>
          <w:sz w:val="24"/>
          <w:szCs w:val="24"/>
        </w:rPr>
        <w:t xml:space="preserve">smanjeni su zbog </w:t>
      </w:r>
      <w:r w:rsidR="00D60067">
        <w:rPr>
          <w:rFonts w:ascii="Times New Roman" w:hAnsi="Times New Roman" w:cs="Times New Roman"/>
          <w:sz w:val="24"/>
          <w:szCs w:val="24"/>
        </w:rPr>
        <w:t xml:space="preserve">pojave </w:t>
      </w:r>
      <w:r w:rsidR="00E70FC6">
        <w:rPr>
          <w:rFonts w:ascii="Times New Roman" w:hAnsi="Times New Roman" w:cs="Times New Roman"/>
          <w:sz w:val="24"/>
          <w:szCs w:val="24"/>
        </w:rPr>
        <w:t>epidemij</w:t>
      </w:r>
      <w:r w:rsidR="00D60067">
        <w:rPr>
          <w:rFonts w:ascii="Times New Roman" w:hAnsi="Times New Roman" w:cs="Times New Roman"/>
          <w:sz w:val="24"/>
          <w:szCs w:val="24"/>
        </w:rPr>
        <w:t xml:space="preserve">e </w:t>
      </w:r>
      <w:r w:rsidR="00E70FC6">
        <w:rPr>
          <w:rFonts w:ascii="Times New Roman" w:hAnsi="Times New Roman" w:cs="Times New Roman"/>
          <w:sz w:val="24"/>
          <w:szCs w:val="24"/>
        </w:rPr>
        <w:t>bolesti COVID-19</w:t>
      </w:r>
      <w:r w:rsidR="00827FDE">
        <w:rPr>
          <w:rFonts w:ascii="Times New Roman" w:hAnsi="Times New Roman" w:cs="Times New Roman"/>
          <w:sz w:val="24"/>
          <w:szCs w:val="24"/>
        </w:rPr>
        <w:t>, smanjene gospodarske aktivnosti</w:t>
      </w:r>
      <w:r w:rsidR="005E6641" w:rsidRPr="005E6641">
        <w:rPr>
          <w:rFonts w:ascii="Times New Roman" w:hAnsi="Times New Roman" w:cs="Times New Roman"/>
          <w:sz w:val="24"/>
          <w:szCs w:val="24"/>
        </w:rPr>
        <w:t xml:space="preserve"> </w:t>
      </w:r>
      <w:r w:rsidR="00E5440E">
        <w:rPr>
          <w:rFonts w:ascii="Times New Roman" w:hAnsi="Times New Roman" w:cs="Times New Roman"/>
          <w:sz w:val="24"/>
          <w:szCs w:val="24"/>
        </w:rPr>
        <w:t>odnosno zbog mjer</w:t>
      </w:r>
      <w:r w:rsidR="00A4222A">
        <w:rPr>
          <w:rFonts w:ascii="Times New Roman" w:hAnsi="Times New Roman" w:cs="Times New Roman"/>
          <w:sz w:val="24"/>
          <w:szCs w:val="24"/>
        </w:rPr>
        <w:t>a</w:t>
      </w:r>
      <w:r w:rsidR="00E5440E">
        <w:rPr>
          <w:rFonts w:ascii="Times New Roman" w:hAnsi="Times New Roman" w:cs="Times New Roman"/>
          <w:sz w:val="24"/>
          <w:szCs w:val="24"/>
        </w:rPr>
        <w:t xml:space="preserve"> koje su  donijet</w:t>
      </w:r>
      <w:r w:rsidR="004E633F">
        <w:rPr>
          <w:rFonts w:ascii="Times New Roman" w:hAnsi="Times New Roman" w:cs="Times New Roman"/>
          <w:sz w:val="24"/>
          <w:szCs w:val="24"/>
        </w:rPr>
        <w:t>e</w:t>
      </w:r>
      <w:r w:rsidR="00E5440E">
        <w:rPr>
          <w:rFonts w:ascii="Times New Roman" w:hAnsi="Times New Roman" w:cs="Times New Roman"/>
          <w:sz w:val="24"/>
          <w:szCs w:val="24"/>
        </w:rPr>
        <w:t xml:space="preserve"> kako bi </w:t>
      </w:r>
      <w:r w:rsidR="004E633F">
        <w:rPr>
          <w:rFonts w:ascii="Times New Roman" w:hAnsi="Times New Roman" w:cs="Times New Roman"/>
          <w:sz w:val="24"/>
          <w:szCs w:val="24"/>
        </w:rPr>
        <w:t xml:space="preserve">se </w:t>
      </w:r>
      <w:r w:rsidR="00E5440E">
        <w:rPr>
          <w:rFonts w:ascii="Times New Roman" w:hAnsi="Times New Roman" w:cs="Times New Roman"/>
          <w:sz w:val="24"/>
          <w:szCs w:val="24"/>
        </w:rPr>
        <w:t>pomogl</w:t>
      </w:r>
      <w:r w:rsidR="004E633F">
        <w:rPr>
          <w:rFonts w:ascii="Times New Roman" w:hAnsi="Times New Roman" w:cs="Times New Roman"/>
          <w:sz w:val="24"/>
          <w:szCs w:val="24"/>
        </w:rPr>
        <w:t>o</w:t>
      </w:r>
      <w:r w:rsidR="00E5440E">
        <w:rPr>
          <w:rFonts w:ascii="Times New Roman" w:hAnsi="Times New Roman" w:cs="Times New Roman"/>
          <w:sz w:val="24"/>
          <w:szCs w:val="24"/>
        </w:rPr>
        <w:t xml:space="preserve"> gospodarstvu</w:t>
      </w:r>
      <w:r>
        <w:rPr>
          <w:rFonts w:ascii="Times New Roman" w:hAnsi="Times New Roman" w:cs="Times New Roman"/>
          <w:sz w:val="24"/>
          <w:szCs w:val="24"/>
        </w:rPr>
        <w:t>, a odnos</w:t>
      </w:r>
      <w:r w:rsidR="004E63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na obustavu</w:t>
      </w:r>
      <w:r w:rsidR="004E63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odgodu </w:t>
      </w:r>
      <w:r w:rsidR="004E633F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potpuno oslobađanje od plaćanja poreza dohodak.</w:t>
      </w:r>
    </w:p>
    <w:p w14:paraId="037259C6" w14:textId="77777777" w:rsidR="00C55DF4" w:rsidRDefault="00C55DF4" w:rsidP="005E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B912" w14:textId="25ABE4BF" w:rsidR="001674F3" w:rsidRDefault="00C55DF4" w:rsidP="0032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Podskupina Porezi na imovinu (AOP018)</w:t>
      </w:r>
      <w:r w:rsidR="00A422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biljež</w:t>
      </w:r>
      <w:r w:rsidR="00A422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rast od 2,3% na kojeg je najveći utjecaj imalo povećanje prihoda Povremeni porezi na imovinu (AOP022)</w:t>
      </w:r>
      <w:r w:rsidR="004E6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porez</w:t>
      </w:r>
      <w:r w:rsidR="008C15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promet nekretnina</w:t>
      </w:r>
      <w:r w:rsidR="007C2A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A48">
        <w:rPr>
          <w:rFonts w:ascii="Times New Roman" w:hAnsi="Times New Roman" w:cs="Times New Roman"/>
          <w:sz w:val="24"/>
          <w:szCs w:val="24"/>
        </w:rPr>
        <w:t xml:space="preserve">za 16,2%, </w:t>
      </w:r>
      <w:r>
        <w:rPr>
          <w:rFonts w:ascii="Times New Roman" w:hAnsi="Times New Roman" w:cs="Times New Roman"/>
          <w:sz w:val="24"/>
          <w:szCs w:val="24"/>
        </w:rPr>
        <w:t>a iznos</w:t>
      </w:r>
      <w:r w:rsidR="00827F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17.747.362 kn</w:t>
      </w:r>
      <w:r w:rsidR="007C2A48">
        <w:rPr>
          <w:rFonts w:ascii="Times New Roman" w:hAnsi="Times New Roman" w:cs="Times New Roman"/>
          <w:sz w:val="24"/>
          <w:szCs w:val="24"/>
        </w:rPr>
        <w:t xml:space="preserve">. Rast </w:t>
      </w:r>
      <w:r w:rsidR="00A4222A">
        <w:rPr>
          <w:rFonts w:ascii="Times New Roman" w:hAnsi="Times New Roman" w:cs="Times New Roman"/>
          <w:sz w:val="24"/>
          <w:szCs w:val="24"/>
        </w:rPr>
        <w:t>ove vrste poreza</w:t>
      </w:r>
      <w:r w:rsidR="007C2A48">
        <w:rPr>
          <w:rFonts w:ascii="Times New Roman" w:hAnsi="Times New Roman" w:cs="Times New Roman"/>
          <w:sz w:val="24"/>
          <w:szCs w:val="24"/>
        </w:rPr>
        <w:t xml:space="preserve"> uzrokovan je sve većim brojem </w:t>
      </w:r>
      <w:r w:rsidR="00827FDE">
        <w:rPr>
          <w:rFonts w:ascii="Times New Roman" w:hAnsi="Times New Roman" w:cs="Times New Roman"/>
          <w:sz w:val="24"/>
          <w:szCs w:val="24"/>
        </w:rPr>
        <w:t xml:space="preserve">prometa </w:t>
      </w:r>
      <w:r w:rsidR="007C2A48">
        <w:rPr>
          <w:rFonts w:ascii="Times New Roman" w:hAnsi="Times New Roman" w:cs="Times New Roman"/>
          <w:sz w:val="24"/>
          <w:szCs w:val="24"/>
        </w:rPr>
        <w:t>nekretnina na području Pule</w:t>
      </w:r>
      <w:r w:rsidR="001674F3">
        <w:rPr>
          <w:rFonts w:ascii="Times New Roman" w:hAnsi="Times New Roman" w:cs="Times New Roman"/>
          <w:sz w:val="24"/>
          <w:szCs w:val="24"/>
        </w:rPr>
        <w:t>, a u cijelosti je prihod Grada.</w:t>
      </w:r>
    </w:p>
    <w:p w14:paraId="00E1BE42" w14:textId="0352B9C8" w:rsidR="005E6641" w:rsidRDefault="007C2A48" w:rsidP="0032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porezi  u navedenoj podskupini, porez na kuće za odmor i porez na korištenje javnih površina</w:t>
      </w:r>
      <w:r w:rsidR="00C55DF4">
        <w:rPr>
          <w:rFonts w:ascii="Times New Roman" w:hAnsi="Times New Roman" w:cs="Times New Roman"/>
          <w:sz w:val="24"/>
          <w:szCs w:val="24"/>
        </w:rPr>
        <w:t xml:space="preserve"> </w:t>
      </w:r>
      <w:r w:rsidR="00E54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smanjeni su </w:t>
      </w:r>
      <w:r w:rsidR="001674F3">
        <w:rPr>
          <w:rFonts w:ascii="Times New Roman" w:hAnsi="Times New Roman" w:cs="Times New Roman"/>
          <w:sz w:val="24"/>
          <w:szCs w:val="24"/>
        </w:rPr>
        <w:t xml:space="preserve">u ukupnom postotku </w:t>
      </w:r>
      <w:r>
        <w:rPr>
          <w:rFonts w:ascii="Times New Roman" w:hAnsi="Times New Roman" w:cs="Times New Roman"/>
          <w:sz w:val="24"/>
          <w:szCs w:val="24"/>
        </w:rPr>
        <w:t>za 35,5%</w:t>
      </w:r>
      <w:r w:rsidR="00827FDE">
        <w:rPr>
          <w:rFonts w:ascii="Times New Roman" w:hAnsi="Times New Roman" w:cs="Times New Roman"/>
          <w:sz w:val="24"/>
          <w:szCs w:val="24"/>
        </w:rPr>
        <w:t xml:space="preserve"> </w:t>
      </w:r>
      <w:r w:rsidR="001674F3">
        <w:rPr>
          <w:rFonts w:ascii="Times New Roman" w:hAnsi="Times New Roman" w:cs="Times New Roman"/>
          <w:sz w:val="24"/>
          <w:szCs w:val="24"/>
        </w:rPr>
        <w:t>u odnosu na 2019. god</w:t>
      </w:r>
      <w:r w:rsidR="009D69FD">
        <w:rPr>
          <w:rFonts w:ascii="Times New Roman" w:hAnsi="Times New Roman" w:cs="Times New Roman"/>
          <w:sz w:val="24"/>
          <w:szCs w:val="24"/>
        </w:rPr>
        <w:t>inu</w:t>
      </w:r>
      <w:r w:rsidR="00827FDE">
        <w:rPr>
          <w:rFonts w:ascii="Times New Roman" w:hAnsi="Times New Roman" w:cs="Times New Roman"/>
          <w:sz w:val="24"/>
          <w:szCs w:val="24"/>
        </w:rPr>
        <w:t>.</w:t>
      </w:r>
      <w:r w:rsidR="009D69FD">
        <w:rPr>
          <w:rFonts w:ascii="Times New Roman" w:hAnsi="Times New Roman" w:cs="Times New Roman"/>
          <w:sz w:val="24"/>
          <w:szCs w:val="24"/>
        </w:rPr>
        <w:t xml:space="preserve"> </w:t>
      </w:r>
      <w:r w:rsidR="00827FDE">
        <w:rPr>
          <w:rFonts w:ascii="Times New Roman" w:hAnsi="Times New Roman" w:cs="Times New Roman"/>
          <w:sz w:val="24"/>
          <w:szCs w:val="24"/>
        </w:rPr>
        <w:t>P</w:t>
      </w:r>
      <w:r w:rsidR="009D69FD">
        <w:rPr>
          <w:rFonts w:ascii="Times New Roman" w:hAnsi="Times New Roman" w:cs="Times New Roman"/>
          <w:sz w:val="24"/>
          <w:szCs w:val="24"/>
        </w:rPr>
        <w:t>orez na kuće za odmor biljež</w:t>
      </w:r>
      <w:r w:rsidR="00827FDE">
        <w:rPr>
          <w:rFonts w:ascii="Times New Roman" w:hAnsi="Times New Roman" w:cs="Times New Roman"/>
          <w:sz w:val="24"/>
          <w:szCs w:val="24"/>
        </w:rPr>
        <w:t>i</w:t>
      </w:r>
      <w:r w:rsidR="009D69FD">
        <w:rPr>
          <w:rFonts w:ascii="Times New Roman" w:hAnsi="Times New Roman" w:cs="Times New Roman"/>
          <w:sz w:val="24"/>
          <w:szCs w:val="24"/>
        </w:rPr>
        <w:t xml:space="preserve"> povećanje prihoda za 26.430 kn zbog većeg broja izdanih rješenja dok su prihodi od p</w:t>
      </w:r>
      <w:r w:rsidR="001674F3">
        <w:rPr>
          <w:rFonts w:ascii="Times New Roman" w:hAnsi="Times New Roman" w:cs="Times New Roman"/>
          <w:sz w:val="24"/>
          <w:szCs w:val="24"/>
        </w:rPr>
        <w:t>orez</w:t>
      </w:r>
      <w:r w:rsidR="009D69FD">
        <w:rPr>
          <w:rFonts w:ascii="Times New Roman" w:hAnsi="Times New Roman" w:cs="Times New Roman"/>
          <w:sz w:val="24"/>
          <w:szCs w:val="24"/>
        </w:rPr>
        <w:t>a</w:t>
      </w:r>
      <w:r w:rsidR="001674F3">
        <w:rPr>
          <w:rFonts w:ascii="Times New Roman" w:hAnsi="Times New Roman" w:cs="Times New Roman"/>
          <w:sz w:val="24"/>
          <w:szCs w:val="24"/>
        </w:rPr>
        <w:t xml:space="preserve"> na </w:t>
      </w:r>
      <w:r w:rsidR="001674F3">
        <w:rPr>
          <w:rFonts w:ascii="Times New Roman" w:hAnsi="Times New Roman" w:cs="Times New Roman"/>
          <w:sz w:val="24"/>
          <w:szCs w:val="24"/>
        </w:rPr>
        <w:lastRenderedPageBreak/>
        <w:t>korištenje javnih površina smanje</w:t>
      </w:r>
      <w:r w:rsidR="009D69FD">
        <w:rPr>
          <w:rFonts w:ascii="Times New Roman" w:hAnsi="Times New Roman" w:cs="Times New Roman"/>
          <w:sz w:val="24"/>
          <w:szCs w:val="24"/>
        </w:rPr>
        <w:t>ni u odnosu na 2019. godinu za 2.025.583 kn</w:t>
      </w:r>
      <w:r w:rsidR="001674F3">
        <w:rPr>
          <w:rFonts w:ascii="Times New Roman" w:hAnsi="Times New Roman" w:cs="Times New Roman"/>
          <w:sz w:val="24"/>
          <w:szCs w:val="24"/>
        </w:rPr>
        <w:t xml:space="preserve"> zbog zabrane rada poduzetnicima</w:t>
      </w:r>
      <w:r w:rsidR="001674F3" w:rsidRPr="005E6641">
        <w:rPr>
          <w:rFonts w:ascii="Times New Roman" w:hAnsi="Times New Roman" w:cs="Times New Roman"/>
          <w:sz w:val="24"/>
          <w:szCs w:val="24"/>
        </w:rPr>
        <w:t xml:space="preserve"> </w:t>
      </w:r>
      <w:r w:rsidR="001674F3">
        <w:rPr>
          <w:rFonts w:ascii="Times New Roman" w:hAnsi="Times New Roman" w:cs="Times New Roman"/>
          <w:sz w:val="24"/>
          <w:szCs w:val="24"/>
        </w:rPr>
        <w:t>kao jedn</w:t>
      </w:r>
      <w:r w:rsidR="009D69FD">
        <w:rPr>
          <w:rFonts w:ascii="Times New Roman" w:hAnsi="Times New Roman" w:cs="Times New Roman"/>
          <w:sz w:val="24"/>
          <w:szCs w:val="24"/>
        </w:rPr>
        <w:t>e</w:t>
      </w:r>
      <w:r w:rsidR="001674F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1674F3">
        <w:rPr>
          <w:rFonts w:ascii="Times New Roman" w:hAnsi="Times New Roman" w:cs="Times New Roman"/>
          <w:sz w:val="24"/>
          <w:szCs w:val="24"/>
        </w:rPr>
        <w:t>donijetih</w:t>
      </w:r>
      <w:proofErr w:type="spellEnd"/>
      <w:r w:rsidR="001674F3">
        <w:rPr>
          <w:rFonts w:ascii="Times New Roman" w:hAnsi="Times New Roman" w:cs="Times New Roman"/>
          <w:sz w:val="24"/>
          <w:szCs w:val="24"/>
        </w:rPr>
        <w:t xml:space="preserve"> mjera u borbi protiv širenja </w:t>
      </w:r>
      <w:r w:rsidR="00E70FC6">
        <w:rPr>
          <w:rFonts w:ascii="Times New Roman" w:hAnsi="Times New Roman" w:cs="Times New Roman"/>
          <w:sz w:val="24"/>
          <w:szCs w:val="24"/>
        </w:rPr>
        <w:t>bolesti COVID-19</w:t>
      </w:r>
      <w:r w:rsidR="001674F3">
        <w:rPr>
          <w:rFonts w:ascii="Times New Roman" w:hAnsi="Times New Roman" w:cs="Times New Roman"/>
          <w:sz w:val="24"/>
          <w:szCs w:val="24"/>
        </w:rPr>
        <w:t>.</w:t>
      </w:r>
    </w:p>
    <w:p w14:paraId="0421B7C7" w14:textId="77777777" w:rsidR="00F65743" w:rsidRDefault="00F65743" w:rsidP="00C55DF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7BA8042" w14:textId="76505D8C" w:rsidR="00C55DF4" w:rsidRDefault="00C55DF4" w:rsidP="00C55DF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C15DE">
        <w:rPr>
          <w:rFonts w:ascii="Times New Roman" w:hAnsi="Times New Roman" w:cs="Times New Roman"/>
          <w:b/>
        </w:rPr>
        <w:t>BILJEŠKA br. 4</w:t>
      </w:r>
    </w:p>
    <w:p w14:paraId="1D73C85F" w14:textId="69D69F52" w:rsidR="00891F84" w:rsidRPr="004F144F" w:rsidRDefault="00891F84" w:rsidP="00326C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44F">
        <w:rPr>
          <w:rFonts w:ascii="Times New Roman" w:hAnsi="Times New Roman" w:cs="Times New Roman"/>
          <w:sz w:val="24"/>
          <w:szCs w:val="24"/>
        </w:rPr>
        <w:t xml:space="preserve">Porezi na </w:t>
      </w:r>
      <w:r w:rsidR="009D69FD">
        <w:rPr>
          <w:rFonts w:ascii="Times New Roman" w:hAnsi="Times New Roman" w:cs="Times New Roman"/>
          <w:sz w:val="24"/>
          <w:szCs w:val="24"/>
        </w:rPr>
        <w:t>robu i usluge</w:t>
      </w:r>
      <w:r w:rsidR="004F144F">
        <w:rPr>
          <w:rFonts w:ascii="Times New Roman" w:hAnsi="Times New Roman" w:cs="Times New Roman"/>
          <w:sz w:val="24"/>
          <w:szCs w:val="24"/>
        </w:rPr>
        <w:t xml:space="preserve"> (AOP02</w:t>
      </w:r>
      <w:r w:rsidR="009D69FD">
        <w:rPr>
          <w:rFonts w:ascii="Times New Roman" w:hAnsi="Times New Roman" w:cs="Times New Roman"/>
          <w:sz w:val="24"/>
          <w:szCs w:val="24"/>
        </w:rPr>
        <w:t>4</w:t>
      </w:r>
      <w:r w:rsidR="004F144F">
        <w:rPr>
          <w:rFonts w:ascii="Times New Roman" w:hAnsi="Times New Roman" w:cs="Times New Roman"/>
          <w:sz w:val="24"/>
          <w:szCs w:val="24"/>
        </w:rPr>
        <w:t>)</w:t>
      </w:r>
      <w:r w:rsidR="009D69FD">
        <w:rPr>
          <w:rFonts w:ascii="Times New Roman" w:hAnsi="Times New Roman" w:cs="Times New Roman"/>
          <w:sz w:val="24"/>
          <w:szCs w:val="24"/>
        </w:rPr>
        <w:t xml:space="preserve"> - </w:t>
      </w:r>
      <w:r w:rsidR="009D69FD" w:rsidRPr="004F144F">
        <w:rPr>
          <w:rFonts w:ascii="Times New Roman" w:hAnsi="Times New Roman" w:cs="Times New Roman"/>
          <w:sz w:val="24"/>
          <w:szCs w:val="24"/>
        </w:rPr>
        <w:t>iznose</w:t>
      </w:r>
      <w:r w:rsidR="009D69FD">
        <w:rPr>
          <w:rFonts w:ascii="Times New Roman" w:hAnsi="Times New Roman" w:cs="Times New Roman"/>
          <w:sz w:val="24"/>
          <w:szCs w:val="24"/>
        </w:rPr>
        <w:t xml:space="preserve"> 1.950.707 kn</w:t>
      </w:r>
      <w:r w:rsidRPr="004F144F">
        <w:rPr>
          <w:rFonts w:ascii="Times New Roman" w:hAnsi="Times New Roman" w:cs="Times New Roman"/>
          <w:sz w:val="24"/>
          <w:szCs w:val="24"/>
        </w:rPr>
        <w:t xml:space="preserve">, a ostvareni </w:t>
      </w:r>
      <w:r w:rsidR="00006B6B" w:rsidRPr="004F144F">
        <w:rPr>
          <w:rFonts w:ascii="Times New Roman" w:hAnsi="Times New Roman" w:cs="Times New Roman"/>
          <w:sz w:val="24"/>
          <w:szCs w:val="24"/>
        </w:rPr>
        <w:t xml:space="preserve">su </w:t>
      </w:r>
      <w:r w:rsidRPr="004F144F">
        <w:rPr>
          <w:rFonts w:ascii="Times New Roman" w:hAnsi="Times New Roman" w:cs="Times New Roman"/>
          <w:sz w:val="24"/>
          <w:szCs w:val="24"/>
        </w:rPr>
        <w:t xml:space="preserve">po osnovi poreza na tvrtku </w:t>
      </w:r>
      <w:r w:rsidR="00934389">
        <w:rPr>
          <w:rFonts w:ascii="Times New Roman" w:hAnsi="Times New Roman" w:cs="Times New Roman"/>
          <w:sz w:val="24"/>
          <w:szCs w:val="24"/>
        </w:rPr>
        <w:t>ili naziv</w:t>
      </w:r>
      <w:r w:rsidR="00C016A7">
        <w:rPr>
          <w:rFonts w:ascii="Times New Roman" w:hAnsi="Times New Roman" w:cs="Times New Roman"/>
          <w:sz w:val="24"/>
          <w:szCs w:val="24"/>
        </w:rPr>
        <w:t xml:space="preserve"> koji se naplaćuje temeljem</w:t>
      </w:r>
      <w:r w:rsidR="00C016A7" w:rsidRPr="004F144F">
        <w:rPr>
          <w:rFonts w:ascii="Times New Roman" w:hAnsi="Times New Roman" w:cs="Times New Roman"/>
          <w:sz w:val="24"/>
          <w:szCs w:val="24"/>
        </w:rPr>
        <w:t xml:space="preserve"> zaduženja iz ranijih godina</w:t>
      </w:r>
      <w:r w:rsidR="00C016A7">
        <w:rPr>
          <w:rFonts w:ascii="Times New Roman" w:hAnsi="Times New Roman" w:cs="Times New Roman"/>
          <w:sz w:val="24"/>
          <w:szCs w:val="24"/>
        </w:rPr>
        <w:t xml:space="preserve"> te po osnovi poreza na potrošnju alkoholnih i bezalkoholnih pića koji je smanjen za 49,0% u odnosu na 2019. godinu zbog zabrane rada ugostiteljskih objekata u pojedinim periodima 2020. godine kako bi se spriječilo širenje virusa među stanovništvom. </w:t>
      </w:r>
    </w:p>
    <w:p w14:paraId="46A68F57" w14:textId="77777777"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ED5D58B" w14:textId="18EE77F3" w:rsidR="00AE5C38" w:rsidRDefault="00AE5C38" w:rsidP="00017660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t xml:space="preserve">BILJEŠKA br. </w:t>
      </w:r>
      <w:r w:rsidR="00C016A7" w:rsidRPr="00F02352">
        <w:rPr>
          <w:rFonts w:ascii="Times New Roman" w:hAnsi="Times New Roman" w:cs="Times New Roman"/>
          <w:b/>
        </w:rPr>
        <w:t>5</w:t>
      </w:r>
    </w:p>
    <w:p w14:paraId="0274C58D" w14:textId="0E3008D9" w:rsidR="00017660" w:rsidRPr="00326C87" w:rsidRDefault="00017660" w:rsidP="000176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C87">
        <w:rPr>
          <w:rFonts w:ascii="Times New Roman" w:hAnsi="Times New Roman" w:cs="Times New Roman"/>
          <w:sz w:val="24"/>
          <w:szCs w:val="24"/>
        </w:rPr>
        <w:t xml:space="preserve">Pomoći od međunarodnih organizacija te institucija i tijela EU (AOP049) - iznose 611.267 kn </w:t>
      </w:r>
      <w:r w:rsidR="00F65743">
        <w:rPr>
          <w:rFonts w:ascii="Times New Roman" w:hAnsi="Times New Roman" w:cs="Times New Roman"/>
          <w:sz w:val="24"/>
          <w:szCs w:val="24"/>
        </w:rPr>
        <w:t>za</w:t>
      </w:r>
      <w:r w:rsidRPr="00326C87">
        <w:rPr>
          <w:rFonts w:ascii="Times New Roman" w:hAnsi="Times New Roman" w:cs="Times New Roman"/>
          <w:sz w:val="24"/>
          <w:szCs w:val="24"/>
        </w:rPr>
        <w:t xml:space="preserve"> </w:t>
      </w:r>
      <w:r w:rsidR="00F65743">
        <w:rPr>
          <w:rFonts w:ascii="Times New Roman" w:hAnsi="Times New Roman" w:cs="Times New Roman"/>
          <w:sz w:val="24"/>
          <w:szCs w:val="24"/>
        </w:rPr>
        <w:t>p</w:t>
      </w:r>
      <w:r w:rsidRPr="00326C87">
        <w:rPr>
          <w:rFonts w:ascii="Times New Roman" w:hAnsi="Times New Roman" w:cs="Times New Roman"/>
          <w:sz w:val="24"/>
          <w:szCs w:val="24"/>
        </w:rPr>
        <w:t xml:space="preserve">rojekt Eu </w:t>
      </w:r>
      <w:proofErr w:type="spellStart"/>
      <w:r w:rsidRPr="00326C8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326C87">
        <w:rPr>
          <w:rFonts w:ascii="Times New Roman" w:hAnsi="Times New Roman" w:cs="Times New Roman"/>
          <w:sz w:val="24"/>
          <w:szCs w:val="24"/>
        </w:rPr>
        <w:t xml:space="preserve"> u iznosu od 164.288 kn, </w:t>
      </w:r>
      <w:r w:rsidR="00F65743">
        <w:rPr>
          <w:rFonts w:ascii="Times New Roman" w:hAnsi="Times New Roman" w:cs="Times New Roman"/>
          <w:sz w:val="24"/>
          <w:szCs w:val="24"/>
        </w:rPr>
        <w:t>p</w:t>
      </w:r>
      <w:r w:rsidRPr="00326C87">
        <w:rPr>
          <w:rFonts w:ascii="Times New Roman" w:hAnsi="Times New Roman" w:cs="Times New Roman"/>
          <w:sz w:val="24"/>
          <w:szCs w:val="24"/>
        </w:rPr>
        <w:t>rojekt Erasmus +D Basket u iznosu od 49.815 kn</w:t>
      </w:r>
      <w:r w:rsidR="007302E2" w:rsidRPr="00326C87">
        <w:rPr>
          <w:rFonts w:ascii="Times New Roman" w:hAnsi="Times New Roman" w:cs="Times New Roman"/>
          <w:sz w:val="24"/>
          <w:szCs w:val="24"/>
        </w:rPr>
        <w:t xml:space="preserve">, </w:t>
      </w:r>
      <w:r w:rsidR="00F65743">
        <w:rPr>
          <w:rFonts w:ascii="Times New Roman" w:hAnsi="Times New Roman" w:cs="Times New Roman"/>
          <w:sz w:val="24"/>
          <w:szCs w:val="24"/>
        </w:rPr>
        <w:t>p</w:t>
      </w:r>
      <w:r w:rsidR="007302E2" w:rsidRPr="00326C87">
        <w:rPr>
          <w:rFonts w:ascii="Times New Roman" w:hAnsi="Times New Roman" w:cs="Times New Roman"/>
          <w:sz w:val="24"/>
          <w:szCs w:val="24"/>
        </w:rPr>
        <w:t xml:space="preserve">rojekt Life </w:t>
      </w:r>
      <w:proofErr w:type="spellStart"/>
      <w:r w:rsidR="007302E2" w:rsidRPr="00326C87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7302E2" w:rsidRPr="00326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2E2" w:rsidRPr="00326C87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7302E2" w:rsidRPr="00326C87">
        <w:rPr>
          <w:rFonts w:ascii="Times New Roman" w:hAnsi="Times New Roman" w:cs="Times New Roman"/>
          <w:sz w:val="24"/>
          <w:szCs w:val="24"/>
        </w:rPr>
        <w:t xml:space="preserve"> u iznosu od 181.375 kn</w:t>
      </w:r>
      <w:r w:rsidRPr="00326C87">
        <w:rPr>
          <w:rFonts w:ascii="Times New Roman" w:hAnsi="Times New Roman" w:cs="Times New Roman"/>
          <w:sz w:val="24"/>
          <w:szCs w:val="24"/>
        </w:rPr>
        <w:t xml:space="preserve"> te </w:t>
      </w:r>
      <w:r w:rsidR="00F65743">
        <w:rPr>
          <w:rFonts w:ascii="Times New Roman" w:hAnsi="Times New Roman" w:cs="Times New Roman"/>
          <w:sz w:val="24"/>
          <w:szCs w:val="24"/>
        </w:rPr>
        <w:t>p</w:t>
      </w:r>
      <w:r w:rsidRPr="00326C87">
        <w:rPr>
          <w:rFonts w:ascii="Times New Roman" w:hAnsi="Times New Roman" w:cs="Times New Roman"/>
          <w:sz w:val="24"/>
          <w:szCs w:val="24"/>
        </w:rPr>
        <w:t xml:space="preserve">rojekt </w:t>
      </w:r>
      <w:proofErr w:type="spellStart"/>
      <w:r w:rsidRPr="00326C8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26C87">
        <w:rPr>
          <w:rFonts w:ascii="Times New Roman" w:hAnsi="Times New Roman" w:cs="Times New Roman"/>
          <w:sz w:val="24"/>
          <w:szCs w:val="24"/>
        </w:rPr>
        <w:t xml:space="preserve"> Q u iznosu od 215.789 kn.</w:t>
      </w:r>
      <w:r w:rsidR="00272127" w:rsidRPr="00326C87">
        <w:rPr>
          <w:rFonts w:ascii="Times New Roman" w:hAnsi="Times New Roman" w:cs="Times New Roman"/>
          <w:sz w:val="24"/>
          <w:szCs w:val="24"/>
        </w:rPr>
        <w:t xml:space="preserve"> Smanjenje pomoći iznosi 48,6% iz razloga što s</w:t>
      </w:r>
      <w:r w:rsidR="00F65743">
        <w:rPr>
          <w:rFonts w:ascii="Times New Roman" w:hAnsi="Times New Roman" w:cs="Times New Roman"/>
          <w:sz w:val="24"/>
          <w:szCs w:val="24"/>
        </w:rPr>
        <w:t>u</w:t>
      </w:r>
      <w:r w:rsidR="00272127" w:rsidRPr="00326C87">
        <w:rPr>
          <w:rFonts w:ascii="Times New Roman" w:hAnsi="Times New Roman" w:cs="Times New Roman"/>
          <w:sz w:val="24"/>
          <w:szCs w:val="24"/>
        </w:rPr>
        <w:t xml:space="preserve"> u 2019. godini </w:t>
      </w:r>
      <w:r w:rsidR="00F65743">
        <w:rPr>
          <w:rFonts w:ascii="Times New Roman" w:hAnsi="Times New Roman" w:cs="Times New Roman"/>
          <w:sz w:val="24"/>
          <w:szCs w:val="24"/>
        </w:rPr>
        <w:t>naplaćena sredstva</w:t>
      </w:r>
      <w:r w:rsidR="00272127" w:rsidRPr="00326C87">
        <w:rPr>
          <w:rFonts w:ascii="Times New Roman" w:hAnsi="Times New Roman" w:cs="Times New Roman"/>
          <w:sz w:val="24"/>
          <w:szCs w:val="24"/>
        </w:rPr>
        <w:t xml:space="preserve"> po projektu </w:t>
      </w:r>
      <w:proofErr w:type="spellStart"/>
      <w:r w:rsidR="00272127" w:rsidRPr="00326C87">
        <w:rPr>
          <w:rFonts w:ascii="Times New Roman" w:hAnsi="Times New Roman" w:cs="Times New Roman"/>
          <w:sz w:val="24"/>
          <w:szCs w:val="24"/>
        </w:rPr>
        <w:t>Adrifort</w:t>
      </w:r>
      <w:proofErr w:type="spellEnd"/>
      <w:r w:rsidR="00272127" w:rsidRPr="00326C87">
        <w:rPr>
          <w:rFonts w:ascii="Times New Roman" w:hAnsi="Times New Roman" w:cs="Times New Roman"/>
          <w:sz w:val="24"/>
          <w:szCs w:val="24"/>
        </w:rPr>
        <w:t xml:space="preserve"> koji je ranije okončan.</w:t>
      </w:r>
    </w:p>
    <w:p w14:paraId="504B7936" w14:textId="4F00B9CF" w:rsidR="00E95A49" w:rsidRDefault="00E95A49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C97213" w14:textId="0F7C5A8E" w:rsidR="007302E2" w:rsidRDefault="007302E2" w:rsidP="007302E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t>BILJEŠKA br. 6</w:t>
      </w:r>
    </w:p>
    <w:p w14:paraId="5838506A" w14:textId="22DE30DB" w:rsidR="007302E2" w:rsidRPr="007302E2" w:rsidRDefault="007302E2" w:rsidP="007302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2E2">
        <w:rPr>
          <w:rFonts w:ascii="Times New Roman" w:hAnsi="Times New Roman" w:cs="Times New Roman"/>
          <w:sz w:val="24"/>
          <w:szCs w:val="24"/>
        </w:rPr>
        <w:t>Pomoći proračunu iz drugih proračuna (AOP054) - iznose 10.785.003 kn što je za 137,9% više nego u 2019. godini. Za decentralizirane funkcije vatrogastva doznačen</w:t>
      </w:r>
      <w:r w:rsidR="00342E4E">
        <w:rPr>
          <w:rFonts w:ascii="Times New Roman" w:hAnsi="Times New Roman" w:cs="Times New Roman"/>
          <w:sz w:val="24"/>
          <w:szCs w:val="24"/>
        </w:rPr>
        <w:t xml:space="preserve"> je</w:t>
      </w:r>
      <w:r w:rsidRPr="007302E2">
        <w:rPr>
          <w:rFonts w:ascii="Times New Roman" w:hAnsi="Times New Roman" w:cs="Times New Roman"/>
          <w:sz w:val="24"/>
          <w:szCs w:val="24"/>
        </w:rPr>
        <w:t xml:space="preserve"> iznos od </w:t>
      </w:r>
      <w:r>
        <w:rPr>
          <w:rFonts w:ascii="Times New Roman" w:hAnsi="Times New Roman" w:cs="Times New Roman"/>
          <w:sz w:val="24"/>
          <w:szCs w:val="24"/>
        </w:rPr>
        <w:t>611.612</w:t>
      </w:r>
      <w:r w:rsidRPr="007302E2">
        <w:rPr>
          <w:rFonts w:ascii="Times New Roman" w:hAnsi="Times New Roman" w:cs="Times New Roman"/>
          <w:sz w:val="24"/>
          <w:szCs w:val="24"/>
        </w:rPr>
        <w:t xml:space="preserve"> kn iz gradskih proračuna, a iznos od </w:t>
      </w:r>
      <w:r>
        <w:rPr>
          <w:rFonts w:ascii="Times New Roman" w:hAnsi="Times New Roman" w:cs="Times New Roman"/>
          <w:sz w:val="24"/>
          <w:szCs w:val="24"/>
        </w:rPr>
        <w:t>2.312.835</w:t>
      </w:r>
      <w:r w:rsidRPr="007302E2">
        <w:rPr>
          <w:rFonts w:ascii="Times New Roman" w:hAnsi="Times New Roman" w:cs="Times New Roman"/>
          <w:sz w:val="24"/>
          <w:szCs w:val="24"/>
        </w:rPr>
        <w:t xml:space="preserve"> kn iz općinskih proračuna. </w:t>
      </w:r>
    </w:p>
    <w:p w14:paraId="2E3B23EF" w14:textId="74115A35" w:rsidR="007302E2" w:rsidRDefault="007302E2" w:rsidP="007302E2">
      <w:pPr>
        <w:pStyle w:val="Style20"/>
        <w:widowControl/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Tekuće pomoći iz državnog proračuna doznačene su u iznosu od </w:t>
      </w:r>
      <w:r>
        <w:rPr>
          <w:rFonts w:ascii="Times New Roman" w:hAnsi="Times New Roman" w:cs="Times New Roman"/>
        </w:rPr>
        <w:t>7.371.096</w:t>
      </w:r>
      <w:r w:rsidRPr="007302E2">
        <w:rPr>
          <w:rFonts w:ascii="Times New Roman" w:hAnsi="Times New Roman" w:cs="Times New Roman"/>
        </w:rPr>
        <w:t xml:space="preserve"> kn, a porast je evidentiran zbog kompenzacijskih mjera u visini procijenjenog gubitka prihoda temeljem povećanja osobnog odbitka koje sveukupno iznose </w:t>
      </w:r>
      <w:r>
        <w:rPr>
          <w:rFonts w:ascii="Times New Roman" w:hAnsi="Times New Roman" w:cs="Times New Roman"/>
        </w:rPr>
        <w:t>5.827.147</w:t>
      </w:r>
      <w:r w:rsidRPr="007302E2">
        <w:rPr>
          <w:rFonts w:ascii="Times New Roman" w:hAnsi="Times New Roman" w:cs="Times New Roman"/>
        </w:rPr>
        <w:t xml:space="preserve"> kn, a koje su </w:t>
      </w:r>
      <w:r w:rsidR="004638DD">
        <w:rPr>
          <w:rFonts w:ascii="Times New Roman" w:hAnsi="Times New Roman" w:cs="Times New Roman"/>
        </w:rPr>
        <w:t xml:space="preserve">u </w:t>
      </w:r>
      <w:r w:rsidRPr="007302E2">
        <w:rPr>
          <w:rFonts w:ascii="Times New Roman" w:hAnsi="Times New Roman" w:cs="Times New Roman"/>
        </w:rPr>
        <w:t xml:space="preserve">2019. godine </w:t>
      </w:r>
      <w:r w:rsidR="00F13114">
        <w:rPr>
          <w:rFonts w:ascii="Times New Roman" w:hAnsi="Times New Roman" w:cs="Times New Roman"/>
        </w:rPr>
        <w:t>izostale.</w:t>
      </w:r>
    </w:p>
    <w:p w14:paraId="129ABAD6" w14:textId="77777777" w:rsidR="00685E07" w:rsidRDefault="007302E2" w:rsidP="007302E2">
      <w:pPr>
        <w:pStyle w:val="Style20"/>
        <w:widowControl/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Razlika od </w:t>
      </w:r>
      <w:r w:rsidR="0059121F">
        <w:rPr>
          <w:rFonts w:ascii="Times New Roman" w:hAnsi="Times New Roman" w:cs="Times New Roman"/>
        </w:rPr>
        <w:t>1.543.949</w:t>
      </w:r>
      <w:r w:rsidRPr="007302E2">
        <w:rPr>
          <w:rFonts w:ascii="Times New Roman" w:hAnsi="Times New Roman" w:cs="Times New Roman"/>
        </w:rPr>
        <w:t xml:space="preserve"> kn doznačena je za</w:t>
      </w:r>
      <w:r w:rsidR="00685E07">
        <w:rPr>
          <w:rFonts w:ascii="Times New Roman" w:hAnsi="Times New Roman" w:cs="Times New Roman"/>
        </w:rPr>
        <w:t>:</w:t>
      </w:r>
    </w:p>
    <w:p w14:paraId="281E7DFF" w14:textId="77777777" w:rsidR="00685E07" w:rsidRDefault="007302E2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projekt Zajedno do znanja 2 u iznosu od </w:t>
      </w:r>
      <w:r>
        <w:rPr>
          <w:rFonts w:ascii="Times New Roman" w:hAnsi="Times New Roman" w:cs="Times New Roman"/>
        </w:rPr>
        <w:t>1.222.503</w:t>
      </w:r>
      <w:r w:rsidRPr="007302E2">
        <w:rPr>
          <w:rFonts w:ascii="Times New Roman" w:hAnsi="Times New Roman" w:cs="Times New Roman"/>
        </w:rPr>
        <w:t xml:space="preserve"> kn od čega se na refundaciju duga po projektu odnosi iznos od 983.746 kn čija je pomoć u 2019. godini izostala</w:t>
      </w:r>
      <w:r w:rsidR="00685E07">
        <w:rPr>
          <w:rFonts w:ascii="Times New Roman" w:hAnsi="Times New Roman" w:cs="Times New Roman"/>
        </w:rPr>
        <w:t>;</w:t>
      </w:r>
    </w:p>
    <w:p w14:paraId="0CEFEBA6" w14:textId="77777777" w:rsidR="00685E07" w:rsidRDefault="007302E2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projekt SOS </w:t>
      </w:r>
      <w:r w:rsidR="00685E07">
        <w:rPr>
          <w:rFonts w:ascii="Times New Roman" w:hAnsi="Times New Roman" w:cs="Times New Roman"/>
        </w:rPr>
        <w:t>u iznosu od</w:t>
      </w:r>
      <w:r w:rsidRPr="007302E2">
        <w:rPr>
          <w:rFonts w:ascii="Times New Roman" w:hAnsi="Times New Roman" w:cs="Times New Roman"/>
        </w:rPr>
        <w:t xml:space="preserve"> 7.585 kn što je nešto manje u donosu na 2019. godinu</w:t>
      </w:r>
      <w:r w:rsidR="00685E07">
        <w:rPr>
          <w:rFonts w:ascii="Times New Roman" w:hAnsi="Times New Roman" w:cs="Times New Roman"/>
        </w:rPr>
        <w:t>;</w:t>
      </w:r>
    </w:p>
    <w:p w14:paraId="37D6816B" w14:textId="77777777" w:rsidR="00685E07" w:rsidRDefault="007302E2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izbore za predsjednika Republike Hrvatske </w:t>
      </w:r>
      <w:r w:rsidR="00685E07">
        <w:rPr>
          <w:rFonts w:ascii="Times New Roman" w:hAnsi="Times New Roman" w:cs="Times New Roman"/>
        </w:rPr>
        <w:t>u iznosu od</w:t>
      </w:r>
      <w:r w:rsidRPr="007302E2">
        <w:rPr>
          <w:rFonts w:ascii="Times New Roman" w:hAnsi="Times New Roman" w:cs="Times New Roman"/>
        </w:rPr>
        <w:t xml:space="preserve"> 29.795 kn</w:t>
      </w:r>
      <w:r w:rsidR="00685E07">
        <w:rPr>
          <w:rFonts w:ascii="Times New Roman" w:hAnsi="Times New Roman" w:cs="Times New Roman"/>
        </w:rPr>
        <w:t>;</w:t>
      </w:r>
    </w:p>
    <w:p w14:paraId="2A23F1B0" w14:textId="77777777" w:rsidR="00685E07" w:rsidRDefault="007302E2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 xml:space="preserve">naknadu za izbore za Hrvatski sabor </w:t>
      </w:r>
      <w:r w:rsidR="00685E07">
        <w:rPr>
          <w:rFonts w:ascii="Times New Roman" w:hAnsi="Times New Roman" w:cs="Times New Roman"/>
        </w:rPr>
        <w:t>u iznosu od</w:t>
      </w:r>
      <w:r w:rsidR="00685E07" w:rsidRPr="007302E2">
        <w:rPr>
          <w:rFonts w:ascii="Times New Roman" w:hAnsi="Times New Roman" w:cs="Times New Roman"/>
        </w:rPr>
        <w:t xml:space="preserve"> </w:t>
      </w:r>
      <w:r w:rsidRPr="007302E2">
        <w:rPr>
          <w:rFonts w:ascii="Times New Roman" w:hAnsi="Times New Roman" w:cs="Times New Roman"/>
        </w:rPr>
        <w:t>20.2</w:t>
      </w:r>
      <w:r w:rsidR="0059121F">
        <w:rPr>
          <w:rFonts w:ascii="Times New Roman" w:hAnsi="Times New Roman" w:cs="Times New Roman"/>
        </w:rPr>
        <w:t>69</w:t>
      </w:r>
      <w:r w:rsidRPr="007302E2">
        <w:rPr>
          <w:rFonts w:ascii="Times New Roman" w:hAnsi="Times New Roman" w:cs="Times New Roman"/>
        </w:rPr>
        <w:t xml:space="preserve"> kn</w:t>
      </w:r>
      <w:r w:rsidR="00685E07">
        <w:rPr>
          <w:rFonts w:ascii="Times New Roman" w:hAnsi="Times New Roman" w:cs="Times New Roman"/>
        </w:rPr>
        <w:t>;</w:t>
      </w:r>
    </w:p>
    <w:p w14:paraId="51FF556B" w14:textId="77777777" w:rsidR="00685E07" w:rsidRDefault="007302E2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 w:rsidRPr="007302E2">
        <w:rPr>
          <w:rFonts w:ascii="Times New Roman" w:hAnsi="Times New Roman" w:cs="Times New Roman"/>
        </w:rPr>
        <w:t>pomoći od države za uređenje plaža</w:t>
      </w:r>
      <w:r>
        <w:rPr>
          <w:rFonts w:ascii="Times New Roman" w:hAnsi="Times New Roman" w:cs="Times New Roman"/>
        </w:rPr>
        <w:t xml:space="preserve"> u iznosu od 200.000</w:t>
      </w:r>
      <w:r w:rsidRPr="00D23708">
        <w:rPr>
          <w:rFonts w:ascii="Times New Roman" w:hAnsi="Times New Roman" w:cs="Times New Roman"/>
        </w:rPr>
        <w:t xml:space="preserve"> </w:t>
      </w:r>
      <w:r w:rsidR="0059121F">
        <w:rPr>
          <w:rFonts w:ascii="Times New Roman" w:hAnsi="Times New Roman" w:cs="Times New Roman"/>
        </w:rPr>
        <w:t>kn</w:t>
      </w:r>
      <w:r w:rsidR="00685E07">
        <w:rPr>
          <w:rFonts w:ascii="Times New Roman" w:hAnsi="Times New Roman" w:cs="Times New Roman"/>
        </w:rPr>
        <w:t>;</w:t>
      </w:r>
    </w:p>
    <w:p w14:paraId="641F1109" w14:textId="77777777" w:rsidR="00685E07" w:rsidRDefault="00685E07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121F">
        <w:rPr>
          <w:rFonts w:ascii="Times New Roman" w:hAnsi="Times New Roman" w:cs="Times New Roman"/>
        </w:rPr>
        <w:t>rojekt Medni dan u školama u iznosu od 13.797 kn</w:t>
      </w:r>
      <w:r>
        <w:rPr>
          <w:rFonts w:ascii="Times New Roman" w:hAnsi="Times New Roman" w:cs="Times New Roman"/>
        </w:rPr>
        <w:t>;</w:t>
      </w:r>
    </w:p>
    <w:p w14:paraId="0371CFDF" w14:textId="4D2373D2" w:rsidR="007302E2" w:rsidRDefault="0059121F" w:rsidP="000F0011">
      <w:pPr>
        <w:pStyle w:val="Style20"/>
        <w:widowControl/>
        <w:numPr>
          <w:ilvl w:val="0"/>
          <w:numId w:val="4"/>
        </w:numPr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zaštite i očuvanja kulturnih dobara u iznosu od 50.000 kn.</w:t>
      </w:r>
    </w:p>
    <w:p w14:paraId="72AD91BE" w14:textId="07BD10A6" w:rsidR="0059121F" w:rsidRDefault="0059121F" w:rsidP="007302E2">
      <w:pPr>
        <w:pStyle w:val="Style20"/>
        <w:widowControl/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</w:p>
    <w:p w14:paraId="34F67A61" w14:textId="30AAB2AF" w:rsidR="0059121F" w:rsidRDefault="0059121F" w:rsidP="0059121F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t>BILJEŠKA br. 7</w:t>
      </w:r>
    </w:p>
    <w:p w14:paraId="7B34760F" w14:textId="4B0B9AC5" w:rsidR="0059121F" w:rsidRDefault="0059121F" w:rsidP="007302E2">
      <w:pPr>
        <w:pStyle w:val="Style20"/>
        <w:widowControl/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Kapitalne pomoći od izvanproračunskih korisnika (AOP059) - iznose 2.647.128 kn i za 84,0% ostvarene</w:t>
      </w:r>
      <w:r w:rsidR="00342E4E">
        <w:rPr>
          <w:rFonts w:ascii="Times New Roman" w:hAnsi="Times New Roman" w:cs="Times New Roman"/>
        </w:rPr>
        <w:t xml:space="preserve"> su</w:t>
      </w:r>
      <w:r>
        <w:rPr>
          <w:rFonts w:ascii="Times New Roman" w:hAnsi="Times New Roman" w:cs="Times New Roman"/>
        </w:rPr>
        <w:t xml:space="preserve"> više nego u 2019. godini</w:t>
      </w:r>
      <w:r w:rsidR="00301F2A">
        <w:rPr>
          <w:rFonts w:ascii="Times New Roman" w:hAnsi="Times New Roman" w:cs="Times New Roman"/>
        </w:rPr>
        <w:t>. Prihod je ostvaren od Županij</w:t>
      </w:r>
      <w:r w:rsidR="00685E07">
        <w:rPr>
          <w:rFonts w:ascii="Times New Roman" w:hAnsi="Times New Roman" w:cs="Times New Roman"/>
        </w:rPr>
        <w:t>s</w:t>
      </w:r>
      <w:r w:rsidR="00301F2A">
        <w:rPr>
          <w:rFonts w:ascii="Times New Roman" w:hAnsi="Times New Roman" w:cs="Times New Roman"/>
        </w:rPr>
        <w:t xml:space="preserve">ke uprave za ceste </w:t>
      </w:r>
      <w:r w:rsidR="009C334E">
        <w:rPr>
          <w:rFonts w:ascii="Times New Roman" w:hAnsi="Times New Roman" w:cs="Times New Roman"/>
        </w:rPr>
        <w:t>-</w:t>
      </w:r>
      <w:r w:rsidR="00301F2A">
        <w:rPr>
          <w:rFonts w:ascii="Times New Roman" w:hAnsi="Times New Roman" w:cs="Times New Roman"/>
        </w:rPr>
        <w:t xml:space="preserve"> usluge stanice za tehnički pregled </w:t>
      </w:r>
      <w:r w:rsidR="00685E07">
        <w:rPr>
          <w:rFonts w:ascii="Times New Roman" w:hAnsi="Times New Roman" w:cs="Times New Roman"/>
        </w:rPr>
        <w:t xml:space="preserve">vozila </w:t>
      </w:r>
      <w:r w:rsidR="00301F2A">
        <w:rPr>
          <w:rFonts w:ascii="Times New Roman" w:hAnsi="Times New Roman" w:cs="Times New Roman"/>
        </w:rPr>
        <w:t>u iznosu od 1.479.449 kn odnosno za 40.861 kn više nego u 2019. godini zbog većeg broja izvršenih usluga te od</w:t>
      </w:r>
      <w:r w:rsidR="009C334E">
        <w:rPr>
          <w:rFonts w:ascii="Times New Roman" w:hAnsi="Times New Roman" w:cs="Times New Roman"/>
        </w:rPr>
        <w:t xml:space="preserve"> Fonda za zaštitu okoliša i energetske učinkovitosti za energetsku obnovu zgrade Dječjeg kreativnog centra u</w:t>
      </w:r>
      <w:r w:rsidR="00432C5C">
        <w:rPr>
          <w:rFonts w:ascii="Times New Roman" w:hAnsi="Times New Roman" w:cs="Times New Roman"/>
        </w:rPr>
        <w:t xml:space="preserve"> 2020. godini u</w:t>
      </w:r>
      <w:r w:rsidR="009C334E">
        <w:rPr>
          <w:rFonts w:ascii="Times New Roman" w:hAnsi="Times New Roman" w:cs="Times New Roman"/>
        </w:rPr>
        <w:t xml:space="preserve"> iznosu od 1.167.679 kn.</w:t>
      </w:r>
    </w:p>
    <w:p w14:paraId="041782FE" w14:textId="77777777" w:rsidR="00F02352" w:rsidRPr="00D23708" w:rsidRDefault="00F02352" w:rsidP="007302E2">
      <w:pPr>
        <w:pStyle w:val="Style20"/>
        <w:widowControl/>
        <w:tabs>
          <w:tab w:val="center" w:pos="4819"/>
        </w:tabs>
        <w:spacing w:line="276" w:lineRule="auto"/>
        <w:rPr>
          <w:rFonts w:ascii="Times New Roman" w:hAnsi="Times New Roman" w:cs="Times New Roman"/>
        </w:rPr>
      </w:pPr>
    </w:p>
    <w:p w14:paraId="2668D474" w14:textId="77777777" w:rsidR="00342E4E" w:rsidRDefault="00342E4E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2AB112A2" w14:textId="77777777" w:rsidR="00342E4E" w:rsidRDefault="00342E4E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495A7ED" w14:textId="1EAB3F88" w:rsidR="00432C5C" w:rsidRDefault="00432C5C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lastRenderedPageBreak/>
        <w:t>BILJEŠKA br. 8</w:t>
      </w:r>
    </w:p>
    <w:p w14:paraId="33AF28BB" w14:textId="0A40B4E1" w:rsidR="00432C5C" w:rsidRPr="00526AD1" w:rsidRDefault="00432C5C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253EC4">
        <w:rPr>
          <w:rFonts w:ascii="Times New Roman" w:hAnsi="Times New Roman" w:cs="Times New Roman"/>
        </w:rPr>
        <w:t xml:space="preserve">Tekuće pomoći </w:t>
      </w:r>
      <w:r>
        <w:rPr>
          <w:rFonts w:ascii="Times New Roman" w:hAnsi="Times New Roman" w:cs="Times New Roman"/>
        </w:rPr>
        <w:t>izravnanja za decentralizirane funkcije</w:t>
      </w:r>
      <w:r w:rsidRPr="00253EC4">
        <w:rPr>
          <w:rFonts w:ascii="Times New Roman" w:hAnsi="Times New Roman" w:cs="Times New Roman"/>
        </w:rPr>
        <w:t xml:space="preserve"> (AOP0</w:t>
      </w:r>
      <w:r>
        <w:rPr>
          <w:rFonts w:ascii="Times New Roman" w:hAnsi="Times New Roman" w:cs="Times New Roman"/>
        </w:rPr>
        <w:t>61</w:t>
      </w:r>
      <w:r w:rsidRPr="00253E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-</w:t>
      </w:r>
      <w:r w:rsidRPr="00253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iznose </w:t>
      </w:r>
      <w:r w:rsidRPr="00253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10.628.534</w:t>
      </w:r>
      <w:r w:rsidRPr="00253EC4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 ili 14,2% više nego u 2019. godini.</w:t>
      </w:r>
      <w:r w:rsidR="00D25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253EC4">
        <w:rPr>
          <w:rFonts w:ascii="Times New Roman" w:hAnsi="Times New Roman" w:cs="Times New Roman"/>
        </w:rPr>
        <w:t>a decentralizirane funkcije vatrogastva doznačen</w:t>
      </w:r>
      <w:r w:rsidR="00342E4E">
        <w:rPr>
          <w:rFonts w:ascii="Times New Roman" w:hAnsi="Times New Roman" w:cs="Times New Roman"/>
        </w:rPr>
        <w:t xml:space="preserve"> je</w:t>
      </w:r>
      <w:r w:rsidRPr="00253EC4">
        <w:rPr>
          <w:rFonts w:ascii="Times New Roman" w:hAnsi="Times New Roman" w:cs="Times New Roman"/>
        </w:rPr>
        <w:t xml:space="preserve"> iznos od </w:t>
      </w:r>
      <w:r>
        <w:rPr>
          <w:rFonts w:ascii="Times New Roman" w:hAnsi="Times New Roman" w:cs="Times New Roman"/>
        </w:rPr>
        <w:t>4.884.080</w:t>
      </w:r>
      <w:r w:rsidRPr="00253EC4">
        <w:rPr>
          <w:rFonts w:ascii="Times New Roman" w:hAnsi="Times New Roman" w:cs="Times New Roman"/>
        </w:rPr>
        <w:t xml:space="preserve"> kn, a </w:t>
      </w:r>
      <w:r>
        <w:rPr>
          <w:rFonts w:ascii="Times New Roman" w:hAnsi="Times New Roman" w:cs="Times New Roman"/>
        </w:rPr>
        <w:t>školstva iznos od</w:t>
      </w:r>
      <w:r w:rsidRPr="00253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5.700.375 kn. Razlika</w:t>
      </w:r>
      <w:r w:rsidRPr="00526AD1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44.079 </w:t>
      </w:r>
      <w:r w:rsidRPr="00526AD1">
        <w:rPr>
          <w:rFonts w:ascii="Times New Roman" w:hAnsi="Times New Roman" w:cs="Times New Roman"/>
        </w:rPr>
        <w:t>kn odnosi se na manje doznačen</w:t>
      </w:r>
      <w:r w:rsidR="00342E4E">
        <w:rPr>
          <w:rFonts w:ascii="Times New Roman" w:hAnsi="Times New Roman" w:cs="Times New Roman"/>
        </w:rPr>
        <w:t>a sredstva</w:t>
      </w:r>
      <w:r>
        <w:rPr>
          <w:rFonts w:ascii="Times New Roman" w:hAnsi="Times New Roman" w:cs="Times New Roman"/>
        </w:rPr>
        <w:t xml:space="preserve"> za vatrogastvo</w:t>
      </w:r>
      <w:r w:rsidRPr="00526AD1">
        <w:rPr>
          <w:rFonts w:ascii="Times New Roman" w:hAnsi="Times New Roman" w:cs="Times New Roman"/>
        </w:rPr>
        <w:t xml:space="preserve"> po obračunu u </w:t>
      </w:r>
      <w:r>
        <w:rPr>
          <w:rFonts w:ascii="Times New Roman" w:hAnsi="Times New Roman" w:cs="Times New Roman"/>
        </w:rPr>
        <w:t>2019.</w:t>
      </w:r>
      <w:r w:rsidRPr="00526AD1">
        <w:rPr>
          <w:rFonts w:ascii="Times New Roman" w:hAnsi="Times New Roman" w:cs="Times New Roman"/>
        </w:rPr>
        <w:t xml:space="preserve"> godini te je u </w:t>
      </w:r>
      <w:r>
        <w:rPr>
          <w:rFonts w:ascii="Times New Roman" w:hAnsi="Times New Roman" w:cs="Times New Roman"/>
        </w:rPr>
        <w:t>ovoj</w:t>
      </w:r>
      <w:r w:rsidRPr="00526AD1">
        <w:rPr>
          <w:rFonts w:ascii="Times New Roman" w:hAnsi="Times New Roman" w:cs="Times New Roman"/>
        </w:rPr>
        <w:t xml:space="preserve"> godini prihod knjižen u korist Grada.</w:t>
      </w:r>
    </w:p>
    <w:p w14:paraId="7E73AC68" w14:textId="77777777" w:rsidR="00342E4E" w:rsidRDefault="00342E4E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6CEE1A8D" w14:textId="6F67DC19" w:rsidR="00432C5C" w:rsidRDefault="00432C5C" w:rsidP="00432C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t>BILJEŠKA br. 9</w:t>
      </w:r>
    </w:p>
    <w:p w14:paraId="4E63358A" w14:textId="63A3CD77" w:rsidR="00017660" w:rsidRPr="00432C5C" w:rsidRDefault="00432C5C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5C">
        <w:rPr>
          <w:rFonts w:ascii="Times New Roman" w:hAnsi="Times New Roman" w:cs="Times New Roman"/>
          <w:sz w:val="24"/>
          <w:szCs w:val="24"/>
        </w:rPr>
        <w:t xml:space="preserve">Kapitalne pomoći izravnanja za decentralizirane funkcije (AOP062) </w:t>
      </w:r>
      <w:r w:rsidR="00792FA9">
        <w:rPr>
          <w:rFonts w:ascii="Times New Roman" w:hAnsi="Times New Roman" w:cs="Times New Roman"/>
          <w:sz w:val="24"/>
          <w:szCs w:val="24"/>
        </w:rPr>
        <w:t>-</w:t>
      </w:r>
      <w:r w:rsidRPr="00432C5C">
        <w:rPr>
          <w:rFonts w:ascii="Times New Roman" w:hAnsi="Times New Roman" w:cs="Times New Roman"/>
          <w:sz w:val="24"/>
          <w:szCs w:val="24"/>
        </w:rPr>
        <w:t xml:space="preserve"> iznose 1.780.061 kn i cjelokupni iznos odnosi se na </w:t>
      </w:r>
      <w:r w:rsidR="00792FA9">
        <w:rPr>
          <w:rFonts w:ascii="Times New Roman" w:hAnsi="Times New Roman" w:cs="Times New Roman"/>
          <w:sz w:val="24"/>
          <w:szCs w:val="24"/>
        </w:rPr>
        <w:t xml:space="preserve">pomoći za </w:t>
      </w:r>
      <w:r w:rsidRPr="00432C5C">
        <w:rPr>
          <w:rFonts w:ascii="Times New Roman" w:hAnsi="Times New Roman" w:cs="Times New Roman"/>
          <w:sz w:val="24"/>
          <w:szCs w:val="24"/>
        </w:rPr>
        <w:t>osnovno školstvo.</w:t>
      </w:r>
    </w:p>
    <w:p w14:paraId="2BDF60CB" w14:textId="339120CA" w:rsidR="00432C5C" w:rsidRDefault="00432C5C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86680" w14:textId="7C429C1E" w:rsidR="0095249B" w:rsidRPr="00526AD1" w:rsidRDefault="00432C5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02352">
        <w:rPr>
          <w:rFonts w:ascii="Times New Roman" w:hAnsi="Times New Roman" w:cs="Times New Roman"/>
          <w:b/>
        </w:rPr>
        <w:t>BILJEŠKA br. 10</w:t>
      </w:r>
    </w:p>
    <w:p w14:paraId="5B3CC38A" w14:textId="7C1484F2" w:rsidR="00AD4724" w:rsidRDefault="00AD4724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Prihodi od financijske imovine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(AOP075)</w:t>
      </w:r>
      <w:r w:rsidR="00EB2B53">
        <w:rPr>
          <w:rFonts w:ascii="Times New Roman" w:hAnsi="Times New Roman" w:cs="Times New Roman"/>
          <w:sz w:val="24"/>
          <w:szCs w:val="24"/>
        </w:rPr>
        <w:t xml:space="preserve"> -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432C5C">
        <w:rPr>
          <w:rFonts w:ascii="Times New Roman" w:hAnsi="Times New Roman" w:cs="Times New Roman"/>
          <w:sz w:val="24"/>
          <w:szCs w:val="24"/>
        </w:rPr>
        <w:t>444.858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432C5C">
        <w:rPr>
          <w:rFonts w:ascii="Times New Roman" w:hAnsi="Times New Roman" w:cs="Times New Roman"/>
          <w:sz w:val="24"/>
          <w:szCs w:val="24"/>
        </w:rPr>
        <w:t xml:space="preserve"> i ostvarene su za 23,7% manje nego u 2019. godinu </w:t>
      </w:r>
      <w:r w:rsidR="004F2097">
        <w:rPr>
          <w:rFonts w:ascii="Times New Roman" w:hAnsi="Times New Roman" w:cs="Times New Roman"/>
          <w:sz w:val="24"/>
          <w:szCs w:val="24"/>
        </w:rPr>
        <w:t>i to samo po osnovi</w:t>
      </w:r>
      <w:r w:rsidR="00163EBB">
        <w:rPr>
          <w:rFonts w:ascii="Times New Roman" w:hAnsi="Times New Roman" w:cs="Times New Roman"/>
          <w:sz w:val="24"/>
          <w:szCs w:val="24"/>
        </w:rPr>
        <w:t xml:space="preserve"> ka</w:t>
      </w:r>
      <w:r w:rsidR="00EB2B53">
        <w:rPr>
          <w:rFonts w:ascii="Times New Roman" w:hAnsi="Times New Roman" w:cs="Times New Roman"/>
          <w:sz w:val="24"/>
          <w:szCs w:val="24"/>
        </w:rPr>
        <w:t>mata na depozite po viđenju</w:t>
      </w:r>
      <w:r w:rsidR="004F2097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4F2097">
        <w:rPr>
          <w:rFonts w:ascii="Times New Roman" w:hAnsi="Times New Roman" w:cs="Times New Roman"/>
          <w:sz w:val="24"/>
          <w:szCs w:val="24"/>
        </w:rPr>
        <w:t>raloga</w:t>
      </w:r>
      <w:proofErr w:type="spellEnd"/>
      <w:r w:rsidR="004F2097">
        <w:rPr>
          <w:rFonts w:ascii="Times New Roman" w:hAnsi="Times New Roman" w:cs="Times New Roman"/>
          <w:sz w:val="24"/>
          <w:szCs w:val="24"/>
        </w:rPr>
        <w:t xml:space="preserve"> što u 2020. godini</w:t>
      </w:r>
      <w:r w:rsidR="00342E4E">
        <w:rPr>
          <w:rFonts w:ascii="Times New Roman" w:hAnsi="Times New Roman" w:cs="Times New Roman"/>
          <w:sz w:val="24"/>
          <w:szCs w:val="24"/>
        </w:rPr>
        <w:t xml:space="preserve"> Grad nije</w:t>
      </w:r>
      <w:r w:rsidR="004F2097">
        <w:rPr>
          <w:rFonts w:ascii="Times New Roman" w:hAnsi="Times New Roman" w:cs="Times New Roman"/>
          <w:sz w:val="24"/>
          <w:szCs w:val="24"/>
        </w:rPr>
        <w:t xml:space="preserve"> oročava</w:t>
      </w:r>
      <w:r w:rsidR="00342E4E">
        <w:rPr>
          <w:rFonts w:ascii="Times New Roman" w:hAnsi="Times New Roman" w:cs="Times New Roman"/>
          <w:sz w:val="24"/>
          <w:szCs w:val="24"/>
        </w:rPr>
        <w:t>o</w:t>
      </w:r>
      <w:r w:rsidR="004F2097">
        <w:rPr>
          <w:rFonts w:ascii="Times New Roman" w:hAnsi="Times New Roman" w:cs="Times New Roman"/>
          <w:sz w:val="24"/>
          <w:szCs w:val="24"/>
        </w:rPr>
        <w:t xml:space="preserve"> sredstva</w:t>
      </w:r>
      <w:r w:rsidR="00C17F50">
        <w:rPr>
          <w:rFonts w:ascii="Times New Roman" w:hAnsi="Times New Roman" w:cs="Times New Roman"/>
          <w:sz w:val="24"/>
          <w:szCs w:val="24"/>
        </w:rPr>
        <w:t xml:space="preserve"> </w:t>
      </w:r>
      <w:r w:rsidR="00342E4E">
        <w:rPr>
          <w:rFonts w:ascii="Times New Roman" w:hAnsi="Times New Roman" w:cs="Times New Roman"/>
          <w:sz w:val="24"/>
          <w:szCs w:val="24"/>
        </w:rPr>
        <w:t>zbog malih kamatnih stopa te nije</w:t>
      </w:r>
      <w:r w:rsidR="00C17F50">
        <w:rPr>
          <w:rFonts w:ascii="Times New Roman" w:hAnsi="Times New Roman" w:cs="Times New Roman"/>
          <w:sz w:val="24"/>
          <w:szCs w:val="24"/>
        </w:rPr>
        <w:t xml:space="preserve"> ostvar</w:t>
      </w:r>
      <w:r w:rsidR="00342E4E">
        <w:rPr>
          <w:rFonts w:ascii="Times New Roman" w:hAnsi="Times New Roman" w:cs="Times New Roman"/>
          <w:sz w:val="24"/>
          <w:szCs w:val="24"/>
        </w:rPr>
        <w:t>en</w:t>
      </w:r>
      <w:r w:rsidR="00C17F50">
        <w:rPr>
          <w:rFonts w:ascii="Times New Roman" w:hAnsi="Times New Roman" w:cs="Times New Roman"/>
          <w:sz w:val="24"/>
          <w:szCs w:val="24"/>
        </w:rPr>
        <w:t xml:space="preserve"> prihod od dividendi. </w:t>
      </w:r>
    </w:p>
    <w:p w14:paraId="7099D423" w14:textId="77777777" w:rsidR="00B40484" w:rsidRPr="00526AD1" w:rsidRDefault="00B40484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6C3B6C" w14:textId="226C2170" w:rsidR="00AD4724" w:rsidRPr="00526AD1" w:rsidRDefault="009A766F" w:rsidP="0095249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BE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4F2097" w:rsidRPr="00AB3ABE">
        <w:rPr>
          <w:rFonts w:ascii="Times New Roman" w:hAnsi="Times New Roman" w:cs="Times New Roman"/>
          <w:b/>
          <w:sz w:val="24"/>
          <w:szCs w:val="24"/>
        </w:rPr>
        <w:t>11</w:t>
      </w:r>
    </w:p>
    <w:p w14:paraId="26FBACDC" w14:textId="0B40E343" w:rsidR="003D1852" w:rsidRDefault="00A16F19" w:rsidP="0002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CE">
        <w:rPr>
          <w:rFonts w:ascii="Times New Roman" w:hAnsi="Times New Roman" w:cs="Times New Roman"/>
          <w:sz w:val="24"/>
          <w:szCs w:val="24"/>
        </w:rPr>
        <w:t>N</w:t>
      </w:r>
      <w:r w:rsidR="008D6DCE" w:rsidRPr="000228CE">
        <w:rPr>
          <w:rFonts w:ascii="Times New Roman" w:hAnsi="Times New Roman" w:cs="Times New Roman"/>
          <w:sz w:val="24"/>
          <w:szCs w:val="24"/>
        </w:rPr>
        <w:t>aknade za koncesije</w:t>
      </w:r>
      <w:r w:rsidRPr="000228CE">
        <w:rPr>
          <w:rFonts w:ascii="Times New Roman" w:hAnsi="Times New Roman" w:cs="Times New Roman"/>
          <w:sz w:val="24"/>
          <w:szCs w:val="24"/>
        </w:rPr>
        <w:t xml:space="preserve"> (AOP084) - </w:t>
      </w:r>
      <w:r w:rsidR="00C17F50" w:rsidRPr="000228CE">
        <w:rPr>
          <w:rFonts w:ascii="Times New Roman" w:hAnsi="Times New Roman" w:cs="Times New Roman"/>
          <w:sz w:val="24"/>
          <w:szCs w:val="24"/>
        </w:rPr>
        <w:t>iznose</w:t>
      </w:r>
      <w:r w:rsidR="00522FE4" w:rsidRPr="000228CE">
        <w:rPr>
          <w:rFonts w:ascii="Times New Roman" w:hAnsi="Times New Roman" w:cs="Times New Roman"/>
          <w:sz w:val="24"/>
          <w:szCs w:val="24"/>
        </w:rPr>
        <w:t xml:space="preserve"> </w:t>
      </w:r>
      <w:r w:rsidR="009A766F" w:rsidRPr="000228CE">
        <w:rPr>
          <w:rFonts w:ascii="Times New Roman" w:hAnsi="Times New Roman" w:cs="Times New Roman"/>
          <w:sz w:val="24"/>
          <w:szCs w:val="24"/>
        </w:rPr>
        <w:t>2.</w:t>
      </w:r>
      <w:r w:rsidR="00C17F50" w:rsidRPr="000228CE">
        <w:rPr>
          <w:rFonts w:ascii="Times New Roman" w:hAnsi="Times New Roman" w:cs="Times New Roman"/>
          <w:sz w:val="24"/>
          <w:szCs w:val="24"/>
        </w:rPr>
        <w:t>477.142</w:t>
      </w:r>
      <w:r w:rsidR="00522FE4" w:rsidRPr="000228CE">
        <w:rPr>
          <w:rFonts w:ascii="Times New Roman" w:hAnsi="Times New Roman" w:cs="Times New Roman"/>
          <w:sz w:val="24"/>
          <w:szCs w:val="24"/>
        </w:rPr>
        <w:t xml:space="preserve"> kn</w:t>
      </w:r>
      <w:r w:rsidR="00FC08EF" w:rsidRPr="000228CE">
        <w:rPr>
          <w:rFonts w:ascii="Times New Roman" w:hAnsi="Times New Roman" w:cs="Times New Roman"/>
          <w:sz w:val="24"/>
          <w:szCs w:val="24"/>
        </w:rPr>
        <w:t>, za 11,2% više nego u 2019. godini,</w:t>
      </w:r>
      <w:r w:rsidR="00522FE4" w:rsidRPr="000228CE">
        <w:rPr>
          <w:rFonts w:ascii="Times New Roman" w:hAnsi="Times New Roman" w:cs="Times New Roman"/>
          <w:sz w:val="24"/>
          <w:szCs w:val="24"/>
        </w:rPr>
        <w:t xml:space="preserve"> </w:t>
      </w:r>
      <w:r w:rsidR="008D6DCE" w:rsidRPr="000228CE">
        <w:rPr>
          <w:rFonts w:ascii="Times New Roman" w:hAnsi="Times New Roman" w:cs="Times New Roman"/>
          <w:sz w:val="24"/>
          <w:szCs w:val="24"/>
        </w:rPr>
        <w:t xml:space="preserve">odnosno naknade za koncesije na pomorskom dobru ostvarene u </w:t>
      </w:r>
      <w:r w:rsidR="00125AB2" w:rsidRPr="000228C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17F50" w:rsidRPr="000228CE">
        <w:rPr>
          <w:rFonts w:ascii="Times New Roman" w:hAnsi="Times New Roman" w:cs="Times New Roman"/>
          <w:sz w:val="24"/>
          <w:szCs w:val="24"/>
        </w:rPr>
        <w:t>1.779.339</w:t>
      </w:r>
      <w:r w:rsidR="008D6DCE" w:rsidRPr="000228CE">
        <w:rPr>
          <w:rFonts w:ascii="Times New Roman" w:hAnsi="Times New Roman" w:cs="Times New Roman"/>
          <w:sz w:val="24"/>
          <w:szCs w:val="24"/>
        </w:rPr>
        <w:t xml:space="preserve"> kn</w:t>
      </w:r>
      <w:r w:rsidR="00C17F50" w:rsidRPr="000228CE">
        <w:rPr>
          <w:rFonts w:ascii="Times New Roman" w:hAnsi="Times New Roman" w:cs="Times New Roman"/>
          <w:sz w:val="24"/>
          <w:szCs w:val="24"/>
        </w:rPr>
        <w:t xml:space="preserve"> što je više nego u 2019. godini zbog većeg broja odobrenih koncesija na pomorskom dobru</w:t>
      </w:r>
      <w:r w:rsidR="00D21C60" w:rsidRPr="000228CE">
        <w:rPr>
          <w:rFonts w:ascii="Times New Roman" w:hAnsi="Times New Roman" w:cs="Times New Roman"/>
          <w:sz w:val="24"/>
          <w:szCs w:val="24"/>
        </w:rPr>
        <w:t xml:space="preserve"> u svrhu gospodarskog korištenja luke</w:t>
      </w:r>
      <w:r w:rsidR="00342E4E">
        <w:rPr>
          <w:rFonts w:ascii="Times New Roman" w:hAnsi="Times New Roman" w:cs="Times New Roman"/>
          <w:sz w:val="24"/>
          <w:szCs w:val="24"/>
        </w:rPr>
        <w:t>. N</w:t>
      </w:r>
      <w:r w:rsidR="008D6DCE" w:rsidRPr="000228CE">
        <w:rPr>
          <w:rFonts w:ascii="Times New Roman" w:hAnsi="Times New Roman" w:cs="Times New Roman"/>
          <w:sz w:val="24"/>
          <w:szCs w:val="24"/>
        </w:rPr>
        <w:t xml:space="preserve">aknade za koncesijsko odobrenje u iznosu od </w:t>
      </w:r>
      <w:r w:rsidR="00D21C60" w:rsidRPr="000228CE">
        <w:rPr>
          <w:rFonts w:ascii="Times New Roman" w:hAnsi="Times New Roman" w:cs="Times New Roman"/>
          <w:sz w:val="24"/>
          <w:szCs w:val="24"/>
        </w:rPr>
        <w:t>697.803</w:t>
      </w:r>
      <w:r w:rsidR="00AE37F0" w:rsidRPr="000228CE">
        <w:rPr>
          <w:rFonts w:ascii="Times New Roman" w:hAnsi="Times New Roman" w:cs="Times New Roman"/>
          <w:sz w:val="24"/>
          <w:szCs w:val="24"/>
        </w:rPr>
        <w:t xml:space="preserve"> kn</w:t>
      </w:r>
      <w:r w:rsidR="008D6DCE" w:rsidRPr="000228CE">
        <w:rPr>
          <w:rFonts w:ascii="Times New Roman" w:hAnsi="Times New Roman" w:cs="Times New Roman"/>
          <w:sz w:val="24"/>
          <w:szCs w:val="24"/>
        </w:rPr>
        <w:t xml:space="preserve"> </w:t>
      </w:r>
      <w:r w:rsidR="00342E4E">
        <w:rPr>
          <w:rFonts w:ascii="Times New Roman" w:hAnsi="Times New Roman" w:cs="Times New Roman"/>
          <w:sz w:val="24"/>
          <w:szCs w:val="24"/>
        </w:rPr>
        <w:t>ostvarene su</w:t>
      </w:r>
      <w:r w:rsidR="00D21C60" w:rsidRPr="000228CE">
        <w:rPr>
          <w:rFonts w:ascii="Times New Roman" w:hAnsi="Times New Roman" w:cs="Times New Roman"/>
          <w:sz w:val="24"/>
          <w:szCs w:val="24"/>
        </w:rPr>
        <w:t xml:space="preserve"> nešto manje nego 2019. godine zbog lošije gospodarske situacije uzrokovane </w:t>
      </w:r>
      <w:r w:rsidR="00E70FC6">
        <w:rPr>
          <w:rFonts w:ascii="Times New Roman" w:hAnsi="Times New Roman" w:cs="Times New Roman"/>
          <w:sz w:val="24"/>
          <w:szCs w:val="24"/>
        </w:rPr>
        <w:t>epidemijom bolesti COVID-19</w:t>
      </w:r>
      <w:r w:rsidR="00D21C60" w:rsidRPr="000228CE">
        <w:rPr>
          <w:rFonts w:ascii="Times New Roman" w:hAnsi="Times New Roman" w:cs="Times New Roman"/>
          <w:sz w:val="24"/>
          <w:szCs w:val="24"/>
        </w:rPr>
        <w:t>, što je ujedno i razlog da su izostale</w:t>
      </w:r>
      <w:r w:rsidR="008D6DCE" w:rsidRPr="000228CE">
        <w:rPr>
          <w:rFonts w:ascii="Times New Roman" w:hAnsi="Times New Roman" w:cs="Times New Roman"/>
          <w:sz w:val="24"/>
          <w:szCs w:val="24"/>
        </w:rPr>
        <w:t xml:space="preserve"> naknade za koncesije za turističko zemljište</w:t>
      </w:r>
      <w:r w:rsidR="003A7BA0" w:rsidRPr="000228CE">
        <w:rPr>
          <w:rFonts w:ascii="Times New Roman" w:hAnsi="Times New Roman" w:cs="Times New Roman"/>
          <w:sz w:val="24"/>
          <w:szCs w:val="24"/>
        </w:rPr>
        <w:t xml:space="preserve"> u kampovima</w:t>
      </w:r>
      <w:r w:rsidR="00D21C60" w:rsidRPr="000228CE">
        <w:rPr>
          <w:rFonts w:ascii="Times New Roman" w:hAnsi="Times New Roman" w:cs="Times New Roman"/>
          <w:sz w:val="24"/>
          <w:szCs w:val="24"/>
        </w:rPr>
        <w:t xml:space="preserve"> u 2020. godini</w:t>
      </w:r>
      <w:r w:rsidR="00342E4E">
        <w:rPr>
          <w:rFonts w:ascii="Times New Roman" w:hAnsi="Times New Roman" w:cs="Times New Roman"/>
          <w:sz w:val="24"/>
          <w:szCs w:val="24"/>
        </w:rPr>
        <w:t>.</w:t>
      </w:r>
    </w:p>
    <w:p w14:paraId="6BE2D968" w14:textId="77777777" w:rsidR="000228CE" w:rsidRPr="000228CE" w:rsidRDefault="000228CE" w:rsidP="0002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47BED" w14:textId="294B86F4" w:rsidR="000228CE" w:rsidRPr="00526AD1" w:rsidRDefault="000228CE" w:rsidP="000228C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BE">
        <w:rPr>
          <w:rFonts w:ascii="Times New Roman" w:hAnsi="Times New Roman" w:cs="Times New Roman"/>
          <w:b/>
          <w:sz w:val="24"/>
          <w:szCs w:val="24"/>
        </w:rPr>
        <w:t>BILJEŠKA br. 12</w:t>
      </w:r>
    </w:p>
    <w:p w14:paraId="0126B4A9" w14:textId="49E14E1C" w:rsidR="003D1852" w:rsidRPr="000228CE" w:rsidRDefault="00A16F19" w:rsidP="0002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CE">
        <w:rPr>
          <w:rFonts w:ascii="Times New Roman" w:hAnsi="Times New Roman" w:cs="Times New Roman"/>
          <w:sz w:val="24"/>
          <w:szCs w:val="24"/>
        </w:rPr>
        <w:t>P</w:t>
      </w:r>
      <w:r w:rsidR="008D6DCE" w:rsidRPr="000228CE">
        <w:rPr>
          <w:rFonts w:ascii="Times New Roman" w:hAnsi="Times New Roman" w:cs="Times New Roman"/>
          <w:sz w:val="24"/>
          <w:szCs w:val="24"/>
        </w:rPr>
        <w:t>rihodi od zakupa i iznajmljivanja imovine</w:t>
      </w:r>
      <w:r w:rsidR="00EB597F" w:rsidRPr="000228CE">
        <w:rPr>
          <w:rFonts w:ascii="Times New Roman" w:hAnsi="Times New Roman" w:cs="Times New Roman"/>
          <w:sz w:val="24"/>
          <w:szCs w:val="24"/>
        </w:rPr>
        <w:t xml:space="preserve"> (AOP085) </w:t>
      </w:r>
      <w:r w:rsidR="00D21C60" w:rsidRPr="000228CE">
        <w:rPr>
          <w:rFonts w:ascii="Times New Roman" w:hAnsi="Times New Roman" w:cs="Times New Roman"/>
          <w:sz w:val="24"/>
          <w:szCs w:val="24"/>
        </w:rPr>
        <w:t>-</w:t>
      </w:r>
      <w:r w:rsidR="00EB597F" w:rsidRPr="000228CE">
        <w:rPr>
          <w:rFonts w:ascii="Times New Roman" w:hAnsi="Times New Roman" w:cs="Times New Roman"/>
          <w:sz w:val="24"/>
          <w:szCs w:val="24"/>
        </w:rPr>
        <w:t xml:space="preserve"> </w:t>
      </w:r>
      <w:r w:rsidR="00D21C60" w:rsidRPr="000228CE">
        <w:rPr>
          <w:rFonts w:ascii="Times New Roman" w:hAnsi="Times New Roman" w:cs="Times New Roman"/>
          <w:sz w:val="24"/>
          <w:szCs w:val="24"/>
        </w:rPr>
        <w:t>iznose 22.204.070</w:t>
      </w:r>
      <w:r w:rsidR="00522FE4" w:rsidRPr="000228CE">
        <w:rPr>
          <w:rFonts w:ascii="Times New Roman" w:hAnsi="Times New Roman" w:cs="Times New Roman"/>
          <w:sz w:val="24"/>
          <w:szCs w:val="24"/>
        </w:rPr>
        <w:t xml:space="preserve"> kn</w:t>
      </w:r>
      <w:r w:rsidR="00FC08EF" w:rsidRPr="000228CE">
        <w:rPr>
          <w:rFonts w:ascii="Times New Roman" w:hAnsi="Times New Roman" w:cs="Times New Roman"/>
          <w:sz w:val="24"/>
          <w:szCs w:val="24"/>
        </w:rPr>
        <w:t xml:space="preserve">, za 11,3% </w:t>
      </w:r>
      <w:r w:rsidR="00342E4E">
        <w:rPr>
          <w:rFonts w:ascii="Times New Roman" w:hAnsi="Times New Roman" w:cs="Times New Roman"/>
          <w:sz w:val="24"/>
          <w:szCs w:val="24"/>
        </w:rPr>
        <w:t xml:space="preserve">su </w:t>
      </w:r>
      <w:r w:rsidR="00FC08EF" w:rsidRPr="000228CE">
        <w:rPr>
          <w:rFonts w:ascii="Times New Roman" w:hAnsi="Times New Roman" w:cs="Times New Roman"/>
          <w:sz w:val="24"/>
          <w:szCs w:val="24"/>
        </w:rPr>
        <w:t>manje nego u 2019. godini</w:t>
      </w:r>
      <w:r w:rsidR="00342E4E">
        <w:rPr>
          <w:rFonts w:ascii="Times New Roman" w:hAnsi="Times New Roman" w:cs="Times New Roman"/>
          <w:sz w:val="24"/>
          <w:szCs w:val="24"/>
        </w:rPr>
        <w:t>. Na</w:t>
      </w:r>
      <w:r w:rsidR="000228CE" w:rsidRPr="00C42BB5">
        <w:rPr>
          <w:rFonts w:ascii="Times New Roman" w:hAnsi="Times New Roman" w:cs="Times New Roman"/>
          <w:sz w:val="24"/>
          <w:szCs w:val="24"/>
        </w:rPr>
        <w:t xml:space="preserve"> smanjenje je utjecalo zatvaranje poslovnih objekata odnosno zabrana rada poduzetnika </w:t>
      </w:r>
      <w:r w:rsidR="00342E4E">
        <w:rPr>
          <w:rFonts w:ascii="Times New Roman" w:hAnsi="Times New Roman" w:cs="Times New Roman"/>
          <w:sz w:val="24"/>
          <w:szCs w:val="24"/>
        </w:rPr>
        <w:t>u pojedinim razdobljima</w:t>
      </w:r>
      <w:r w:rsidR="000228CE" w:rsidRPr="00C42BB5">
        <w:rPr>
          <w:rFonts w:ascii="Times New Roman" w:hAnsi="Times New Roman" w:cs="Times New Roman"/>
          <w:sz w:val="24"/>
          <w:szCs w:val="24"/>
        </w:rPr>
        <w:t xml:space="preserve"> kako bi se utjecalo na </w:t>
      </w:r>
      <w:r w:rsidR="00342E4E">
        <w:rPr>
          <w:rFonts w:ascii="Times New Roman" w:hAnsi="Times New Roman" w:cs="Times New Roman"/>
          <w:sz w:val="24"/>
          <w:szCs w:val="24"/>
        </w:rPr>
        <w:t xml:space="preserve">suzbijanje </w:t>
      </w:r>
      <w:r w:rsidR="000228CE" w:rsidRPr="00C42BB5">
        <w:rPr>
          <w:rFonts w:ascii="Times New Roman" w:hAnsi="Times New Roman" w:cs="Times New Roman"/>
          <w:sz w:val="24"/>
          <w:szCs w:val="24"/>
        </w:rPr>
        <w:t>širenj</w:t>
      </w:r>
      <w:r w:rsidR="00342E4E">
        <w:rPr>
          <w:rFonts w:ascii="Times New Roman" w:hAnsi="Times New Roman" w:cs="Times New Roman"/>
          <w:sz w:val="24"/>
          <w:szCs w:val="24"/>
        </w:rPr>
        <w:t>a</w:t>
      </w:r>
      <w:r w:rsidR="000228CE" w:rsidRPr="00C42BB5">
        <w:rPr>
          <w:rFonts w:ascii="Times New Roman" w:hAnsi="Times New Roman" w:cs="Times New Roman"/>
          <w:sz w:val="24"/>
          <w:szCs w:val="24"/>
        </w:rPr>
        <w:t xml:space="preserve"> virusa, ali i odluka Grada, kao pomoć poduzetnicima</w:t>
      </w:r>
      <w:r w:rsidR="000F2D3C" w:rsidRPr="00C42BB5">
        <w:rPr>
          <w:rFonts w:ascii="Times New Roman" w:hAnsi="Times New Roman" w:cs="Times New Roman"/>
          <w:sz w:val="24"/>
          <w:szCs w:val="24"/>
        </w:rPr>
        <w:t xml:space="preserve"> </w:t>
      </w:r>
      <w:r w:rsidR="000228CE" w:rsidRPr="00C42BB5">
        <w:rPr>
          <w:rFonts w:ascii="Times New Roman" w:hAnsi="Times New Roman" w:cs="Times New Roman"/>
          <w:sz w:val="24"/>
          <w:szCs w:val="24"/>
        </w:rPr>
        <w:t>za oslobađanje od plaćanja zakupnine za poslovne prostore u vlasništvu Grada</w:t>
      </w:r>
      <w:r w:rsidR="00342E4E">
        <w:rPr>
          <w:rFonts w:ascii="Times New Roman" w:hAnsi="Times New Roman" w:cs="Times New Roman"/>
          <w:sz w:val="24"/>
          <w:szCs w:val="24"/>
        </w:rPr>
        <w:t>, odnosno plaćanje zakupnine u iznosu od 1 kn.</w:t>
      </w:r>
    </w:p>
    <w:p w14:paraId="7A721975" w14:textId="77777777" w:rsidR="000228CE" w:rsidRDefault="000228CE" w:rsidP="000228C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BA2D4EC" w14:textId="5184FA22" w:rsidR="000228CE" w:rsidRPr="00526AD1" w:rsidRDefault="000228CE" w:rsidP="000228C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BE">
        <w:rPr>
          <w:rFonts w:ascii="Times New Roman" w:hAnsi="Times New Roman" w:cs="Times New Roman"/>
          <w:b/>
          <w:sz w:val="24"/>
          <w:szCs w:val="24"/>
        </w:rPr>
        <w:t>BILJEŠKA br. 13</w:t>
      </w:r>
    </w:p>
    <w:p w14:paraId="62100B5B" w14:textId="5CB1EE45" w:rsidR="004059A7" w:rsidRPr="000228CE" w:rsidRDefault="006A577E" w:rsidP="0002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CE">
        <w:rPr>
          <w:rFonts w:ascii="Times New Roman" w:hAnsi="Times New Roman" w:cs="Times New Roman"/>
          <w:sz w:val="24"/>
          <w:szCs w:val="24"/>
        </w:rPr>
        <w:t xml:space="preserve">Ostali prihodi </w:t>
      </w:r>
      <w:r w:rsidR="00EB597F" w:rsidRPr="000228CE">
        <w:rPr>
          <w:rFonts w:ascii="Times New Roman" w:hAnsi="Times New Roman" w:cs="Times New Roman"/>
          <w:sz w:val="24"/>
          <w:szCs w:val="24"/>
        </w:rPr>
        <w:t xml:space="preserve">od nefinancijske imovine (AOP089) - odnosno </w:t>
      </w:r>
      <w:r w:rsidR="009A766F" w:rsidRPr="000228CE">
        <w:rPr>
          <w:rFonts w:ascii="Times New Roman" w:hAnsi="Times New Roman" w:cs="Times New Roman"/>
          <w:sz w:val="24"/>
          <w:szCs w:val="24"/>
        </w:rPr>
        <w:t xml:space="preserve">naknada za nezakonito izgrađene zgrade u prostoru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iznosi 216.426 kn i </w:t>
      </w:r>
      <w:r w:rsidR="008B182B">
        <w:rPr>
          <w:rFonts w:ascii="Times New Roman" w:hAnsi="Times New Roman" w:cs="Times New Roman"/>
          <w:sz w:val="24"/>
          <w:szCs w:val="24"/>
        </w:rPr>
        <w:t xml:space="preserve">bilježi smanjenje od 16,3% što je i </w:t>
      </w:r>
      <w:r w:rsidR="00BE1F67" w:rsidRPr="000228CE">
        <w:rPr>
          <w:rFonts w:ascii="Times New Roman" w:hAnsi="Times New Roman" w:cs="Times New Roman"/>
          <w:sz w:val="24"/>
          <w:szCs w:val="24"/>
        </w:rPr>
        <w:t>očekivano iz razloga što su zahtjev</w:t>
      </w:r>
      <w:r w:rsidR="00102DDE">
        <w:rPr>
          <w:rFonts w:ascii="Times New Roman" w:hAnsi="Times New Roman" w:cs="Times New Roman"/>
          <w:sz w:val="24"/>
          <w:szCs w:val="24"/>
        </w:rPr>
        <w:t>i</w:t>
      </w:r>
      <w:r w:rsidR="00BE1F67" w:rsidRPr="000228CE">
        <w:rPr>
          <w:rFonts w:ascii="Times New Roman" w:hAnsi="Times New Roman" w:cs="Times New Roman"/>
          <w:sz w:val="24"/>
          <w:szCs w:val="24"/>
        </w:rPr>
        <w:t xml:space="preserve"> za legalizaciju objekta </w:t>
      </w:r>
      <w:r w:rsidR="00102DDE">
        <w:rPr>
          <w:rFonts w:ascii="Times New Roman" w:hAnsi="Times New Roman" w:cs="Times New Roman"/>
          <w:sz w:val="24"/>
          <w:szCs w:val="24"/>
        </w:rPr>
        <w:t>riješeni i plaćeni u prethodnim razdobljima.</w:t>
      </w:r>
      <w:r w:rsidR="00BE1F67" w:rsidRPr="00022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79028" w14:textId="77777777" w:rsidR="00B071C9" w:rsidRDefault="00B071C9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4092" w14:textId="757CCCBB" w:rsidR="00424514" w:rsidRPr="00576340" w:rsidRDefault="00424514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BE">
        <w:rPr>
          <w:rFonts w:ascii="Times New Roman" w:hAnsi="Times New Roman" w:cs="Times New Roman"/>
          <w:b/>
          <w:sz w:val="24"/>
          <w:szCs w:val="24"/>
        </w:rPr>
        <w:t>BILJEŠKA br. 1</w:t>
      </w:r>
      <w:r w:rsidR="008B182B" w:rsidRPr="00AB3ABE">
        <w:rPr>
          <w:rFonts w:ascii="Times New Roman" w:hAnsi="Times New Roman" w:cs="Times New Roman"/>
          <w:b/>
          <w:sz w:val="24"/>
          <w:szCs w:val="24"/>
        </w:rPr>
        <w:t>4</w:t>
      </w:r>
    </w:p>
    <w:p w14:paraId="737BBF1F" w14:textId="310EBB83" w:rsidR="004B68A7" w:rsidRDefault="004B68A7" w:rsidP="008B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2B">
        <w:rPr>
          <w:rFonts w:ascii="Times New Roman" w:hAnsi="Times New Roman" w:cs="Times New Roman"/>
          <w:sz w:val="24"/>
          <w:szCs w:val="24"/>
        </w:rPr>
        <w:t xml:space="preserve">Ostale pristojbe i naknade (AOP110) </w:t>
      </w:r>
      <w:r w:rsidR="00AB1AE9">
        <w:rPr>
          <w:rFonts w:ascii="Times New Roman" w:hAnsi="Times New Roman" w:cs="Times New Roman"/>
          <w:sz w:val="24"/>
          <w:szCs w:val="24"/>
        </w:rPr>
        <w:t>-</w:t>
      </w:r>
      <w:r w:rsidRPr="008B182B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iznose 1.102.867 kn i </w:t>
      </w:r>
      <w:r w:rsidRPr="008B182B">
        <w:rPr>
          <w:rFonts w:ascii="Times New Roman" w:hAnsi="Times New Roman" w:cs="Times New Roman"/>
          <w:sz w:val="24"/>
          <w:szCs w:val="24"/>
        </w:rPr>
        <w:t>ostvarene su po osnovi boravišne pristojbe doznačene od Turističke zajednice grada Pule</w:t>
      </w:r>
      <w:r w:rsidR="008B182B">
        <w:rPr>
          <w:rFonts w:ascii="Times New Roman" w:hAnsi="Times New Roman" w:cs="Times New Roman"/>
          <w:sz w:val="24"/>
          <w:szCs w:val="24"/>
        </w:rPr>
        <w:t xml:space="preserve"> za prosinac 2019. godine u iznosu od</w:t>
      </w:r>
      <w:r w:rsidR="00AE1C62">
        <w:rPr>
          <w:rFonts w:ascii="Times New Roman" w:hAnsi="Times New Roman" w:cs="Times New Roman"/>
          <w:sz w:val="24"/>
          <w:szCs w:val="24"/>
        </w:rPr>
        <w:t xml:space="preserve"> </w:t>
      </w:r>
      <w:r w:rsidR="008B182B">
        <w:rPr>
          <w:rFonts w:ascii="Times New Roman" w:hAnsi="Times New Roman" w:cs="Times New Roman"/>
          <w:sz w:val="24"/>
          <w:szCs w:val="24"/>
        </w:rPr>
        <w:t>157 kn, turističke pristojbe u iznosu od 867.261 kn te turističke pristojbe za noćenje na plovnom objektu u iznosu od 235.449 kn.</w:t>
      </w:r>
      <w:r w:rsidR="00AE1C62">
        <w:rPr>
          <w:rFonts w:ascii="Times New Roman" w:hAnsi="Times New Roman" w:cs="Times New Roman"/>
          <w:sz w:val="24"/>
          <w:szCs w:val="24"/>
        </w:rPr>
        <w:t xml:space="preserve"> U 2020. godini novim Zakonom o turističkim pristojbama definiran je novi način plaćanja turističke pristojbe, a i mijenja se sam naziv iz boravišne u turističku pristojbu. Ove </w:t>
      </w:r>
      <w:r w:rsidR="00AE1C62">
        <w:rPr>
          <w:rFonts w:ascii="Times New Roman" w:hAnsi="Times New Roman" w:cs="Times New Roman"/>
          <w:sz w:val="24"/>
          <w:szCs w:val="24"/>
        </w:rPr>
        <w:lastRenderedPageBreak/>
        <w:t xml:space="preserve">naknade su smanjene zbog cjelokupne gospodarske situacije uzrokovane </w:t>
      </w:r>
      <w:r w:rsidR="00E70FC6">
        <w:rPr>
          <w:rFonts w:ascii="Times New Roman" w:hAnsi="Times New Roman" w:cs="Times New Roman"/>
          <w:sz w:val="24"/>
          <w:szCs w:val="24"/>
        </w:rPr>
        <w:t>epidemijom bolesti COVID-19</w:t>
      </w:r>
      <w:r w:rsidR="00D60067">
        <w:rPr>
          <w:rFonts w:ascii="Times New Roman" w:hAnsi="Times New Roman" w:cs="Times New Roman"/>
          <w:sz w:val="24"/>
          <w:szCs w:val="24"/>
        </w:rPr>
        <w:t>, a</w:t>
      </w:r>
      <w:r w:rsidR="00AE1C62">
        <w:rPr>
          <w:rFonts w:ascii="Times New Roman" w:hAnsi="Times New Roman" w:cs="Times New Roman"/>
          <w:sz w:val="24"/>
          <w:szCs w:val="24"/>
        </w:rPr>
        <w:t xml:space="preserve"> koja je </w:t>
      </w:r>
      <w:r w:rsidR="000F2D3C">
        <w:rPr>
          <w:rFonts w:ascii="Times New Roman" w:hAnsi="Times New Roman" w:cs="Times New Roman"/>
          <w:sz w:val="24"/>
          <w:szCs w:val="24"/>
        </w:rPr>
        <w:t>utjecala na</w:t>
      </w:r>
      <w:r w:rsidR="00AE1C62">
        <w:rPr>
          <w:rFonts w:ascii="Times New Roman" w:hAnsi="Times New Roman" w:cs="Times New Roman"/>
          <w:sz w:val="24"/>
          <w:szCs w:val="24"/>
        </w:rPr>
        <w:t xml:space="preserve"> znatno manji broj gostiju odnosno noćenja na području Pule.</w:t>
      </w:r>
    </w:p>
    <w:p w14:paraId="6524BDC0" w14:textId="4D906031" w:rsidR="008B182B" w:rsidRDefault="008B182B" w:rsidP="008B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5DD20" w14:textId="1F79B085" w:rsidR="00AE1C62" w:rsidRPr="00576340" w:rsidRDefault="00AE1C62" w:rsidP="00AE1C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BE">
        <w:rPr>
          <w:rFonts w:ascii="Times New Roman" w:hAnsi="Times New Roman" w:cs="Times New Roman"/>
          <w:b/>
          <w:sz w:val="24"/>
          <w:szCs w:val="24"/>
        </w:rPr>
        <w:t>BILJEŠKA br. 15</w:t>
      </w:r>
    </w:p>
    <w:p w14:paraId="6D5FF7AD" w14:textId="78022B10" w:rsidR="002A0817" w:rsidRDefault="002A0817" w:rsidP="00AE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C62">
        <w:rPr>
          <w:rFonts w:ascii="Times New Roman" w:hAnsi="Times New Roman" w:cs="Times New Roman"/>
          <w:sz w:val="24"/>
          <w:szCs w:val="24"/>
        </w:rPr>
        <w:t>Prihodi od vodnog gospodarstva (AOP113)</w:t>
      </w:r>
      <w:r w:rsidR="00A4766D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- iznose 120.962 kn i </w:t>
      </w:r>
      <w:r w:rsidR="00AE1C62">
        <w:rPr>
          <w:rFonts w:ascii="Times New Roman" w:hAnsi="Times New Roman" w:cs="Times New Roman"/>
          <w:sz w:val="24"/>
          <w:szCs w:val="24"/>
        </w:rPr>
        <w:t>bilježe smanjenje za 51,3%</w:t>
      </w:r>
      <w:r w:rsidRPr="00AE1C62">
        <w:rPr>
          <w:rFonts w:ascii="Times New Roman" w:hAnsi="Times New Roman" w:cs="Times New Roman"/>
          <w:sz w:val="24"/>
          <w:szCs w:val="24"/>
        </w:rPr>
        <w:t>. Vodni doprinos obračunavaju i naplaćuju Hrvatske vode te Gradu pripada 8% vodnog doprinosa naplaćenog na njegovom području.</w:t>
      </w:r>
    </w:p>
    <w:p w14:paraId="76B74B5E" w14:textId="70D3416B" w:rsidR="00AE1C62" w:rsidRDefault="00AE1C62" w:rsidP="00AE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191D7" w14:textId="1AA23F20" w:rsidR="00AE1C62" w:rsidRPr="00AE1C62" w:rsidRDefault="00E91ECD" w:rsidP="00E91EC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D3C">
        <w:rPr>
          <w:rFonts w:ascii="Times New Roman" w:hAnsi="Times New Roman" w:cs="Times New Roman"/>
          <w:b/>
          <w:sz w:val="24"/>
          <w:szCs w:val="24"/>
        </w:rPr>
        <w:t>BILJEŠKA br. 16</w:t>
      </w:r>
    </w:p>
    <w:p w14:paraId="67DA230A" w14:textId="44BAF6C3" w:rsidR="004D2E59" w:rsidRPr="004D2E59" w:rsidRDefault="002A0817" w:rsidP="004D2E59">
      <w:pPr>
        <w:pStyle w:val="BodyText2"/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5D7DEF">
        <w:rPr>
          <w:rFonts w:ascii="Times New Roman" w:hAnsi="Times New Roman" w:cs="Times New Roman"/>
          <w:sz w:val="24"/>
          <w:szCs w:val="24"/>
        </w:rPr>
        <w:t xml:space="preserve">Ostali nespomenuti prihodi (AOP116) </w:t>
      </w:r>
      <w:r w:rsidR="00AB1AE9" w:rsidRPr="005D7DEF">
        <w:rPr>
          <w:rFonts w:ascii="Times New Roman" w:hAnsi="Times New Roman" w:cs="Times New Roman"/>
          <w:sz w:val="24"/>
          <w:szCs w:val="24"/>
        </w:rPr>
        <w:t xml:space="preserve">- iznose 3.519.527 kn i </w:t>
      </w:r>
      <w:r w:rsidR="00E00A1F" w:rsidRPr="005D7DEF">
        <w:rPr>
          <w:rFonts w:ascii="Times New Roman" w:hAnsi="Times New Roman" w:cs="Times New Roman"/>
          <w:sz w:val="24"/>
          <w:szCs w:val="24"/>
        </w:rPr>
        <w:t xml:space="preserve">evidentiraju smanjenje </w:t>
      </w:r>
      <w:r w:rsidR="00E91ECD" w:rsidRPr="005D7DEF">
        <w:rPr>
          <w:rFonts w:ascii="Times New Roman" w:hAnsi="Times New Roman" w:cs="Times New Roman"/>
          <w:sz w:val="24"/>
          <w:szCs w:val="24"/>
        </w:rPr>
        <w:t>za 6.120.630 kn</w:t>
      </w:r>
      <w:r w:rsidRPr="005D7DEF">
        <w:rPr>
          <w:rFonts w:ascii="Times New Roman" w:hAnsi="Times New Roman" w:cs="Times New Roman"/>
          <w:sz w:val="24"/>
          <w:szCs w:val="24"/>
        </w:rPr>
        <w:t xml:space="preserve"> </w:t>
      </w:r>
      <w:r w:rsidR="00102DDE" w:rsidRPr="005D7DEF">
        <w:rPr>
          <w:rFonts w:ascii="Times New Roman" w:hAnsi="Times New Roman" w:cs="Times New Roman"/>
          <w:sz w:val="24"/>
          <w:szCs w:val="24"/>
        </w:rPr>
        <w:t xml:space="preserve">jer se ne radi o stalnim prihodima, a u 2019. godini </w:t>
      </w:r>
      <w:r w:rsidR="005D7DEF">
        <w:rPr>
          <w:rFonts w:ascii="Times New Roman" w:hAnsi="Times New Roman" w:cs="Times New Roman"/>
          <w:sz w:val="24"/>
          <w:szCs w:val="24"/>
        </w:rPr>
        <w:t xml:space="preserve">su </w:t>
      </w:r>
      <w:r w:rsidR="00102DDE" w:rsidRPr="005D7DEF">
        <w:rPr>
          <w:rFonts w:ascii="Times New Roman" w:hAnsi="Times New Roman" w:cs="Times New Roman"/>
          <w:sz w:val="24"/>
          <w:szCs w:val="24"/>
        </w:rPr>
        <w:t>naplaćena potraživanja iz ranijih godina po osnovi</w:t>
      </w:r>
      <w:r w:rsidR="002B1AE8" w:rsidRPr="005D7DEF">
        <w:rPr>
          <w:rFonts w:ascii="Times New Roman" w:hAnsi="Times New Roman" w:cs="Times New Roman"/>
          <w:noProof/>
          <w:sz w:val="24"/>
        </w:rPr>
        <w:t xml:space="preserve"> </w:t>
      </w:r>
      <w:r w:rsidR="002B1AE8" w:rsidRPr="005D7DEF">
        <w:rPr>
          <w:rFonts w:ascii="Times New Roman" w:hAnsi="Times New Roman" w:cs="Times New Roman"/>
          <w:sz w:val="24"/>
          <w:szCs w:val="24"/>
        </w:rPr>
        <w:t xml:space="preserve">naknade </w:t>
      </w:r>
      <w:r w:rsidR="002B1AE8" w:rsidRPr="005D7DEF">
        <w:rPr>
          <w:rFonts w:ascii="Times New Roman" w:hAnsi="Times New Roman" w:cs="Times New Roman"/>
          <w:noProof/>
          <w:sz w:val="24"/>
        </w:rPr>
        <w:t>za izgradnju kanalizacije</w:t>
      </w:r>
      <w:r w:rsidR="005D7DEF">
        <w:rPr>
          <w:rFonts w:ascii="Times New Roman" w:hAnsi="Times New Roman" w:cs="Times New Roman"/>
          <w:noProof/>
          <w:sz w:val="24"/>
        </w:rPr>
        <w:t>,</w:t>
      </w:r>
      <w:r w:rsidR="002B1AE8" w:rsidRPr="005D7DEF">
        <w:rPr>
          <w:rFonts w:ascii="Times New Roman" w:hAnsi="Times New Roman" w:cs="Times New Roman"/>
          <w:noProof/>
          <w:sz w:val="24"/>
        </w:rPr>
        <w:t xml:space="preserve"> </w:t>
      </w:r>
      <w:r w:rsidR="004D2E59" w:rsidRPr="005D7DEF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naknada za zbrinjavanje otpada na lokaciji Kaštijun</w:t>
      </w:r>
      <w:r w:rsidR="005D7DEF" w:rsidRPr="005D7DEF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 xml:space="preserve"> i naknade za troškove izborne promidžbe za Vijeća nacionalnih manjina Grada Pule.</w:t>
      </w:r>
    </w:p>
    <w:p w14:paraId="0672A86B" w14:textId="77777777" w:rsidR="00C155D5" w:rsidRDefault="00C155D5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2F25C2" w14:textId="77777777" w:rsidR="00106046" w:rsidRDefault="00E127BF" w:rsidP="0010604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3C">
        <w:rPr>
          <w:rFonts w:ascii="Times New Roman" w:hAnsi="Times New Roman" w:cs="Times New Roman"/>
          <w:b/>
          <w:sz w:val="24"/>
          <w:szCs w:val="24"/>
        </w:rPr>
        <w:t>BILJEŠKA br. 1</w:t>
      </w:r>
      <w:r w:rsidR="00106046" w:rsidRPr="000F2D3C">
        <w:rPr>
          <w:rFonts w:ascii="Times New Roman" w:hAnsi="Times New Roman" w:cs="Times New Roman"/>
          <w:b/>
          <w:sz w:val="24"/>
          <w:szCs w:val="24"/>
        </w:rPr>
        <w:t>7</w:t>
      </w:r>
    </w:p>
    <w:p w14:paraId="2D26625B" w14:textId="09AF754E" w:rsidR="00106046" w:rsidRPr="00106046" w:rsidRDefault="00106046" w:rsidP="0010604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06046">
        <w:rPr>
          <w:rFonts w:ascii="Times New Roman" w:hAnsi="Times New Roman" w:cs="Times New Roman"/>
          <w:sz w:val="24"/>
          <w:szCs w:val="24"/>
        </w:rPr>
        <w:t>omunaln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06046">
        <w:rPr>
          <w:rFonts w:ascii="Times New Roman" w:hAnsi="Times New Roman" w:cs="Times New Roman"/>
          <w:sz w:val="24"/>
          <w:szCs w:val="24"/>
        </w:rPr>
        <w:t xml:space="preserve"> doprinos (AOP120)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>-</w:t>
      </w:r>
      <w:r w:rsidRPr="00106046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iznosi 27.682.983 kn </w:t>
      </w:r>
      <w:r w:rsidRPr="00106046">
        <w:rPr>
          <w:rFonts w:ascii="Times New Roman" w:hAnsi="Times New Roman" w:cs="Times New Roman"/>
          <w:sz w:val="24"/>
          <w:szCs w:val="24"/>
        </w:rPr>
        <w:t>ostvareno značajno povećanje prihoda</w:t>
      </w:r>
      <w:r>
        <w:rPr>
          <w:rFonts w:ascii="Times New Roman" w:hAnsi="Times New Roman" w:cs="Times New Roman"/>
          <w:sz w:val="24"/>
          <w:szCs w:val="24"/>
        </w:rPr>
        <w:t>, za 133,7% odnosno 15.835.719 kn</w:t>
      </w:r>
      <w:r w:rsidRPr="00106046">
        <w:rPr>
          <w:rFonts w:ascii="Times New Roman" w:hAnsi="Times New Roman" w:cs="Times New Roman"/>
          <w:sz w:val="24"/>
          <w:szCs w:val="24"/>
        </w:rPr>
        <w:t xml:space="preserve"> </w:t>
      </w:r>
      <w:r w:rsidR="00C42BB5">
        <w:rPr>
          <w:rFonts w:ascii="Times New Roman" w:hAnsi="Times New Roman" w:cs="Times New Roman"/>
          <w:sz w:val="24"/>
          <w:szCs w:val="24"/>
        </w:rPr>
        <w:t xml:space="preserve">radi </w:t>
      </w:r>
      <w:r w:rsidR="002B1AE8">
        <w:rPr>
          <w:rFonts w:ascii="Times New Roman" w:hAnsi="Times New Roman" w:cs="Times New Roman"/>
          <w:sz w:val="24"/>
          <w:szCs w:val="24"/>
        </w:rPr>
        <w:t>proširenja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046">
        <w:rPr>
          <w:rFonts w:ascii="Times New Roman" w:hAnsi="Times New Roman" w:cs="Times New Roman"/>
          <w:sz w:val="24"/>
          <w:szCs w:val="24"/>
        </w:rPr>
        <w:t>trgovinskog centra</w:t>
      </w:r>
      <w:r w:rsidR="00712019">
        <w:rPr>
          <w:rFonts w:ascii="Times New Roman" w:hAnsi="Times New Roman" w:cs="Times New Roman"/>
          <w:sz w:val="24"/>
          <w:szCs w:val="24"/>
        </w:rPr>
        <w:t>.</w:t>
      </w:r>
      <w:r w:rsidRPr="00106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3EF1D" w14:textId="77777777" w:rsidR="00106046" w:rsidRPr="00106046" w:rsidRDefault="00106046" w:rsidP="0010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8A17F" w14:textId="5B5E70BF" w:rsidR="00712019" w:rsidRDefault="00712019" w:rsidP="0071201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B0">
        <w:rPr>
          <w:rFonts w:ascii="Times New Roman" w:hAnsi="Times New Roman" w:cs="Times New Roman"/>
          <w:b/>
          <w:sz w:val="24"/>
          <w:szCs w:val="24"/>
        </w:rPr>
        <w:t>BILJEŠKA br. 18</w:t>
      </w:r>
    </w:p>
    <w:p w14:paraId="0F66FDEE" w14:textId="1FABF0CE" w:rsidR="00712019" w:rsidRDefault="00C93ED2" w:rsidP="00712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19">
        <w:rPr>
          <w:rFonts w:ascii="Times New Roman" w:hAnsi="Times New Roman" w:cs="Times New Roman"/>
          <w:sz w:val="24"/>
          <w:szCs w:val="24"/>
        </w:rPr>
        <w:t xml:space="preserve">Tekuće donacije (AOP128) </w:t>
      </w:r>
      <w:r w:rsidR="00AB1AE9">
        <w:rPr>
          <w:rFonts w:ascii="Times New Roman" w:hAnsi="Times New Roman" w:cs="Times New Roman"/>
          <w:sz w:val="24"/>
          <w:szCs w:val="24"/>
        </w:rPr>
        <w:t>-</w:t>
      </w:r>
      <w:r w:rsidR="008A75B0" w:rsidRPr="00712019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iznose 38.821 kn i </w:t>
      </w:r>
      <w:r w:rsidR="00495562" w:rsidRPr="00712019">
        <w:rPr>
          <w:rFonts w:ascii="Times New Roman" w:hAnsi="Times New Roman" w:cs="Times New Roman"/>
          <w:sz w:val="24"/>
          <w:szCs w:val="24"/>
        </w:rPr>
        <w:t xml:space="preserve">čine donacije </w:t>
      </w:r>
      <w:r w:rsidR="005E5881" w:rsidRPr="00712019">
        <w:rPr>
          <w:rFonts w:ascii="Times New Roman" w:hAnsi="Times New Roman" w:cs="Times New Roman"/>
          <w:sz w:val="24"/>
          <w:szCs w:val="24"/>
        </w:rPr>
        <w:t>fizičkih osoba</w:t>
      </w:r>
      <w:r w:rsidR="00615836" w:rsidRPr="00712019">
        <w:rPr>
          <w:rFonts w:ascii="Times New Roman" w:hAnsi="Times New Roman" w:cs="Times New Roman"/>
          <w:sz w:val="24"/>
          <w:szCs w:val="24"/>
        </w:rPr>
        <w:t xml:space="preserve"> </w:t>
      </w:r>
      <w:r w:rsidR="00712019">
        <w:rPr>
          <w:rFonts w:ascii="Times New Roman" w:hAnsi="Times New Roman" w:cs="Times New Roman"/>
          <w:sz w:val="24"/>
          <w:szCs w:val="24"/>
        </w:rPr>
        <w:t xml:space="preserve">od čega je iznos </w:t>
      </w:r>
      <w:r w:rsidR="00552D62">
        <w:rPr>
          <w:rFonts w:ascii="Times New Roman" w:hAnsi="Times New Roman" w:cs="Times New Roman"/>
          <w:sz w:val="24"/>
          <w:szCs w:val="24"/>
        </w:rPr>
        <w:t>od 23.451</w:t>
      </w:r>
      <w:r w:rsidR="002442FF">
        <w:rPr>
          <w:rFonts w:ascii="Times New Roman" w:hAnsi="Times New Roman" w:cs="Times New Roman"/>
          <w:sz w:val="24"/>
          <w:szCs w:val="24"/>
        </w:rPr>
        <w:t xml:space="preserve"> </w:t>
      </w:r>
      <w:r w:rsidR="00552D62">
        <w:rPr>
          <w:rFonts w:ascii="Times New Roman" w:hAnsi="Times New Roman" w:cs="Times New Roman"/>
          <w:sz w:val="24"/>
          <w:szCs w:val="24"/>
        </w:rPr>
        <w:t xml:space="preserve">kn </w:t>
      </w:r>
      <w:r w:rsidR="00712019">
        <w:rPr>
          <w:rFonts w:ascii="Times New Roman" w:hAnsi="Times New Roman" w:cs="Times New Roman"/>
          <w:sz w:val="24"/>
          <w:szCs w:val="24"/>
        </w:rPr>
        <w:t xml:space="preserve">doniran </w:t>
      </w:r>
      <w:r w:rsidR="002442FF">
        <w:rPr>
          <w:rFonts w:ascii="Times New Roman" w:hAnsi="Times New Roman" w:cs="Times New Roman"/>
          <w:sz w:val="24"/>
          <w:szCs w:val="24"/>
        </w:rPr>
        <w:t>od strane</w:t>
      </w:r>
      <w:r w:rsidR="00712019">
        <w:rPr>
          <w:rFonts w:ascii="Times New Roman" w:hAnsi="Times New Roman" w:cs="Times New Roman"/>
          <w:sz w:val="24"/>
          <w:szCs w:val="24"/>
        </w:rPr>
        <w:t xml:space="preserve"> Gradonačelnika i njegovih zamjenika </w:t>
      </w:r>
      <w:r w:rsidR="00552D62">
        <w:rPr>
          <w:rFonts w:ascii="Times New Roman" w:hAnsi="Times New Roman" w:cs="Times New Roman"/>
          <w:sz w:val="24"/>
          <w:szCs w:val="24"/>
        </w:rPr>
        <w:t xml:space="preserve">tijekom </w:t>
      </w:r>
      <w:r w:rsidR="002442FF">
        <w:rPr>
          <w:rFonts w:ascii="Times New Roman" w:hAnsi="Times New Roman" w:cs="Times New Roman"/>
          <w:sz w:val="24"/>
          <w:szCs w:val="24"/>
        </w:rPr>
        <w:t>četiri</w:t>
      </w:r>
      <w:r w:rsidR="00552D62">
        <w:rPr>
          <w:rFonts w:ascii="Times New Roman" w:hAnsi="Times New Roman" w:cs="Times New Roman"/>
          <w:sz w:val="24"/>
          <w:szCs w:val="24"/>
        </w:rPr>
        <w:t xml:space="preserve"> mjeseca</w:t>
      </w:r>
      <w:r w:rsidR="002442FF">
        <w:rPr>
          <w:rFonts w:ascii="Times New Roman" w:hAnsi="Times New Roman" w:cs="Times New Roman"/>
          <w:sz w:val="24"/>
          <w:szCs w:val="24"/>
        </w:rPr>
        <w:t xml:space="preserve">, dva puta po 15% neto plaće te dva puta po 10% neto plaće u korist proračuna grada Pule kao znak solidarnosti uslijed nepovoljne gospodarske situacije uzrokovane </w:t>
      </w:r>
      <w:r w:rsidR="00E70FC6">
        <w:rPr>
          <w:rFonts w:ascii="Times New Roman" w:hAnsi="Times New Roman" w:cs="Times New Roman"/>
          <w:sz w:val="24"/>
          <w:szCs w:val="24"/>
        </w:rPr>
        <w:t>epidemijom bolesti COVID-19</w:t>
      </w:r>
      <w:r w:rsidR="00726557">
        <w:rPr>
          <w:rFonts w:ascii="Times New Roman" w:hAnsi="Times New Roman" w:cs="Times New Roman"/>
          <w:sz w:val="24"/>
          <w:szCs w:val="24"/>
        </w:rPr>
        <w:t xml:space="preserve"> što je utjecalo na povećanje prihoda ove podskupine</w:t>
      </w:r>
      <w:r w:rsidR="00552D62">
        <w:rPr>
          <w:rFonts w:ascii="Times New Roman" w:hAnsi="Times New Roman" w:cs="Times New Roman"/>
          <w:sz w:val="24"/>
          <w:szCs w:val="24"/>
        </w:rPr>
        <w:t xml:space="preserve"> </w:t>
      </w:r>
      <w:r w:rsidR="002442FF">
        <w:rPr>
          <w:rFonts w:ascii="Times New Roman" w:hAnsi="Times New Roman" w:cs="Times New Roman"/>
          <w:sz w:val="24"/>
          <w:szCs w:val="24"/>
        </w:rPr>
        <w:t>dok je iznos od 10.370 kn fizička osoba uplatila za Mjesni odbor Veli Vrh.</w:t>
      </w:r>
      <w:r w:rsidR="00E127BF" w:rsidRPr="00712019">
        <w:rPr>
          <w:rFonts w:ascii="Times New Roman" w:hAnsi="Times New Roman" w:cs="Times New Roman"/>
          <w:sz w:val="24"/>
          <w:szCs w:val="24"/>
        </w:rPr>
        <w:t xml:space="preserve"> </w:t>
      </w:r>
      <w:r w:rsidR="002442FF">
        <w:rPr>
          <w:rFonts w:ascii="Times New Roman" w:hAnsi="Times New Roman" w:cs="Times New Roman"/>
          <w:sz w:val="24"/>
          <w:szCs w:val="24"/>
        </w:rPr>
        <w:t>Donacija</w:t>
      </w:r>
      <w:r w:rsidR="00726557">
        <w:rPr>
          <w:rFonts w:ascii="Times New Roman" w:hAnsi="Times New Roman" w:cs="Times New Roman"/>
          <w:sz w:val="24"/>
          <w:szCs w:val="24"/>
        </w:rPr>
        <w:t xml:space="preserve"> u iznosu od 5.000 kn uplaćena je za Mjesni odbor </w:t>
      </w:r>
      <w:proofErr w:type="spellStart"/>
      <w:r w:rsidR="00726557">
        <w:rPr>
          <w:rFonts w:ascii="Times New Roman" w:hAnsi="Times New Roman" w:cs="Times New Roman"/>
          <w:sz w:val="24"/>
          <w:szCs w:val="24"/>
        </w:rPr>
        <w:t>Štinjan</w:t>
      </w:r>
      <w:proofErr w:type="spellEnd"/>
      <w:r w:rsidR="00726557">
        <w:rPr>
          <w:rFonts w:ascii="Times New Roman" w:hAnsi="Times New Roman" w:cs="Times New Roman"/>
          <w:sz w:val="24"/>
          <w:szCs w:val="24"/>
        </w:rPr>
        <w:t xml:space="preserve"> od turističke zajednice grada Pule</w:t>
      </w:r>
      <w:r w:rsidR="002B1AE8">
        <w:rPr>
          <w:rFonts w:ascii="Times New Roman" w:hAnsi="Times New Roman" w:cs="Times New Roman"/>
          <w:sz w:val="24"/>
          <w:szCs w:val="24"/>
        </w:rPr>
        <w:t xml:space="preserve"> za </w:t>
      </w:r>
      <w:r w:rsidR="00AD7F9F">
        <w:rPr>
          <w:rFonts w:ascii="Times New Roman" w:hAnsi="Times New Roman" w:cs="Times New Roman"/>
          <w:sz w:val="24"/>
          <w:szCs w:val="24"/>
        </w:rPr>
        <w:t>razne manifestacije.</w:t>
      </w:r>
    </w:p>
    <w:p w14:paraId="5EB903B1" w14:textId="77777777" w:rsidR="00921CFB" w:rsidRDefault="00921CFB" w:rsidP="00921CF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A57CF" w14:textId="5D5C72E2" w:rsidR="00921CFB" w:rsidRPr="00576340" w:rsidRDefault="00921CFB" w:rsidP="00921CF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B0">
        <w:rPr>
          <w:rFonts w:ascii="Times New Roman" w:hAnsi="Times New Roman" w:cs="Times New Roman"/>
          <w:b/>
          <w:sz w:val="24"/>
          <w:szCs w:val="24"/>
        </w:rPr>
        <w:t>BILJEŠKA br. 19</w:t>
      </w:r>
    </w:p>
    <w:p w14:paraId="35CB21BC" w14:textId="3C4D70F4" w:rsidR="0095249B" w:rsidRDefault="00921CFB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donacije (AOP129) </w:t>
      </w:r>
      <w:r w:rsidR="00AB1AE9">
        <w:rPr>
          <w:rFonts w:ascii="Times New Roman" w:hAnsi="Times New Roman" w:cs="Times New Roman"/>
          <w:sz w:val="24"/>
          <w:szCs w:val="24"/>
        </w:rPr>
        <w:t>- iznose 570.000 kn, a</w:t>
      </w:r>
      <w:r>
        <w:rPr>
          <w:rFonts w:ascii="Times New Roman" w:hAnsi="Times New Roman" w:cs="Times New Roman"/>
          <w:sz w:val="24"/>
          <w:szCs w:val="24"/>
        </w:rPr>
        <w:t xml:space="preserve"> uvećane su zbog evidentirane ostavine sukladno rješenju </w:t>
      </w:r>
      <w:r w:rsidR="002B1AE8">
        <w:rPr>
          <w:rFonts w:ascii="Times New Roman" w:hAnsi="Times New Roman" w:cs="Times New Roman"/>
          <w:sz w:val="24"/>
          <w:szCs w:val="24"/>
        </w:rPr>
        <w:t>o ostavinskom postupku</w:t>
      </w:r>
    </w:p>
    <w:p w14:paraId="4CD9FC51" w14:textId="77777777" w:rsidR="0095249B" w:rsidRDefault="0095249B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19327" w14:textId="3EB03426" w:rsidR="00381D3A" w:rsidRPr="00576340" w:rsidRDefault="00381D3A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B0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921CFB" w:rsidRPr="005C69B0">
        <w:rPr>
          <w:rFonts w:ascii="Times New Roman" w:hAnsi="Times New Roman" w:cs="Times New Roman"/>
          <w:b/>
          <w:sz w:val="24"/>
          <w:szCs w:val="24"/>
        </w:rPr>
        <w:t>20</w:t>
      </w:r>
    </w:p>
    <w:p w14:paraId="65F1A7CA" w14:textId="5453C1D2" w:rsidR="0095249B" w:rsidRDefault="00921CFB" w:rsidP="00921CF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D44B2" w:rsidRPr="00576340">
        <w:rPr>
          <w:rFonts w:ascii="Times New Roman" w:hAnsi="Times New Roman" w:cs="Times New Roman"/>
          <w:sz w:val="24"/>
          <w:szCs w:val="24"/>
        </w:rPr>
        <w:t>azn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44B2" w:rsidRPr="00576340">
        <w:rPr>
          <w:rFonts w:ascii="Times New Roman" w:hAnsi="Times New Roman" w:cs="Times New Roman"/>
          <w:sz w:val="24"/>
          <w:szCs w:val="24"/>
        </w:rPr>
        <w:t xml:space="preserve"> za prometne i ostale prekršaje</w:t>
      </w:r>
      <w:r>
        <w:rPr>
          <w:rFonts w:ascii="Times New Roman" w:hAnsi="Times New Roman" w:cs="Times New Roman"/>
          <w:sz w:val="24"/>
          <w:szCs w:val="24"/>
        </w:rPr>
        <w:t xml:space="preserve"> u nadležnosti MUP-a (AOP142) </w:t>
      </w:r>
      <w:r w:rsidR="00AB1AE9">
        <w:rPr>
          <w:rFonts w:ascii="Times New Roman" w:hAnsi="Times New Roman" w:cs="Times New Roman"/>
          <w:sz w:val="24"/>
          <w:szCs w:val="24"/>
        </w:rPr>
        <w:t>-</w:t>
      </w:r>
      <w:r w:rsidR="000D44B2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iznose 1.543.248 kn i bilježe </w:t>
      </w:r>
      <w:r w:rsidR="00A4766D">
        <w:rPr>
          <w:rFonts w:ascii="Times New Roman" w:hAnsi="Times New Roman" w:cs="Times New Roman"/>
          <w:sz w:val="24"/>
          <w:szCs w:val="24"/>
        </w:rPr>
        <w:t>povećanje za 19,4% zbog većeg broja izdanih, ali i naplaćenih kazni za prekršaje u prometu.</w:t>
      </w:r>
    </w:p>
    <w:p w14:paraId="10E6F6BF" w14:textId="77777777" w:rsidR="005C69B0" w:rsidRDefault="005C69B0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7004147A" w14:textId="7CA63FB5" w:rsidR="00171C18" w:rsidRDefault="00171C18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t xml:space="preserve">BILJEŠKA br. </w:t>
      </w:r>
      <w:r w:rsidR="008233F5" w:rsidRPr="005C69B0">
        <w:rPr>
          <w:rFonts w:ascii="Times New Roman" w:hAnsi="Times New Roman" w:cs="Times New Roman"/>
          <w:b/>
        </w:rPr>
        <w:t>21</w:t>
      </w:r>
    </w:p>
    <w:p w14:paraId="77744F69" w14:textId="7A6F86F0" w:rsidR="00083BE0" w:rsidRPr="00526AD1" w:rsidRDefault="00083BE0" w:rsidP="00712A4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U skladu s odredbama Pravilnika o proračunskom računovodstvu i računskom plan</w:t>
      </w:r>
      <w:r w:rsidR="004B28F6" w:rsidRPr="00526AD1">
        <w:rPr>
          <w:rFonts w:ascii="Times New Roman" w:hAnsi="Times New Roman" w:cs="Times New Roman"/>
          <w:sz w:val="24"/>
          <w:szCs w:val="24"/>
        </w:rPr>
        <w:t>u („Narodne novine“ br. 124/14,</w:t>
      </w:r>
      <w:r w:rsidRPr="00526AD1">
        <w:rPr>
          <w:rFonts w:ascii="Times New Roman" w:hAnsi="Times New Roman" w:cs="Times New Roman"/>
          <w:sz w:val="24"/>
          <w:szCs w:val="24"/>
        </w:rPr>
        <w:t xml:space="preserve"> 115/15</w:t>
      </w:r>
      <w:r w:rsidR="00712A4C">
        <w:rPr>
          <w:rFonts w:ascii="Times New Roman" w:hAnsi="Times New Roman" w:cs="Times New Roman"/>
          <w:sz w:val="24"/>
          <w:szCs w:val="24"/>
        </w:rPr>
        <w:t>, 87/16,</w:t>
      </w:r>
      <w:r w:rsidR="004B28F6" w:rsidRPr="00526AD1">
        <w:rPr>
          <w:rFonts w:ascii="Times New Roman" w:hAnsi="Times New Roman" w:cs="Times New Roman"/>
          <w:sz w:val="24"/>
          <w:szCs w:val="24"/>
        </w:rPr>
        <w:t xml:space="preserve"> 3/18</w:t>
      </w:r>
      <w:r w:rsidR="00C42BB5">
        <w:rPr>
          <w:rFonts w:ascii="Times New Roman" w:hAnsi="Times New Roman" w:cs="Times New Roman"/>
          <w:sz w:val="24"/>
          <w:szCs w:val="24"/>
        </w:rPr>
        <w:t xml:space="preserve">, </w:t>
      </w:r>
      <w:r w:rsidR="00712A4C">
        <w:rPr>
          <w:rFonts w:ascii="Times New Roman" w:hAnsi="Times New Roman" w:cs="Times New Roman"/>
          <w:sz w:val="24"/>
          <w:szCs w:val="24"/>
        </w:rPr>
        <w:t>126/19</w:t>
      </w:r>
      <w:r w:rsidR="00C42BB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26AD1">
        <w:rPr>
          <w:rFonts w:ascii="Times New Roman" w:hAnsi="Times New Roman" w:cs="Times New Roman"/>
          <w:sz w:val="24"/>
          <w:szCs w:val="24"/>
        </w:rPr>
        <w:t>) u izvještaju PR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>RAS sredstva namijenjena proračunskim korisnicima iz nadležnosti Grada odnosno rashodi koji su financirani iz tih sredstava iskazana su na podskupini 367</w:t>
      </w:r>
      <w:r w:rsidR="003C1304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>Prijenosi proračunskim korisnicima iz nadležnog proračuna za financiranje redovne djelatnosti, a ne raspoređeni prema prirodnoj vrsti i to isključivo prema novčanom načelu.</w:t>
      </w:r>
    </w:p>
    <w:p w14:paraId="45146A1E" w14:textId="77777777" w:rsidR="00AB1AE9" w:rsidRDefault="00AB1AE9" w:rsidP="00E95A49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  <w:highlight w:val="yellow"/>
        </w:rPr>
      </w:pPr>
    </w:p>
    <w:p w14:paraId="501AB20B" w14:textId="11354E95" w:rsidR="00083BE0" w:rsidRPr="00526AD1" w:rsidRDefault="00083BE0" w:rsidP="00E95A49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lastRenderedPageBreak/>
        <w:t xml:space="preserve">BILJEŠKA br. </w:t>
      </w:r>
      <w:r w:rsidR="0066624E" w:rsidRPr="005C69B0">
        <w:rPr>
          <w:rFonts w:ascii="Times New Roman" w:hAnsi="Times New Roman" w:cs="Times New Roman"/>
          <w:b/>
        </w:rPr>
        <w:t>22</w:t>
      </w:r>
    </w:p>
    <w:p w14:paraId="00C4503C" w14:textId="77777777" w:rsidR="00171C18" w:rsidRDefault="00083BE0" w:rsidP="00E95A4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R</w:t>
      </w:r>
      <w:r w:rsidR="00171C18" w:rsidRPr="00526AD1">
        <w:rPr>
          <w:rFonts w:ascii="Times New Roman" w:hAnsi="Times New Roman" w:cs="Times New Roman"/>
          <w:b/>
        </w:rPr>
        <w:t>ashodi poslovanja</w:t>
      </w:r>
    </w:p>
    <w:p w14:paraId="0646BD75" w14:textId="77777777" w:rsidR="001D103D" w:rsidRPr="00526AD1" w:rsidRDefault="001D103D" w:rsidP="00E95A4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460"/>
        <w:gridCol w:w="554"/>
        <w:gridCol w:w="1407"/>
        <w:gridCol w:w="1290"/>
        <w:gridCol w:w="679"/>
        <w:gridCol w:w="1324"/>
      </w:tblGrid>
      <w:tr w:rsidR="00EA1110" w:rsidRPr="00EA1110" w14:paraId="328526D7" w14:textId="77777777" w:rsidTr="005C69B0">
        <w:trPr>
          <w:trHeight w:val="330"/>
        </w:trPr>
        <w:tc>
          <w:tcPr>
            <w:tcW w:w="786" w:type="dxa"/>
            <w:vMerge w:val="restart"/>
            <w:shd w:val="clear" w:color="auto" w:fill="DBE5F1" w:themeFill="accent1" w:themeFillTint="33"/>
            <w:vAlign w:val="center"/>
            <w:hideMark/>
          </w:tcPr>
          <w:p w14:paraId="40B78568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bookmarkStart w:id="0" w:name="OLE_LINK2" w:colFirst="2" w:colLast="6"/>
            <w:r w:rsidRPr="00B93E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46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B85B036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1" w:name="RANGE!B3"/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  <w:bookmarkEnd w:id="1"/>
          </w:p>
        </w:tc>
        <w:tc>
          <w:tcPr>
            <w:tcW w:w="55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2C5E1C2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407" w:type="dxa"/>
            <w:vMerge w:val="restart"/>
            <w:shd w:val="clear" w:color="auto" w:fill="DBE5F1" w:themeFill="accent1" w:themeFillTint="33"/>
            <w:vAlign w:val="center"/>
            <w:hideMark/>
          </w:tcPr>
          <w:p w14:paraId="6C7296A8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290" w:type="dxa"/>
            <w:vMerge w:val="restart"/>
            <w:shd w:val="clear" w:color="auto" w:fill="DBE5F1" w:themeFill="accent1" w:themeFillTint="33"/>
            <w:vAlign w:val="center"/>
            <w:hideMark/>
          </w:tcPr>
          <w:p w14:paraId="030A9A4E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679" w:type="dxa"/>
            <w:vMerge w:val="restart"/>
            <w:shd w:val="clear" w:color="auto" w:fill="DBE5F1" w:themeFill="accent1" w:themeFillTint="33"/>
            <w:vAlign w:val="center"/>
            <w:hideMark/>
          </w:tcPr>
          <w:p w14:paraId="48CE4BC5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 5/4</w:t>
            </w:r>
          </w:p>
        </w:tc>
        <w:tc>
          <w:tcPr>
            <w:tcW w:w="1324" w:type="dxa"/>
            <w:vMerge w:val="restart"/>
            <w:shd w:val="clear" w:color="auto" w:fill="DBE5F1" w:themeFill="accent1" w:themeFillTint="33"/>
            <w:vAlign w:val="center"/>
            <w:hideMark/>
          </w:tcPr>
          <w:p w14:paraId="2D3DAF91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</w:tr>
      <w:tr w:rsidR="00EA1110" w:rsidRPr="00EA1110" w14:paraId="2E91EA21" w14:textId="77777777" w:rsidTr="005C69B0">
        <w:trPr>
          <w:trHeight w:val="720"/>
        </w:trPr>
        <w:tc>
          <w:tcPr>
            <w:tcW w:w="786" w:type="dxa"/>
            <w:vMerge/>
            <w:shd w:val="clear" w:color="auto" w:fill="DBE5F1" w:themeFill="accent1" w:themeFillTint="33"/>
            <w:vAlign w:val="center"/>
            <w:hideMark/>
          </w:tcPr>
          <w:p w14:paraId="392FE5CA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DBE5F1" w:themeFill="accent1" w:themeFillTint="33"/>
            <w:vAlign w:val="center"/>
            <w:hideMark/>
          </w:tcPr>
          <w:p w14:paraId="7D8F4E7F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4" w:type="dxa"/>
            <w:vMerge/>
            <w:shd w:val="clear" w:color="auto" w:fill="DBE5F1" w:themeFill="accent1" w:themeFillTint="33"/>
            <w:vAlign w:val="center"/>
            <w:hideMark/>
          </w:tcPr>
          <w:p w14:paraId="7DC34F5A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7" w:type="dxa"/>
            <w:vMerge/>
            <w:shd w:val="clear" w:color="auto" w:fill="DBE5F1" w:themeFill="accent1" w:themeFillTint="33"/>
            <w:vAlign w:val="center"/>
            <w:hideMark/>
          </w:tcPr>
          <w:p w14:paraId="48C81B38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0" w:type="dxa"/>
            <w:vMerge/>
            <w:shd w:val="clear" w:color="auto" w:fill="DBE5F1" w:themeFill="accent1" w:themeFillTint="33"/>
            <w:vAlign w:val="center"/>
            <w:hideMark/>
          </w:tcPr>
          <w:p w14:paraId="3FC8FFFF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9" w:type="dxa"/>
            <w:vMerge/>
            <w:shd w:val="clear" w:color="auto" w:fill="DBE5F1" w:themeFill="accent1" w:themeFillTint="33"/>
            <w:vAlign w:val="center"/>
            <w:hideMark/>
          </w:tcPr>
          <w:p w14:paraId="1D11AC83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4" w:type="dxa"/>
            <w:vMerge/>
            <w:shd w:val="clear" w:color="auto" w:fill="DBE5F1" w:themeFill="accent1" w:themeFillTint="33"/>
            <w:vAlign w:val="center"/>
            <w:hideMark/>
          </w:tcPr>
          <w:p w14:paraId="4A13CD05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EA1110" w:rsidRPr="00EA1110" w14:paraId="4BEA2945" w14:textId="77777777" w:rsidTr="005C69B0">
        <w:trPr>
          <w:trHeight w:val="240"/>
        </w:trPr>
        <w:tc>
          <w:tcPr>
            <w:tcW w:w="786" w:type="dxa"/>
            <w:shd w:val="clear" w:color="auto" w:fill="B8CCE4" w:themeFill="accent1" w:themeFillTint="66"/>
            <w:vAlign w:val="center"/>
            <w:hideMark/>
          </w:tcPr>
          <w:p w14:paraId="2ECFAE0F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60" w:type="dxa"/>
            <w:shd w:val="clear" w:color="auto" w:fill="B8CCE4" w:themeFill="accent1" w:themeFillTint="66"/>
            <w:noWrap/>
            <w:vAlign w:val="center"/>
            <w:hideMark/>
          </w:tcPr>
          <w:p w14:paraId="70554685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dxa"/>
            <w:shd w:val="clear" w:color="auto" w:fill="B8CCE4" w:themeFill="accent1" w:themeFillTint="66"/>
            <w:noWrap/>
            <w:vAlign w:val="center"/>
            <w:hideMark/>
          </w:tcPr>
          <w:p w14:paraId="127F4AB0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7" w:type="dxa"/>
            <w:shd w:val="clear" w:color="auto" w:fill="B8CCE4" w:themeFill="accent1" w:themeFillTint="66"/>
            <w:noWrap/>
            <w:vAlign w:val="center"/>
            <w:hideMark/>
          </w:tcPr>
          <w:p w14:paraId="38610AD8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90" w:type="dxa"/>
            <w:shd w:val="clear" w:color="auto" w:fill="B8CCE4" w:themeFill="accent1" w:themeFillTint="66"/>
            <w:vAlign w:val="center"/>
            <w:hideMark/>
          </w:tcPr>
          <w:p w14:paraId="7DE9D030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79" w:type="dxa"/>
            <w:shd w:val="clear" w:color="auto" w:fill="B8CCE4" w:themeFill="accent1" w:themeFillTint="66"/>
            <w:vAlign w:val="center"/>
            <w:hideMark/>
          </w:tcPr>
          <w:p w14:paraId="0DE4CBD5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24" w:type="dxa"/>
            <w:shd w:val="clear" w:color="auto" w:fill="B8CCE4" w:themeFill="accent1" w:themeFillTint="66"/>
            <w:vAlign w:val="center"/>
            <w:hideMark/>
          </w:tcPr>
          <w:p w14:paraId="1D6C70BD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EA1110" w:rsidRPr="00EA1110" w14:paraId="371A0404" w14:textId="77777777" w:rsidTr="005C69B0">
        <w:trPr>
          <w:trHeight w:val="240"/>
        </w:trPr>
        <w:tc>
          <w:tcPr>
            <w:tcW w:w="786" w:type="dxa"/>
            <w:shd w:val="clear" w:color="auto" w:fill="auto"/>
            <w:vAlign w:val="center"/>
            <w:hideMark/>
          </w:tcPr>
          <w:p w14:paraId="713E1BF9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76C40C7A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A1F893F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E12981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26.160.670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701F7C2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26.377.144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8A824C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100,8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9B59FFB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216.474</w:t>
            </w:r>
          </w:p>
        </w:tc>
      </w:tr>
      <w:tr w:rsidR="00EA1110" w:rsidRPr="00EA1110" w14:paraId="2E30D485" w14:textId="77777777" w:rsidTr="005C69B0">
        <w:trPr>
          <w:trHeight w:val="240"/>
        </w:trPr>
        <w:tc>
          <w:tcPr>
            <w:tcW w:w="786" w:type="dxa"/>
            <w:shd w:val="clear" w:color="auto" w:fill="auto"/>
            <w:vAlign w:val="center"/>
            <w:hideMark/>
          </w:tcPr>
          <w:p w14:paraId="7C18E6B0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6256FAF3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DE636C9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D0962F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94.774.397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41E68C2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84.337.884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A5B298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89,0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8C13C13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-10.436.513</w:t>
            </w:r>
          </w:p>
        </w:tc>
      </w:tr>
      <w:tr w:rsidR="00EA1110" w:rsidRPr="00EA1110" w14:paraId="44A05211" w14:textId="77777777" w:rsidTr="005C69B0">
        <w:trPr>
          <w:trHeight w:val="240"/>
        </w:trPr>
        <w:tc>
          <w:tcPr>
            <w:tcW w:w="786" w:type="dxa"/>
            <w:shd w:val="clear" w:color="auto" w:fill="auto"/>
            <w:vAlign w:val="center"/>
            <w:hideMark/>
          </w:tcPr>
          <w:p w14:paraId="2255C258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F0D5D25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EBB309A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E446DD1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1.668.062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235DE05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2.181.539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93194C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130,8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13E23EB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513.477</w:t>
            </w:r>
          </w:p>
        </w:tc>
      </w:tr>
      <w:tr w:rsidR="00EA1110" w:rsidRPr="00EA1110" w14:paraId="38F374D2" w14:textId="77777777" w:rsidTr="005C69B0">
        <w:trPr>
          <w:trHeight w:val="240"/>
        </w:trPr>
        <w:tc>
          <w:tcPr>
            <w:tcW w:w="786" w:type="dxa"/>
            <w:shd w:val="clear" w:color="auto" w:fill="auto"/>
            <w:vAlign w:val="center"/>
            <w:hideMark/>
          </w:tcPr>
          <w:p w14:paraId="557921ED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23177371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5B47092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4F6590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17.739.104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EF7F498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18.355.349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F364B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103,5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A82DB99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616.245</w:t>
            </w:r>
          </w:p>
        </w:tc>
      </w:tr>
      <w:tr w:rsidR="00EA1110" w:rsidRPr="00EA1110" w14:paraId="3C04E012" w14:textId="77777777" w:rsidTr="005C69B0">
        <w:trPr>
          <w:trHeight w:val="465"/>
        </w:trPr>
        <w:tc>
          <w:tcPr>
            <w:tcW w:w="786" w:type="dxa"/>
            <w:shd w:val="clear" w:color="auto" w:fill="auto"/>
            <w:vAlign w:val="center"/>
            <w:hideMark/>
          </w:tcPr>
          <w:p w14:paraId="6ED56724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0BE2BB87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440EFCE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A3C696F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73.971.299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AA598A0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74.371.747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DCE8AC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100,5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ED6F150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400.448</w:t>
            </w:r>
          </w:p>
        </w:tc>
      </w:tr>
      <w:tr w:rsidR="00EA1110" w:rsidRPr="00EA1110" w14:paraId="448D175F" w14:textId="77777777" w:rsidTr="005C69B0">
        <w:trPr>
          <w:trHeight w:val="465"/>
        </w:trPr>
        <w:tc>
          <w:tcPr>
            <w:tcW w:w="786" w:type="dxa"/>
            <w:shd w:val="clear" w:color="auto" w:fill="auto"/>
            <w:vAlign w:val="center"/>
            <w:hideMark/>
          </w:tcPr>
          <w:p w14:paraId="2214F54C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19132786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EDFFB07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ADE9A0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6.592.449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7E86DCD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6.571.011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C920AC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99,7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0F74019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-21.438</w:t>
            </w:r>
          </w:p>
        </w:tc>
      </w:tr>
      <w:tr w:rsidR="00EA1110" w:rsidRPr="00EA1110" w14:paraId="4E156465" w14:textId="77777777" w:rsidTr="005C69B0">
        <w:trPr>
          <w:trHeight w:val="240"/>
        </w:trPr>
        <w:tc>
          <w:tcPr>
            <w:tcW w:w="786" w:type="dxa"/>
            <w:shd w:val="clear" w:color="auto" w:fill="auto"/>
            <w:vAlign w:val="center"/>
            <w:hideMark/>
          </w:tcPr>
          <w:p w14:paraId="73C6649C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1D0EB15B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7B6AD20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1C7FE4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61.955.320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E630A72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46.537.077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948F3C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75,1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6479FC8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-15.418.243</w:t>
            </w:r>
          </w:p>
        </w:tc>
      </w:tr>
      <w:tr w:rsidR="00EA1110" w:rsidRPr="00EA1110" w14:paraId="6780546E" w14:textId="77777777" w:rsidTr="005C69B0">
        <w:trPr>
          <w:trHeight w:val="240"/>
        </w:trPr>
        <w:tc>
          <w:tcPr>
            <w:tcW w:w="786" w:type="dxa"/>
            <w:shd w:val="clear" w:color="auto" w:fill="DBE5F1" w:themeFill="accent1" w:themeFillTint="33"/>
            <w:vAlign w:val="center"/>
            <w:hideMark/>
          </w:tcPr>
          <w:p w14:paraId="25B954CE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460" w:type="dxa"/>
            <w:shd w:val="clear" w:color="auto" w:fill="DBE5F1" w:themeFill="accent1" w:themeFillTint="33"/>
            <w:vAlign w:val="center"/>
            <w:hideMark/>
          </w:tcPr>
          <w:p w14:paraId="51F71BB5" w14:textId="77777777" w:rsidR="00EA1110" w:rsidRPr="00B93E3E" w:rsidRDefault="00EA1110" w:rsidP="00B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554" w:type="dxa"/>
            <w:shd w:val="clear" w:color="auto" w:fill="DBE5F1" w:themeFill="accent1" w:themeFillTint="33"/>
            <w:vAlign w:val="center"/>
            <w:hideMark/>
          </w:tcPr>
          <w:p w14:paraId="0FEEC36D" w14:textId="77777777" w:rsidR="00EA1110" w:rsidRPr="00B93E3E" w:rsidRDefault="00EA1110" w:rsidP="00B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1407" w:type="dxa"/>
            <w:shd w:val="clear" w:color="auto" w:fill="DBE5F1" w:themeFill="accent1" w:themeFillTint="33"/>
            <w:noWrap/>
            <w:vAlign w:val="center"/>
            <w:hideMark/>
          </w:tcPr>
          <w:p w14:paraId="55CBE9D0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282.861.301</w:t>
            </w:r>
          </w:p>
        </w:tc>
        <w:tc>
          <w:tcPr>
            <w:tcW w:w="1290" w:type="dxa"/>
            <w:shd w:val="clear" w:color="auto" w:fill="DBE5F1" w:themeFill="accent1" w:themeFillTint="33"/>
            <w:noWrap/>
            <w:vAlign w:val="center"/>
            <w:hideMark/>
          </w:tcPr>
          <w:p w14:paraId="0AD5B9C4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258.731.751</w:t>
            </w:r>
          </w:p>
        </w:tc>
        <w:tc>
          <w:tcPr>
            <w:tcW w:w="679" w:type="dxa"/>
            <w:shd w:val="clear" w:color="auto" w:fill="DBE5F1" w:themeFill="accent1" w:themeFillTint="33"/>
            <w:noWrap/>
            <w:vAlign w:val="center"/>
            <w:hideMark/>
          </w:tcPr>
          <w:p w14:paraId="44444894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91,5</w:t>
            </w:r>
          </w:p>
        </w:tc>
        <w:tc>
          <w:tcPr>
            <w:tcW w:w="1324" w:type="dxa"/>
            <w:shd w:val="clear" w:color="auto" w:fill="DBE5F1" w:themeFill="accent1" w:themeFillTint="33"/>
            <w:noWrap/>
            <w:vAlign w:val="center"/>
            <w:hideMark/>
          </w:tcPr>
          <w:p w14:paraId="0AA12E56" w14:textId="77777777" w:rsidR="00EA1110" w:rsidRPr="00B93E3E" w:rsidRDefault="00EA1110" w:rsidP="00B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-24.129.550</w:t>
            </w:r>
          </w:p>
        </w:tc>
      </w:tr>
      <w:bookmarkEnd w:id="0"/>
    </w:tbl>
    <w:p w14:paraId="4F63E9D1" w14:textId="77777777" w:rsidR="000025CD" w:rsidRDefault="000025CD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3D0BDEB4" w14:textId="59EC0AB7" w:rsidR="009F5F03" w:rsidRDefault="00EB2FC4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t xml:space="preserve">BILJEŠKA br. </w:t>
      </w:r>
      <w:r w:rsidR="00EA1110" w:rsidRPr="005C69B0">
        <w:rPr>
          <w:rFonts w:ascii="Times New Roman" w:hAnsi="Times New Roman" w:cs="Times New Roman"/>
          <w:b/>
        </w:rPr>
        <w:t>23</w:t>
      </w:r>
    </w:p>
    <w:p w14:paraId="67DF6DDA" w14:textId="2F12AE23" w:rsidR="00EA1110" w:rsidRPr="00EA1110" w:rsidRDefault="00EA1110" w:rsidP="00EA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10">
        <w:rPr>
          <w:rFonts w:ascii="Times New Roman" w:hAnsi="Times New Roman" w:cs="Times New Roman"/>
          <w:sz w:val="24"/>
          <w:szCs w:val="24"/>
        </w:rPr>
        <w:t xml:space="preserve">Uslijed pojave </w:t>
      </w:r>
      <w:r w:rsidR="00E70FC6">
        <w:rPr>
          <w:rFonts w:ascii="Times New Roman" w:hAnsi="Times New Roman" w:cs="Times New Roman"/>
          <w:sz w:val="24"/>
          <w:szCs w:val="24"/>
        </w:rPr>
        <w:t>bolesti COVID-19</w:t>
      </w:r>
      <w:r w:rsidR="006129A4">
        <w:rPr>
          <w:rFonts w:ascii="Times New Roman" w:hAnsi="Times New Roman" w:cs="Times New Roman"/>
          <w:sz w:val="24"/>
          <w:szCs w:val="24"/>
        </w:rPr>
        <w:t>,</w:t>
      </w:r>
      <w:r w:rsidRPr="00EA1110">
        <w:rPr>
          <w:rFonts w:ascii="Times New Roman" w:hAnsi="Times New Roman" w:cs="Times New Roman"/>
          <w:sz w:val="24"/>
          <w:szCs w:val="24"/>
        </w:rPr>
        <w:t xml:space="preserve"> kada je došlo do </w:t>
      </w:r>
      <w:r w:rsidR="00AD7F9F">
        <w:rPr>
          <w:rFonts w:ascii="Times New Roman" w:hAnsi="Times New Roman" w:cs="Times New Roman"/>
          <w:sz w:val="24"/>
          <w:szCs w:val="24"/>
        </w:rPr>
        <w:t>smanjenja gospodarskih aktivnosti</w:t>
      </w:r>
      <w:r w:rsidRPr="00EA1110">
        <w:rPr>
          <w:rFonts w:ascii="Times New Roman" w:hAnsi="Times New Roman" w:cs="Times New Roman"/>
          <w:sz w:val="24"/>
          <w:szCs w:val="24"/>
        </w:rPr>
        <w:t>, donijete su odluke o smanjenju plaća zaposlenih odnosno osnovice za obračun plaće za travanj</w:t>
      </w:r>
      <w:r w:rsidR="00AD7F9F">
        <w:rPr>
          <w:rFonts w:ascii="Times New Roman" w:hAnsi="Times New Roman" w:cs="Times New Roman"/>
          <w:sz w:val="24"/>
          <w:szCs w:val="24"/>
        </w:rPr>
        <w:t xml:space="preserve">, </w:t>
      </w:r>
      <w:r w:rsidRPr="00EA1110">
        <w:rPr>
          <w:rFonts w:ascii="Times New Roman" w:hAnsi="Times New Roman" w:cs="Times New Roman"/>
          <w:sz w:val="24"/>
          <w:szCs w:val="24"/>
        </w:rPr>
        <w:t>svibanj</w:t>
      </w:r>
      <w:r w:rsidR="007D33DC">
        <w:rPr>
          <w:rFonts w:ascii="Times New Roman" w:hAnsi="Times New Roman" w:cs="Times New Roman"/>
          <w:sz w:val="24"/>
          <w:szCs w:val="24"/>
        </w:rPr>
        <w:t xml:space="preserve">, </w:t>
      </w:r>
      <w:r w:rsidRPr="00EA1110">
        <w:rPr>
          <w:rFonts w:ascii="Times New Roman" w:hAnsi="Times New Roman" w:cs="Times New Roman"/>
          <w:sz w:val="24"/>
          <w:szCs w:val="24"/>
        </w:rPr>
        <w:t>lipanj i srpanj</w:t>
      </w:r>
      <w:r w:rsidR="00AD7F9F">
        <w:rPr>
          <w:rFonts w:ascii="Times New Roman" w:hAnsi="Times New Roman" w:cs="Times New Roman"/>
          <w:sz w:val="24"/>
          <w:szCs w:val="24"/>
        </w:rPr>
        <w:t xml:space="preserve"> te smanjenja odnosno neisplate pojedinih materijalnih rashoda</w:t>
      </w:r>
      <w:r w:rsidR="00EF1500">
        <w:rPr>
          <w:rFonts w:ascii="Times New Roman" w:hAnsi="Times New Roman" w:cs="Times New Roman"/>
          <w:sz w:val="24"/>
          <w:szCs w:val="24"/>
        </w:rPr>
        <w:t xml:space="preserve"> </w:t>
      </w:r>
      <w:r w:rsidRPr="00EA1110">
        <w:rPr>
          <w:rFonts w:ascii="Times New Roman" w:hAnsi="Times New Roman" w:cs="Times New Roman"/>
          <w:sz w:val="24"/>
          <w:szCs w:val="24"/>
        </w:rPr>
        <w:t xml:space="preserve">od kojih su značajniji: službena putovanja, stručno usavršavanje </w:t>
      </w:r>
      <w:r>
        <w:rPr>
          <w:rFonts w:ascii="Times New Roman" w:hAnsi="Times New Roman" w:cs="Times New Roman"/>
          <w:sz w:val="24"/>
          <w:szCs w:val="24"/>
        </w:rPr>
        <w:t>zaposlenika</w:t>
      </w:r>
      <w:r w:rsidRPr="00EA1110">
        <w:rPr>
          <w:rFonts w:ascii="Times New Roman" w:hAnsi="Times New Roman" w:cs="Times New Roman"/>
          <w:sz w:val="24"/>
          <w:szCs w:val="24"/>
        </w:rPr>
        <w:t>, službena, radna i zaštitna obuća i odjeća, naknade za rad predstavničkih i izvršnih tijela, troškovi reprezentacije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B8A93" w14:textId="2E8FFDB3" w:rsidR="00EA1110" w:rsidRDefault="00EA1110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756A092" w14:textId="789F6F85" w:rsidR="00EA1110" w:rsidRPr="00EA1110" w:rsidRDefault="00EA1110" w:rsidP="00EA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9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BILJEŠKA br. 2</w:t>
      </w:r>
      <w:r w:rsidR="00EF15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515AEB5D" w14:textId="77777777" w:rsidR="00EA1110" w:rsidRPr="00EA1110" w:rsidRDefault="00EA1110" w:rsidP="00EA11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10">
        <w:rPr>
          <w:rFonts w:ascii="Times New Roman" w:hAnsi="Times New Roman" w:cs="Times New Roman"/>
          <w:sz w:val="24"/>
          <w:szCs w:val="24"/>
        </w:rPr>
        <w:t xml:space="preserve">Najznačajnije povećanje materijalnih rashoda u odnosu na isto izvještajno razdoblje protekle godine zabilježeno je kod odjeljka: </w:t>
      </w:r>
    </w:p>
    <w:p w14:paraId="28041F09" w14:textId="53F1D70E" w:rsidR="00EA1110" w:rsidRPr="006129A4" w:rsidRDefault="00EA1110" w:rsidP="000F001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A4">
        <w:rPr>
          <w:rFonts w:ascii="Times New Roman" w:hAnsi="Times New Roman" w:cs="Times New Roman"/>
          <w:sz w:val="24"/>
          <w:szCs w:val="24"/>
        </w:rPr>
        <w:t xml:space="preserve">Računalne usluge (AOP182) </w:t>
      </w:r>
      <w:r w:rsidR="00AB1AE9">
        <w:rPr>
          <w:rFonts w:ascii="Times New Roman" w:hAnsi="Times New Roman" w:cs="Times New Roman"/>
          <w:sz w:val="24"/>
          <w:szCs w:val="24"/>
        </w:rPr>
        <w:t>-</w:t>
      </w:r>
      <w:r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>iznose 1.450.051 kn, uvećane su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 za </w:t>
      </w:r>
      <w:r w:rsidR="00C42BB5">
        <w:rPr>
          <w:rFonts w:ascii="Times New Roman" w:hAnsi="Times New Roman" w:cs="Times New Roman"/>
          <w:sz w:val="24"/>
          <w:szCs w:val="24"/>
        </w:rPr>
        <w:t>2</w:t>
      </w:r>
      <w:r w:rsidR="007C0199" w:rsidRPr="006129A4">
        <w:rPr>
          <w:rFonts w:ascii="Times New Roman" w:hAnsi="Times New Roman" w:cs="Times New Roman"/>
          <w:sz w:val="24"/>
          <w:szCs w:val="24"/>
        </w:rPr>
        <w:t>.</w:t>
      </w:r>
      <w:r w:rsidR="00C42BB5">
        <w:rPr>
          <w:rFonts w:ascii="Times New Roman" w:hAnsi="Times New Roman" w:cs="Times New Roman"/>
          <w:sz w:val="24"/>
          <w:szCs w:val="24"/>
        </w:rPr>
        <w:t>5</w:t>
      </w:r>
      <w:r w:rsidR="007C0199" w:rsidRPr="006129A4">
        <w:rPr>
          <w:rFonts w:ascii="Times New Roman" w:hAnsi="Times New Roman" w:cs="Times New Roman"/>
          <w:sz w:val="24"/>
          <w:szCs w:val="24"/>
        </w:rPr>
        <w:t>12,7%</w:t>
      </w:r>
      <w:r w:rsidRPr="006129A4">
        <w:rPr>
          <w:rFonts w:ascii="Times New Roman" w:hAnsi="Times New Roman" w:cs="Times New Roman"/>
          <w:sz w:val="24"/>
          <w:szCs w:val="24"/>
        </w:rPr>
        <w:t xml:space="preserve"> iz razloga što </w:t>
      </w:r>
      <w:r w:rsidR="00EF1500">
        <w:rPr>
          <w:rFonts w:ascii="Times New Roman" w:hAnsi="Times New Roman" w:cs="Times New Roman"/>
          <w:sz w:val="24"/>
          <w:szCs w:val="24"/>
        </w:rPr>
        <w:t xml:space="preserve">su </w:t>
      </w:r>
      <w:r w:rsidRPr="006129A4">
        <w:rPr>
          <w:rFonts w:ascii="Times New Roman" w:hAnsi="Times New Roman" w:cs="Times New Roman"/>
          <w:sz w:val="24"/>
          <w:szCs w:val="24"/>
        </w:rPr>
        <w:t xml:space="preserve">u 2019. godini </w:t>
      </w:r>
      <w:r w:rsidR="00EF1500">
        <w:rPr>
          <w:rFonts w:ascii="Times New Roman" w:hAnsi="Times New Roman" w:cs="Times New Roman"/>
          <w:sz w:val="24"/>
          <w:szCs w:val="24"/>
        </w:rPr>
        <w:t>usluge korištenja informatičkih</w:t>
      </w:r>
      <w:r w:rsidRPr="006129A4">
        <w:rPr>
          <w:rFonts w:ascii="Times New Roman" w:hAnsi="Times New Roman" w:cs="Times New Roman"/>
          <w:sz w:val="24"/>
          <w:szCs w:val="24"/>
        </w:rPr>
        <w:t xml:space="preserve"> programa bil</w:t>
      </w:r>
      <w:r w:rsidR="00EF1500">
        <w:rPr>
          <w:rFonts w:ascii="Times New Roman" w:hAnsi="Times New Roman" w:cs="Times New Roman"/>
          <w:sz w:val="24"/>
          <w:szCs w:val="24"/>
        </w:rPr>
        <w:t>e</w:t>
      </w:r>
      <w:r w:rsidRPr="006129A4">
        <w:rPr>
          <w:rFonts w:ascii="Times New Roman" w:hAnsi="Times New Roman" w:cs="Times New Roman"/>
          <w:sz w:val="24"/>
          <w:szCs w:val="24"/>
        </w:rPr>
        <w:t xml:space="preserve"> knjižen</w:t>
      </w:r>
      <w:r w:rsidR="00EF1500">
        <w:rPr>
          <w:rFonts w:ascii="Times New Roman" w:hAnsi="Times New Roman" w:cs="Times New Roman"/>
          <w:sz w:val="24"/>
          <w:szCs w:val="24"/>
        </w:rPr>
        <w:t>e</w:t>
      </w:r>
      <w:r w:rsidRPr="006129A4">
        <w:rPr>
          <w:rFonts w:ascii="Times New Roman" w:hAnsi="Times New Roman" w:cs="Times New Roman"/>
          <w:sz w:val="24"/>
          <w:szCs w:val="24"/>
        </w:rPr>
        <w:t xml:space="preserve"> u odjeljku 3232 Usluge tekućeg i investicijskog održavanja</w:t>
      </w:r>
      <w:r w:rsidR="00EF1500">
        <w:rPr>
          <w:rFonts w:ascii="Times New Roman" w:hAnsi="Times New Roman" w:cs="Times New Roman"/>
          <w:sz w:val="24"/>
          <w:szCs w:val="24"/>
        </w:rPr>
        <w:t>;</w:t>
      </w:r>
    </w:p>
    <w:p w14:paraId="4127645A" w14:textId="12D8ABAF" w:rsidR="00EA1110" w:rsidRPr="006129A4" w:rsidRDefault="00EA1110" w:rsidP="000F001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A4">
        <w:rPr>
          <w:rFonts w:ascii="Times New Roman" w:hAnsi="Times New Roman" w:cs="Times New Roman"/>
          <w:sz w:val="24"/>
          <w:szCs w:val="24"/>
        </w:rPr>
        <w:t xml:space="preserve">Premije osiguranja (AOP187) </w:t>
      </w:r>
      <w:r w:rsidR="007C0199" w:rsidRPr="006129A4">
        <w:rPr>
          <w:rFonts w:ascii="Times New Roman" w:hAnsi="Times New Roman" w:cs="Times New Roman"/>
          <w:sz w:val="24"/>
          <w:szCs w:val="24"/>
        </w:rPr>
        <w:t>-</w:t>
      </w:r>
      <w:r w:rsidRPr="006129A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3852674"/>
      <w:r w:rsidR="00AB1AE9">
        <w:rPr>
          <w:rFonts w:ascii="Times New Roman" w:hAnsi="Times New Roman" w:cs="Times New Roman"/>
          <w:sz w:val="24"/>
          <w:szCs w:val="24"/>
        </w:rPr>
        <w:t>iznose 696.586 kn, uvećane su za</w:t>
      </w:r>
      <w:bookmarkEnd w:id="2"/>
      <w:r w:rsidR="00AB1AE9">
        <w:rPr>
          <w:rFonts w:ascii="Times New Roman" w:hAnsi="Times New Roman" w:cs="Times New Roman"/>
          <w:sz w:val="24"/>
          <w:szCs w:val="24"/>
        </w:rPr>
        <w:t xml:space="preserve"> </w:t>
      </w:r>
      <w:r w:rsidR="007C0199" w:rsidRPr="006129A4">
        <w:rPr>
          <w:rFonts w:ascii="Times New Roman" w:hAnsi="Times New Roman" w:cs="Times New Roman"/>
          <w:sz w:val="24"/>
          <w:szCs w:val="24"/>
        </w:rPr>
        <w:t>21,9%</w:t>
      </w:r>
      <w:r w:rsidRPr="006129A4">
        <w:rPr>
          <w:rFonts w:ascii="Times New Roman" w:hAnsi="Times New Roman" w:cs="Times New Roman"/>
          <w:sz w:val="24"/>
          <w:szCs w:val="24"/>
        </w:rPr>
        <w:t xml:space="preserve"> zbog </w:t>
      </w:r>
      <w:r w:rsidR="00473C17">
        <w:rPr>
          <w:rFonts w:ascii="Times New Roman" w:hAnsi="Times New Roman" w:cs="Times New Roman"/>
          <w:sz w:val="24"/>
          <w:szCs w:val="24"/>
        </w:rPr>
        <w:t xml:space="preserve">više </w:t>
      </w:r>
      <w:r w:rsidRPr="006129A4">
        <w:rPr>
          <w:rFonts w:ascii="Times New Roman" w:hAnsi="Times New Roman" w:cs="Times New Roman"/>
          <w:sz w:val="24"/>
          <w:szCs w:val="24"/>
        </w:rPr>
        <w:t>ugovoren</w:t>
      </w:r>
      <w:r w:rsidR="00EF1500">
        <w:rPr>
          <w:rFonts w:ascii="Times New Roman" w:hAnsi="Times New Roman" w:cs="Times New Roman"/>
          <w:sz w:val="24"/>
          <w:szCs w:val="24"/>
        </w:rPr>
        <w:t>og</w:t>
      </w:r>
      <w:r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EF1500">
        <w:rPr>
          <w:rFonts w:ascii="Times New Roman" w:hAnsi="Times New Roman" w:cs="Times New Roman"/>
          <w:sz w:val="24"/>
          <w:szCs w:val="24"/>
        </w:rPr>
        <w:t>osiguranja</w:t>
      </w:r>
      <w:r w:rsidR="00473C17">
        <w:rPr>
          <w:rFonts w:ascii="Times New Roman" w:hAnsi="Times New Roman" w:cs="Times New Roman"/>
          <w:sz w:val="24"/>
          <w:szCs w:val="24"/>
        </w:rPr>
        <w:t xml:space="preserve"> u 2020. godini</w:t>
      </w:r>
      <w:r w:rsidR="00EF1500">
        <w:rPr>
          <w:rFonts w:ascii="Times New Roman" w:hAnsi="Times New Roman" w:cs="Times New Roman"/>
          <w:sz w:val="24"/>
          <w:szCs w:val="24"/>
        </w:rPr>
        <w:t>;</w:t>
      </w:r>
    </w:p>
    <w:p w14:paraId="33B6ECC6" w14:textId="339B0AB3" w:rsidR="00EA1110" w:rsidRPr="006129A4" w:rsidRDefault="00EA1110" w:rsidP="000F001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29A4">
        <w:rPr>
          <w:rFonts w:ascii="Times New Roman" w:hAnsi="Times New Roman" w:cs="Times New Roman"/>
          <w:sz w:val="24"/>
          <w:szCs w:val="24"/>
        </w:rPr>
        <w:t>Usluge promidžbe i informiranja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 (AOP177)</w:t>
      </w:r>
      <w:r w:rsidR="0047407A"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Pr="006129A4">
        <w:rPr>
          <w:rFonts w:ascii="Times New Roman" w:hAnsi="Times New Roman" w:cs="Times New Roman"/>
          <w:sz w:val="24"/>
          <w:szCs w:val="24"/>
        </w:rPr>
        <w:t xml:space="preserve"> - 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>iznose 3.488.795 kn, uvećane su za</w:t>
      </w:r>
      <w:r w:rsidR="00AB1AE9"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32,4% </w:t>
      </w:r>
      <w:r w:rsidR="00473C17">
        <w:rPr>
          <w:rFonts w:ascii="Times New Roman" w:hAnsi="Times New Roman" w:cs="Times New Roman"/>
          <w:sz w:val="24"/>
          <w:szCs w:val="24"/>
        </w:rPr>
        <w:t xml:space="preserve">u odnosu na 2019. godinu </w:t>
      </w:r>
      <w:r w:rsidRPr="006129A4">
        <w:rPr>
          <w:rFonts w:ascii="Times New Roman" w:hAnsi="Times New Roman" w:cs="Times New Roman"/>
          <w:sz w:val="24"/>
          <w:szCs w:val="24"/>
        </w:rPr>
        <w:t xml:space="preserve">zbog </w:t>
      </w:r>
      <w:r w:rsidR="00473C17">
        <w:rPr>
          <w:rFonts w:ascii="Times New Roman" w:hAnsi="Times New Roman" w:cs="Times New Roman"/>
          <w:sz w:val="24"/>
          <w:szCs w:val="24"/>
        </w:rPr>
        <w:t xml:space="preserve">više aktivnosti vezanih za </w:t>
      </w:r>
      <w:r w:rsidRPr="006129A4">
        <w:rPr>
          <w:rFonts w:ascii="Times New Roman" w:hAnsi="Times New Roman" w:cs="Times New Roman"/>
          <w:sz w:val="24"/>
          <w:szCs w:val="24"/>
        </w:rPr>
        <w:t>informiranj</w:t>
      </w:r>
      <w:r w:rsidR="00473C17">
        <w:rPr>
          <w:rFonts w:ascii="Times New Roman" w:hAnsi="Times New Roman" w:cs="Times New Roman"/>
          <w:sz w:val="24"/>
          <w:szCs w:val="24"/>
        </w:rPr>
        <w:t>e</w:t>
      </w:r>
      <w:r w:rsidRPr="006129A4">
        <w:rPr>
          <w:rFonts w:ascii="Times New Roman" w:hAnsi="Times New Roman" w:cs="Times New Roman"/>
          <w:sz w:val="24"/>
          <w:szCs w:val="24"/>
        </w:rPr>
        <w:t xml:space="preserve"> javnosti o </w:t>
      </w:r>
      <w:r w:rsidR="00234282" w:rsidRPr="006129A4">
        <w:rPr>
          <w:rFonts w:ascii="Times New Roman" w:hAnsi="Times New Roman" w:cs="Times New Roman"/>
          <w:sz w:val="24"/>
          <w:szCs w:val="24"/>
        </w:rPr>
        <w:t xml:space="preserve">pojavi </w:t>
      </w:r>
      <w:r w:rsidR="006129A4">
        <w:rPr>
          <w:rFonts w:ascii="Times New Roman" w:hAnsi="Times New Roman" w:cs="Times New Roman"/>
          <w:sz w:val="24"/>
          <w:szCs w:val="24"/>
        </w:rPr>
        <w:t>nove bolesti</w:t>
      </w:r>
      <w:r w:rsidR="00E70FC6">
        <w:rPr>
          <w:rFonts w:ascii="Times New Roman" w:hAnsi="Times New Roman" w:cs="Times New Roman"/>
          <w:sz w:val="24"/>
          <w:szCs w:val="24"/>
        </w:rPr>
        <w:t xml:space="preserve"> COVID-19</w:t>
      </w:r>
      <w:r w:rsidR="00D60067">
        <w:rPr>
          <w:rFonts w:ascii="Times New Roman" w:hAnsi="Times New Roman" w:cs="Times New Roman"/>
          <w:sz w:val="24"/>
          <w:szCs w:val="24"/>
        </w:rPr>
        <w:t>;</w:t>
      </w:r>
    </w:p>
    <w:p w14:paraId="0BA62A18" w14:textId="0813A066" w:rsidR="00EA1110" w:rsidRPr="006129A4" w:rsidRDefault="00234282" w:rsidP="000F001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A4">
        <w:rPr>
          <w:rFonts w:ascii="Times New Roman" w:hAnsi="Times New Roman" w:cs="Times New Roman"/>
          <w:sz w:val="24"/>
          <w:szCs w:val="24"/>
        </w:rPr>
        <w:t xml:space="preserve">Zdravstvene i veterinarske usluge (AOP180) </w:t>
      </w:r>
      <w:r w:rsidR="006129A4">
        <w:rPr>
          <w:rFonts w:ascii="Times New Roman" w:hAnsi="Times New Roman" w:cs="Times New Roman"/>
          <w:sz w:val="24"/>
          <w:szCs w:val="24"/>
        </w:rPr>
        <w:t>-</w:t>
      </w:r>
      <w:r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AB1AE9">
        <w:rPr>
          <w:rFonts w:ascii="Times New Roman" w:hAnsi="Times New Roman" w:cs="Times New Roman"/>
          <w:sz w:val="24"/>
          <w:szCs w:val="24"/>
        </w:rPr>
        <w:t xml:space="preserve">iznose </w:t>
      </w:r>
      <w:r w:rsidR="006242F9">
        <w:rPr>
          <w:rFonts w:ascii="Times New Roman" w:hAnsi="Times New Roman" w:cs="Times New Roman"/>
          <w:sz w:val="24"/>
          <w:szCs w:val="24"/>
        </w:rPr>
        <w:t xml:space="preserve">654.721 </w:t>
      </w:r>
      <w:r w:rsidR="00AB1AE9">
        <w:rPr>
          <w:rFonts w:ascii="Times New Roman" w:hAnsi="Times New Roman" w:cs="Times New Roman"/>
          <w:sz w:val="24"/>
          <w:szCs w:val="24"/>
        </w:rPr>
        <w:t>kn, uvećane su za</w:t>
      </w:r>
      <w:r w:rsidR="00AB1AE9" w:rsidRPr="006129A4">
        <w:rPr>
          <w:rFonts w:ascii="Times New Roman" w:hAnsi="Times New Roman" w:cs="Times New Roman"/>
          <w:sz w:val="24"/>
          <w:szCs w:val="24"/>
        </w:rPr>
        <w:t xml:space="preserve"> 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46,8% </w:t>
      </w:r>
      <w:r w:rsidR="00473C17">
        <w:rPr>
          <w:rFonts w:ascii="Times New Roman" w:hAnsi="Times New Roman" w:cs="Times New Roman"/>
          <w:sz w:val="24"/>
          <w:szCs w:val="24"/>
        </w:rPr>
        <w:t xml:space="preserve">u odnosu na 2019. godinu </w:t>
      </w:r>
      <w:r w:rsidRPr="006129A4">
        <w:rPr>
          <w:rFonts w:ascii="Times New Roman" w:hAnsi="Times New Roman" w:cs="Times New Roman"/>
          <w:sz w:val="24"/>
          <w:szCs w:val="24"/>
        </w:rPr>
        <w:t xml:space="preserve">zbog većih </w:t>
      </w:r>
      <w:r w:rsidR="007C0199" w:rsidRPr="006129A4">
        <w:rPr>
          <w:rFonts w:ascii="Times New Roman" w:hAnsi="Times New Roman" w:cs="Times New Roman"/>
          <w:sz w:val="24"/>
          <w:szCs w:val="24"/>
        </w:rPr>
        <w:t xml:space="preserve">izdvajanja za napuštene životinje te uvođenja projekta za kontrolu suzbijanja populacije galeba </w:t>
      </w:r>
      <w:proofErr w:type="spellStart"/>
      <w:r w:rsidR="007C0199" w:rsidRPr="006129A4">
        <w:rPr>
          <w:rFonts w:ascii="Times New Roman" w:hAnsi="Times New Roman" w:cs="Times New Roman"/>
          <w:sz w:val="24"/>
          <w:szCs w:val="24"/>
        </w:rPr>
        <w:t>Klauk</w:t>
      </w:r>
      <w:r w:rsidR="00166BA5">
        <w:rPr>
          <w:rFonts w:ascii="Times New Roman" w:hAnsi="Times New Roman" w:cs="Times New Roman"/>
          <w:sz w:val="24"/>
          <w:szCs w:val="24"/>
        </w:rPr>
        <w:t>a</w:t>
      </w:r>
      <w:r w:rsidR="007C0199" w:rsidRPr="006129A4">
        <w:rPr>
          <w:rFonts w:ascii="Times New Roman" w:hAnsi="Times New Roman" w:cs="Times New Roman"/>
          <w:sz w:val="24"/>
          <w:szCs w:val="24"/>
        </w:rPr>
        <w:t>vca</w:t>
      </w:r>
      <w:proofErr w:type="spellEnd"/>
      <w:r w:rsidR="00D60067">
        <w:rPr>
          <w:rFonts w:ascii="Times New Roman" w:hAnsi="Times New Roman" w:cs="Times New Roman"/>
          <w:sz w:val="24"/>
          <w:szCs w:val="24"/>
        </w:rPr>
        <w:t>;</w:t>
      </w:r>
    </w:p>
    <w:p w14:paraId="475D1CBB" w14:textId="68538353" w:rsidR="004638DD" w:rsidRPr="004638DD" w:rsidRDefault="007C0199" w:rsidP="000F001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4638DD">
        <w:rPr>
          <w:rFonts w:ascii="Times New Roman" w:hAnsi="Times New Roman" w:cs="Times New Roman"/>
          <w:sz w:val="24"/>
          <w:szCs w:val="24"/>
        </w:rPr>
        <w:t>Pristojbe i naknade (</w:t>
      </w:r>
      <w:r w:rsidR="0047407A" w:rsidRPr="004638DD">
        <w:rPr>
          <w:rFonts w:ascii="Times New Roman" w:hAnsi="Times New Roman" w:cs="Times New Roman"/>
          <w:sz w:val="24"/>
          <w:szCs w:val="24"/>
        </w:rPr>
        <w:t>AOP</w:t>
      </w:r>
      <w:r w:rsidRPr="004638DD">
        <w:rPr>
          <w:rFonts w:ascii="Times New Roman" w:hAnsi="Times New Roman" w:cs="Times New Roman"/>
          <w:sz w:val="24"/>
          <w:szCs w:val="24"/>
        </w:rPr>
        <w:t>190)</w:t>
      </w:r>
      <w:r w:rsidR="0047407A" w:rsidRPr="004638DD">
        <w:rPr>
          <w:rFonts w:ascii="Times New Roman" w:hAnsi="Times New Roman" w:cs="Times New Roman"/>
          <w:sz w:val="24"/>
          <w:szCs w:val="24"/>
        </w:rPr>
        <w:t xml:space="preserve"> - </w:t>
      </w:r>
      <w:r w:rsidR="006242F9" w:rsidRPr="004638DD">
        <w:rPr>
          <w:rFonts w:ascii="Times New Roman" w:hAnsi="Times New Roman" w:cs="Times New Roman"/>
          <w:sz w:val="24"/>
          <w:szCs w:val="24"/>
        </w:rPr>
        <w:t xml:space="preserve">iznose 498.373 kn, uvećane su za </w:t>
      </w:r>
      <w:r w:rsidR="0047407A" w:rsidRPr="004638DD">
        <w:rPr>
          <w:rFonts w:ascii="Times New Roman" w:hAnsi="Times New Roman" w:cs="Times New Roman"/>
          <w:sz w:val="24"/>
          <w:szCs w:val="24"/>
        </w:rPr>
        <w:t xml:space="preserve">36,3% </w:t>
      </w:r>
      <w:r w:rsidR="00473C17">
        <w:rPr>
          <w:rFonts w:ascii="Times New Roman" w:hAnsi="Times New Roman" w:cs="Times New Roman"/>
          <w:sz w:val="24"/>
          <w:szCs w:val="24"/>
        </w:rPr>
        <w:t xml:space="preserve">u odnosu na 2019. godinu </w:t>
      </w:r>
      <w:r w:rsidR="004638DD">
        <w:rPr>
          <w:rFonts w:ascii="Times New Roman" w:hAnsi="Times New Roman" w:cs="Times New Roman"/>
          <w:color w:val="000000"/>
          <w:sz w:val="24"/>
          <w:szCs w:val="24"/>
        </w:rPr>
        <w:t>zbog plaćanja javnobilježničkih naknada, predujmova za provođenje ovršnih rješenja, te zbog plaćenih parničnih troškova sukladno rješenjima suda</w:t>
      </w:r>
      <w:r w:rsidR="00326C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047CC3" w14:textId="1E193042" w:rsidR="00EA1110" w:rsidRPr="004638DD" w:rsidRDefault="00A4766D" w:rsidP="000F001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4638DD">
        <w:rPr>
          <w:rFonts w:ascii="Times New Roman" w:hAnsi="Times New Roman" w:cs="Times New Roman"/>
          <w:sz w:val="24"/>
          <w:szCs w:val="24"/>
        </w:rPr>
        <w:t>Naknade za prijevoz, za rad na terenu i odvojeni život (AOP163)</w:t>
      </w:r>
      <w:r w:rsidR="006129A4" w:rsidRPr="004638DD">
        <w:rPr>
          <w:rFonts w:ascii="Times New Roman" w:hAnsi="Times New Roman" w:cs="Times New Roman"/>
          <w:sz w:val="24"/>
          <w:szCs w:val="24"/>
        </w:rPr>
        <w:t xml:space="preserve"> - </w:t>
      </w:r>
      <w:r w:rsidR="006242F9" w:rsidRPr="004638DD">
        <w:rPr>
          <w:rFonts w:ascii="Times New Roman" w:hAnsi="Times New Roman" w:cs="Times New Roman"/>
          <w:sz w:val="24"/>
          <w:szCs w:val="24"/>
        </w:rPr>
        <w:t xml:space="preserve">iznose 531.478 kn, uvećane su za </w:t>
      </w:r>
      <w:r w:rsidR="006129A4" w:rsidRPr="004638DD">
        <w:rPr>
          <w:rFonts w:ascii="Times New Roman" w:hAnsi="Times New Roman" w:cs="Times New Roman"/>
          <w:sz w:val="24"/>
          <w:szCs w:val="24"/>
        </w:rPr>
        <w:t xml:space="preserve">10,0% zbog promjene pri obračunu </w:t>
      </w:r>
      <w:r w:rsidR="00166BA5" w:rsidRPr="004638DD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6129A4" w:rsidRPr="004638DD">
        <w:rPr>
          <w:rFonts w:ascii="Times New Roman" w:hAnsi="Times New Roman" w:cs="Times New Roman"/>
          <w:sz w:val="24"/>
          <w:szCs w:val="24"/>
        </w:rPr>
        <w:t>prijevoz</w:t>
      </w:r>
      <w:r w:rsidR="00166BA5" w:rsidRPr="004638DD">
        <w:rPr>
          <w:rFonts w:ascii="Times New Roman" w:hAnsi="Times New Roman" w:cs="Times New Roman"/>
          <w:sz w:val="24"/>
          <w:szCs w:val="24"/>
        </w:rPr>
        <w:t xml:space="preserve"> sukladno Kolektivnom ugovoru</w:t>
      </w:r>
      <w:r w:rsidR="00E8255C" w:rsidRPr="004638DD">
        <w:rPr>
          <w:rFonts w:ascii="Times New Roman" w:hAnsi="Times New Roman" w:cs="Times New Roman"/>
          <w:sz w:val="24"/>
          <w:szCs w:val="24"/>
        </w:rPr>
        <w:t>.</w:t>
      </w:r>
    </w:p>
    <w:p w14:paraId="6281CD19" w14:textId="77777777" w:rsidR="007A1836" w:rsidRDefault="007A1836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462851B7" w14:textId="786F3E6B" w:rsidR="007A1836" w:rsidRDefault="00EB2FC4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t xml:space="preserve">BILJEŠKA br. </w:t>
      </w:r>
      <w:r w:rsidR="00E8255C" w:rsidRPr="005C69B0">
        <w:rPr>
          <w:rFonts w:ascii="Times New Roman" w:hAnsi="Times New Roman" w:cs="Times New Roman"/>
          <w:b/>
        </w:rPr>
        <w:t>2</w:t>
      </w:r>
      <w:r w:rsidR="00A557E6">
        <w:rPr>
          <w:rFonts w:ascii="Times New Roman" w:hAnsi="Times New Roman" w:cs="Times New Roman"/>
          <w:b/>
        </w:rPr>
        <w:t>5</w:t>
      </w:r>
    </w:p>
    <w:p w14:paraId="143F16CB" w14:textId="5F48C031" w:rsidR="00E8255C" w:rsidRDefault="00E8255C" w:rsidP="00E825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E8255C">
        <w:rPr>
          <w:rFonts w:ascii="Times New Roman" w:hAnsi="Times New Roman" w:cs="Times New Roman"/>
          <w:bCs/>
        </w:rPr>
        <w:t>Usluge tekućeg i investicijskog održavanja (AOP176)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</w:rPr>
        <w:t>iznose 8.914.807 kn,</w:t>
      </w:r>
      <w:r w:rsidRPr="007A1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iznos iskazan u bruto bilanci - razina 22, iznosi 8.910.007 kn. Razliku od 4.800 kn čini rashod jednog mjesnog odbora čiji </w:t>
      </w:r>
      <w:r>
        <w:rPr>
          <w:rFonts w:ascii="Times New Roman" w:hAnsi="Times New Roman" w:cs="Times New Roman"/>
        </w:rPr>
        <w:lastRenderedPageBreak/>
        <w:t>je izvor vezan za višak prethodne godine te je isti bilo potrebno pribrojiti rashodima razine 22 izvještavanja.</w:t>
      </w:r>
    </w:p>
    <w:p w14:paraId="484F2CAD" w14:textId="535A14FB" w:rsidR="00E8255C" w:rsidRPr="00E8255C" w:rsidRDefault="00E8255C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14:paraId="3AD5E1C1" w14:textId="329D2547" w:rsidR="00E8255C" w:rsidRDefault="00E8255C" w:rsidP="00E8255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t>BILJEŠKA br. 2</w:t>
      </w:r>
      <w:r w:rsidR="00A557E6">
        <w:rPr>
          <w:rFonts w:ascii="Times New Roman" w:hAnsi="Times New Roman" w:cs="Times New Roman"/>
          <w:b/>
        </w:rPr>
        <w:t>6</w:t>
      </w:r>
    </w:p>
    <w:p w14:paraId="3AC9EB84" w14:textId="118D2CD5" w:rsidR="007A1836" w:rsidRDefault="007A1836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nespomenuti rashodi poslovanja (AOP192) - iznose </w:t>
      </w:r>
      <w:r w:rsidR="00166BA5">
        <w:rPr>
          <w:rFonts w:ascii="Times New Roman" w:hAnsi="Times New Roman" w:cs="Times New Roman"/>
        </w:rPr>
        <w:t>4.902.584</w:t>
      </w:r>
      <w:r>
        <w:rPr>
          <w:rFonts w:ascii="Times New Roman" w:hAnsi="Times New Roman" w:cs="Times New Roman"/>
        </w:rPr>
        <w:t xml:space="preserve"> kn,</w:t>
      </w:r>
      <w:r w:rsidRPr="007A1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iznos iskazan u bruto bilanci - razina 22, iznosi </w:t>
      </w:r>
      <w:r w:rsidR="007D38E4">
        <w:rPr>
          <w:rFonts w:ascii="Times New Roman" w:hAnsi="Times New Roman" w:cs="Times New Roman"/>
        </w:rPr>
        <w:t>4.893.654</w:t>
      </w:r>
      <w:r>
        <w:rPr>
          <w:rFonts w:ascii="Times New Roman" w:hAnsi="Times New Roman" w:cs="Times New Roman"/>
        </w:rPr>
        <w:t xml:space="preserve"> kn. Razliku od </w:t>
      </w:r>
      <w:r w:rsidR="007D38E4">
        <w:rPr>
          <w:rFonts w:ascii="Times New Roman" w:hAnsi="Times New Roman" w:cs="Times New Roman"/>
        </w:rPr>
        <w:t>8.930</w:t>
      </w:r>
      <w:r>
        <w:rPr>
          <w:rFonts w:ascii="Times New Roman" w:hAnsi="Times New Roman" w:cs="Times New Roman"/>
        </w:rPr>
        <w:t xml:space="preserve"> kn čini rashod </w:t>
      </w:r>
      <w:r w:rsidR="007D38E4">
        <w:rPr>
          <w:rFonts w:ascii="Times New Roman" w:hAnsi="Times New Roman" w:cs="Times New Roman"/>
        </w:rPr>
        <w:t>dva</w:t>
      </w:r>
      <w:r w:rsidR="00C72071">
        <w:rPr>
          <w:rFonts w:ascii="Times New Roman" w:hAnsi="Times New Roman" w:cs="Times New Roman"/>
        </w:rPr>
        <w:t xml:space="preserve"> mjesn</w:t>
      </w:r>
      <w:r w:rsidR="007D38E4">
        <w:rPr>
          <w:rFonts w:ascii="Times New Roman" w:hAnsi="Times New Roman" w:cs="Times New Roman"/>
        </w:rPr>
        <w:t>a</w:t>
      </w:r>
      <w:r w:rsidR="00C72071">
        <w:rPr>
          <w:rFonts w:ascii="Times New Roman" w:hAnsi="Times New Roman" w:cs="Times New Roman"/>
        </w:rPr>
        <w:t xml:space="preserve"> odbora čiji je izvor vezan za višak prethodne godine</w:t>
      </w:r>
      <w:r>
        <w:rPr>
          <w:rFonts w:ascii="Times New Roman" w:hAnsi="Times New Roman" w:cs="Times New Roman"/>
        </w:rPr>
        <w:t xml:space="preserve"> </w:t>
      </w:r>
      <w:r w:rsidR="00C72071">
        <w:rPr>
          <w:rFonts w:ascii="Times New Roman" w:hAnsi="Times New Roman" w:cs="Times New Roman"/>
        </w:rPr>
        <w:t xml:space="preserve">te </w:t>
      </w:r>
      <w:r w:rsidR="00967321">
        <w:rPr>
          <w:rFonts w:ascii="Times New Roman" w:hAnsi="Times New Roman" w:cs="Times New Roman"/>
        </w:rPr>
        <w:t>je isti</w:t>
      </w:r>
      <w:r w:rsidR="00C72071">
        <w:rPr>
          <w:rFonts w:ascii="Times New Roman" w:hAnsi="Times New Roman" w:cs="Times New Roman"/>
        </w:rPr>
        <w:t xml:space="preserve"> bilo potrebno pribrojiti rashodima razine 22 izvještavanja.</w:t>
      </w:r>
    </w:p>
    <w:p w14:paraId="5B1FDE02" w14:textId="77777777" w:rsidR="002312C1" w:rsidRDefault="002312C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094CEF6" w14:textId="4BBDB0B9" w:rsidR="002312C1" w:rsidRDefault="002312C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C69B0">
        <w:rPr>
          <w:rFonts w:ascii="Times New Roman" w:hAnsi="Times New Roman" w:cs="Times New Roman"/>
          <w:b/>
        </w:rPr>
        <w:t>BILJEŠK</w:t>
      </w:r>
      <w:r w:rsidR="00EB2FC4" w:rsidRPr="005C69B0">
        <w:rPr>
          <w:rFonts w:ascii="Times New Roman" w:hAnsi="Times New Roman" w:cs="Times New Roman"/>
          <w:b/>
        </w:rPr>
        <w:t>A br. 2</w:t>
      </w:r>
      <w:r w:rsidR="00A557E6">
        <w:rPr>
          <w:rFonts w:ascii="Times New Roman" w:hAnsi="Times New Roman" w:cs="Times New Roman"/>
          <w:b/>
        </w:rPr>
        <w:t>7</w:t>
      </w:r>
    </w:p>
    <w:p w14:paraId="19F948AA" w14:textId="70262148" w:rsidR="002367ED" w:rsidRDefault="00BA5DA5" w:rsidP="007D3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8E4">
        <w:rPr>
          <w:rFonts w:ascii="Times New Roman" w:hAnsi="Times New Roman" w:cs="Times New Roman"/>
          <w:sz w:val="24"/>
          <w:szCs w:val="24"/>
        </w:rPr>
        <w:t>Kamate za primljene kredite i zajmove</w:t>
      </w:r>
      <w:r w:rsidR="002312C1" w:rsidRPr="007D38E4">
        <w:rPr>
          <w:rFonts w:ascii="Times New Roman" w:hAnsi="Times New Roman" w:cs="Times New Roman"/>
          <w:sz w:val="24"/>
          <w:szCs w:val="24"/>
        </w:rPr>
        <w:t xml:space="preserve"> od kreditnih i ostalih financijskih institucija izvan javnog sektora</w:t>
      </w:r>
      <w:r w:rsidRPr="007D38E4">
        <w:rPr>
          <w:rFonts w:ascii="Times New Roman" w:hAnsi="Times New Roman" w:cs="Times New Roman"/>
          <w:sz w:val="24"/>
          <w:szCs w:val="24"/>
        </w:rPr>
        <w:t xml:space="preserve"> (AOP20</w:t>
      </w:r>
      <w:r w:rsidR="008F0708" w:rsidRPr="007D38E4">
        <w:rPr>
          <w:rFonts w:ascii="Times New Roman" w:hAnsi="Times New Roman" w:cs="Times New Roman"/>
          <w:sz w:val="24"/>
          <w:szCs w:val="24"/>
        </w:rPr>
        <w:t>2</w:t>
      </w:r>
      <w:r w:rsidRPr="007D38E4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7D38E4">
        <w:rPr>
          <w:rFonts w:ascii="Times New Roman" w:hAnsi="Times New Roman" w:cs="Times New Roman"/>
          <w:sz w:val="24"/>
          <w:szCs w:val="24"/>
        </w:rPr>
        <w:t>-</w:t>
      </w:r>
      <w:r w:rsidRPr="007D38E4">
        <w:rPr>
          <w:rFonts w:ascii="Times New Roman" w:hAnsi="Times New Roman" w:cs="Times New Roman"/>
          <w:sz w:val="24"/>
          <w:szCs w:val="24"/>
        </w:rPr>
        <w:t xml:space="preserve"> </w:t>
      </w:r>
      <w:r w:rsidR="005C48BA">
        <w:rPr>
          <w:rFonts w:ascii="Times New Roman" w:hAnsi="Times New Roman" w:cs="Times New Roman"/>
          <w:sz w:val="24"/>
          <w:szCs w:val="24"/>
        </w:rPr>
        <w:t xml:space="preserve">iznose 1.046.071 kn, smanjene su </w:t>
      </w:r>
      <w:r w:rsidR="008F0708" w:rsidRPr="007D38E4">
        <w:rPr>
          <w:rFonts w:ascii="Times New Roman" w:hAnsi="Times New Roman" w:cs="Times New Roman"/>
          <w:sz w:val="24"/>
          <w:szCs w:val="24"/>
        </w:rPr>
        <w:t xml:space="preserve">za </w:t>
      </w:r>
      <w:r w:rsidR="007D38E4">
        <w:rPr>
          <w:rFonts w:ascii="Times New Roman" w:hAnsi="Times New Roman" w:cs="Times New Roman"/>
          <w:sz w:val="24"/>
          <w:szCs w:val="24"/>
        </w:rPr>
        <w:t>18,3</w:t>
      </w:r>
      <w:r w:rsidRPr="007D38E4">
        <w:rPr>
          <w:rFonts w:ascii="Times New Roman" w:hAnsi="Times New Roman" w:cs="Times New Roman"/>
          <w:sz w:val="24"/>
          <w:szCs w:val="24"/>
        </w:rPr>
        <w:t xml:space="preserve">% </w:t>
      </w:r>
      <w:r w:rsidR="00B071C9" w:rsidRPr="007D38E4">
        <w:rPr>
          <w:rFonts w:ascii="Times New Roman" w:hAnsi="Times New Roman" w:cs="Times New Roman"/>
          <w:sz w:val="24"/>
          <w:szCs w:val="24"/>
        </w:rPr>
        <w:t>iz razloga što su otplatom smanjene glavnice kredita</w:t>
      </w:r>
      <w:r w:rsidR="003C50CC">
        <w:rPr>
          <w:rFonts w:ascii="Times New Roman" w:hAnsi="Times New Roman" w:cs="Times New Roman"/>
          <w:sz w:val="24"/>
          <w:szCs w:val="24"/>
        </w:rPr>
        <w:t xml:space="preserve">, </w:t>
      </w:r>
      <w:r w:rsidR="00B77796">
        <w:rPr>
          <w:rFonts w:ascii="Times New Roman" w:hAnsi="Times New Roman" w:cs="Times New Roman"/>
          <w:sz w:val="24"/>
          <w:szCs w:val="24"/>
        </w:rPr>
        <w:t xml:space="preserve">te je </w:t>
      </w:r>
      <w:proofErr w:type="spellStart"/>
      <w:r w:rsidR="003C50CC">
        <w:rPr>
          <w:rFonts w:ascii="Times New Roman" w:hAnsi="Times New Roman" w:cs="Times New Roman"/>
          <w:sz w:val="24"/>
          <w:szCs w:val="24"/>
        </w:rPr>
        <w:t>usljed</w:t>
      </w:r>
      <w:proofErr w:type="spellEnd"/>
      <w:r w:rsidR="003C50CC">
        <w:rPr>
          <w:rFonts w:ascii="Times New Roman" w:hAnsi="Times New Roman" w:cs="Times New Roman"/>
          <w:sz w:val="24"/>
          <w:szCs w:val="24"/>
        </w:rPr>
        <w:t xml:space="preserve"> </w:t>
      </w:r>
      <w:r w:rsidR="00B77796" w:rsidRPr="00B77796">
        <w:rPr>
          <w:rFonts w:ascii="Times New Roman" w:hAnsi="Times New Roman" w:cs="Times New Roman"/>
          <w:sz w:val="24"/>
          <w:szCs w:val="24"/>
        </w:rPr>
        <w:t>epidemij</w:t>
      </w:r>
      <w:r w:rsidR="00B77796">
        <w:rPr>
          <w:rFonts w:ascii="Times New Roman" w:hAnsi="Times New Roman" w:cs="Times New Roman"/>
          <w:sz w:val="24"/>
          <w:szCs w:val="24"/>
        </w:rPr>
        <w:t>e</w:t>
      </w:r>
      <w:r w:rsidR="00B77796" w:rsidRPr="00B77796">
        <w:rPr>
          <w:rFonts w:ascii="Times New Roman" w:hAnsi="Times New Roman" w:cs="Times New Roman"/>
          <w:sz w:val="24"/>
          <w:szCs w:val="24"/>
        </w:rPr>
        <w:t xml:space="preserve"> bolesti COVID-19</w:t>
      </w:r>
      <w:r w:rsidR="00B77796">
        <w:rPr>
          <w:rFonts w:ascii="Times New Roman" w:hAnsi="Times New Roman" w:cs="Times New Roman"/>
          <w:sz w:val="24"/>
          <w:szCs w:val="24"/>
        </w:rPr>
        <w:t xml:space="preserve"> </w:t>
      </w:r>
      <w:r w:rsidR="003C50CC">
        <w:rPr>
          <w:rFonts w:ascii="Times New Roman" w:hAnsi="Times New Roman" w:cs="Times New Roman"/>
          <w:sz w:val="24"/>
          <w:szCs w:val="24"/>
        </w:rPr>
        <w:t>smanje</w:t>
      </w:r>
      <w:r w:rsidR="007B41F5">
        <w:rPr>
          <w:rFonts w:ascii="Times New Roman" w:hAnsi="Times New Roman" w:cs="Times New Roman"/>
          <w:sz w:val="24"/>
          <w:szCs w:val="24"/>
        </w:rPr>
        <w:t>na</w:t>
      </w:r>
      <w:r w:rsidR="00B77796">
        <w:rPr>
          <w:rFonts w:ascii="Times New Roman" w:hAnsi="Times New Roman" w:cs="Times New Roman"/>
          <w:sz w:val="24"/>
          <w:szCs w:val="24"/>
        </w:rPr>
        <w:t xml:space="preserve"> </w:t>
      </w:r>
      <w:r w:rsidR="003C50CC">
        <w:rPr>
          <w:rFonts w:ascii="Times New Roman" w:hAnsi="Times New Roman" w:cs="Times New Roman"/>
          <w:sz w:val="24"/>
          <w:szCs w:val="24"/>
        </w:rPr>
        <w:t>kamatn</w:t>
      </w:r>
      <w:r w:rsidR="00B77796">
        <w:rPr>
          <w:rFonts w:ascii="Times New Roman" w:hAnsi="Times New Roman" w:cs="Times New Roman"/>
          <w:sz w:val="24"/>
          <w:szCs w:val="24"/>
        </w:rPr>
        <w:t>a</w:t>
      </w:r>
      <w:r w:rsidR="003C50CC">
        <w:rPr>
          <w:rFonts w:ascii="Times New Roman" w:hAnsi="Times New Roman" w:cs="Times New Roman"/>
          <w:sz w:val="24"/>
          <w:szCs w:val="24"/>
        </w:rPr>
        <w:t xml:space="preserve"> sto</w:t>
      </w:r>
      <w:r w:rsidR="00B77796">
        <w:rPr>
          <w:rFonts w:ascii="Times New Roman" w:hAnsi="Times New Roman" w:cs="Times New Roman"/>
          <w:sz w:val="24"/>
          <w:szCs w:val="24"/>
        </w:rPr>
        <w:t>pa</w:t>
      </w:r>
      <w:r w:rsidR="008E0FA0">
        <w:rPr>
          <w:rFonts w:ascii="Times New Roman" w:hAnsi="Times New Roman" w:cs="Times New Roman"/>
          <w:sz w:val="24"/>
          <w:szCs w:val="24"/>
        </w:rPr>
        <w:t xml:space="preserve"> po jednom kreditu.</w:t>
      </w:r>
    </w:p>
    <w:p w14:paraId="437B5090" w14:textId="6E0B4A27" w:rsidR="008E0FA0" w:rsidRDefault="008E0FA0" w:rsidP="007D3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8A876" w14:textId="506C2151" w:rsidR="008E0FA0" w:rsidRPr="008E0FA0" w:rsidRDefault="008E0FA0" w:rsidP="007D38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B0">
        <w:rPr>
          <w:rFonts w:ascii="Times New Roman" w:hAnsi="Times New Roman" w:cs="Times New Roman"/>
          <w:b/>
          <w:bCs/>
          <w:sz w:val="24"/>
          <w:szCs w:val="24"/>
        </w:rPr>
        <w:t>BILJEŠKA br. 2</w:t>
      </w:r>
      <w:r w:rsidR="00A557E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796DDAD" w14:textId="53A3DEDF" w:rsidR="008E0FA0" w:rsidRDefault="008E0FA0" w:rsidP="007D3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A336C">
        <w:rPr>
          <w:rFonts w:ascii="Times New Roman" w:hAnsi="Times New Roman" w:cs="Times New Roman"/>
          <w:sz w:val="24"/>
          <w:szCs w:val="24"/>
        </w:rPr>
        <w:t>ankarsk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336C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336C">
        <w:rPr>
          <w:rFonts w:ascii="Times New Roman" w:hAnsi="Times New Roman" w:cs="Times New Roman"/>
          <w:sz w:val="24"/>
          <w:szCs w:val="24"/>
        </w:rPr>
        <w:t xml:space="preserve"> i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336C">
        <w:rPr>
          <w:rFonts w:ascii="Times New Roman" w:hAnsi="Times New Roman" w:cs="Times New Roman"/>
          <w:sz w:val="24"/>
          <w:szCs w:val="24"/>
        </w:rPr>
        <w:t xml:space="preserve"> platnog prometa</w:t>
      </w:r>
      <w:r>
        <w:rPr>
          <w:rFonts w:ascii="Times New Roman" w:hAnsi="Times New Roman" w:cs="Times New Roman"/>
          <w:sz w:val="24"/>
          <w:szCs w:val="24"/>
        </w:rPr>
        <w:t xml:space="preserve"> (AOP208) - </w:t>
      </w:r>
      <w:r w:rsidR="005C48BA">
        <w:rPr>
          <w:rFonts w:ascii="Times New Roman" w:hAnsi="Times New Roman" w:cs="Times New Roman"/>
          <w:sz w:val="24"/>
          <w:szCs w:val="24"/>
        </w:rPr>
        <w:t xml:space="preserve">iznose 312.149 kn, a </w:t>
      </w:r>
      <w:r>
        <w:rPr>
          <w:rFonts w:ascii="Times New Roman" w:hAnsi="Times New Roman" w:cs="Times New Roman"/>
          <w:sz w:val="24"/>
          <w:szCs w:val="24"/>
        </w:rPr>
        <w:t>smanje</w:t>
      </w:r>
      <w:r w:rsidR="005C48BA">
        <w:rPr>
          <w:rFonts w:ascii="Times New Roman" w:hAnsi="Times New Roman" w:cs="Times New Roman"/>
          <w:sz w:val="24"/>
          <w:szCs w:val="24"/>
        </w:rPr>
        <w:t>ne su</w:t>
      </w:r>
      <w:r>
        <w:rPr>
          <w:rFonts w:ascii="Times New Roman" w:hAnsi="Times New Roman" w:cs="Times New Roman"/>
          <w:sz w:val="24"/>
          <w:szCs w:val="24"/>
        </w:rPr>
        <w:t xml:space="preserve"> za 19,0% uslijed smanjenih gospodarskih aktivnosti zbog pojave </w:t>
      </w:r>
      <w:r w:rsidRPr="00FF5EA1">
        <w:rPr>
          <w:rFonts w:ascii="Times New Roman" w:hAnsi="Times New Roman" w:cs="Times New Roman"/>
          <w:sz w:val="24"/>
          <w:szCs w:val="24"/>
        </w:rPr>
        <w:t xml:space="preserve">bolesti </w:t>
      </w:r>
      <w:r w:rsidR="00E70FC6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ECADA" w14:textId="77777777" w:rsidR="008E0FA0" w:rsidRDefault="008E0FA0" w:rsidP="008E0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3F134" w14:textId="77777777" w:rsidR="00A557E6" w:rsidRDefault="008E0FA0" w:rsidP="008E0F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2C6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 w:rsidR="00A557E6">
        <w:rPr>
          <w:rFonts w:ascii="Times New Roman" w:hAnsi="Times New Roman" w:cs="Times New Roman"/>
          <w:b/>
          <w:bCs/>
          <w:sz w:val="24"/>
          <w:szCs w:val="24"/>
        </w:rPr>
        <w:t xml:space="preserve"> 29 </w:t>
      </w:r>
    </w:p>
    <w:p w14:paraId="53BF8616" w14:textId="74882C99" w:rsidR="00221600" w:rsidRDefault="002312C1" w:rsidP="008E0FA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0FA0">
        <w:rPr>
          <w:rFonts w:ascii="Times New Roman" w:hAnsi="Times New Roman" w:cs="Times New Roman"/>
          <w:sz w:val="24"/>
          <w:szCs w:val="24"/>
        </w:rPr>
        <w:t>Z</w:t>
      </w:r>
      <w:r w:rsidR="00E9056E" w:rsidRPr="008E0FA0">
        <w:rPr>
          <w:rFonts w:ascii="Times New Roman" w:hAnsi="Times New Roman" w:cs="Times New Roman"/>
          <w:sz w:val="24"/>
          <w:szCs w:val="24"/>
        </w:rPr>
        <w:t xml:space="preserve">atezne kamate </w:t>
      </w:r>
      <w:r w:rsidRPr="008E0FA0">
        <w:rPr>
          <w:rFonts w:ascii="Times New Roman" w:hAnsi="Times New Roman" w:cs="Times New Roman"/>
          <w:sz w:val="24"/>
          <w:szCs w:val="24"/>
        </w:rPr>
        <w:t xml:space="preserve">(AOP210) </w:t>
      </w:r>
      <w:r w:rsidR="008E0FA0">
        <w:rPr>
          <w:rFonts w:ascii="Times New Roman" w:hAnsi="Times New Roman" w:cs="Times New Roman"/>
          <w:sz w:val="24"/>
          <w:szCs w:val="24"/>
        </w:rPr>
        <w:t>-</w:t>
      </w:r>
      <w:r w:rsidR="000547C0" w:rsidRPr="008E0FA0">
        <w:rPr>
          <w:rFonts w:ascii="Times New Roman" w:hAnsi="Times New Roman" w:cs="Times New Roman"/>
          <w:sz w:val="24"/>
          <w:szCs w:val="24"/>
        </w:rPr>
        <w:t xml:space="preserve"> </w:t>
      </w:r>
      <w:r w:rsidR="005C48BA">
        <w:rPr>
          <w:rFonts w:ascii="Times New Roman" w:hAnsi="Times New Roman" w:cs="Times New Roman"/>
          <w:sz w:val="24"/>
          <w:szCs w:val="24"/>
        </w:rPr>
        <w:t>iznose 823.319 kn i</w:t>
      </w:r>
      <w:r w:rsidR="005C48BA" w:rsidRPr="008E0FA0">
        <w:rPr>
          <w:rFonts w:ascii="Times New Roman" w:hAnsi="Times New Roman" w:cs="Times New Roman"/>
          <w:sz w:val="24"/>
          <w:szCs w:val="24"/>
        </w:rPr>
        <w:t xml:space="preserve"> </w:t>
      </w:r>
      <w:r w:rsidR="005C48BA">
        <w:rPr>
          <w:rFonts w:ascii="Times New Roman" w:hAnsi="Times New Roman" w:cs="Times New Roman"/>
          <w:sz w:val="24"/>
          <w:szCs w:val="24"/>
        </w:rPr>
        <w:t>bilježe drastičan rast zb</w:t>
      </w:r>
      <w:r w:rsidR="008E0FA0" w:rsidRPr="008E0FA0">
        <w:rPr>
          <w:rFonts w:ascii="Times New Roman" w:hAnsi="Times New Roman" w:cs="Times New Roman"/>
          <w:sz w:val="24"/>
          <w:szCs w:val="24"/>
        </w:rPr>
        <w:t xml:space="preserve">og plaćanja zateznih kamata sukladno </w:t>
      </w:r>
      <w:r w:rsidR="00E45F67" w:rsidRPr="008E0FA0">
        <w:rPr>
          <w:rFonts w:ascii="Times New Roman" w:hAnsi="Times New Roman" w:cs="Times New Roman"/>
          <w:noProof/>
          <w:sz w:val="24"/>
          <w:szCs w:val="24"/>
        </w:rPr>
        <w:t>presudi za uređenje nogostupa ispred Arene</w:t>
      </w:r>
      <w:r w:rsidR="008E0FA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1B297D" w14:textId="77777777" w:rsidR="008E0FA0" w:rsidRPr="008E0FA0" w:rsidRDefault="008E0FA0" w:rsidP="008E0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7D7A6" w14:textId="13D8339C" w:rsidR="00803D2E" w:rsidRDefault="00EB2FC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712C6">
        <w:rPr>
          <w:rFonts w:ascii="Times New Roman" w:hAnsi="Times New Roman" w:cs="Times New Roman"/>
          <w:b/>
        </w:rPr>
        <w:t xml:space="preserve">BILJEŠKA br. </w:t>
      </w:r>
      <w:r w:rsidR="008E0FA0" w:rsidRPr="00E712C6">
        <w:rPr>
          <w:rFonts w:ascii="Times New Roman" w:hAnsi="Times New Roman" w:cs="Times New Roman"/>
          <w:b/>
        </w:rPr>
        <w:t>3</w:t>
      </w:r>
      <w:r w:rsidR="00A557E6">
        <w:rPr>
          <w:rFonts w:ascii="Times New Roman" w:hAnsi="Times New Roman" w:cs="Times New Roman"/>
          <w:b/>
        </w:rPr>
        <w:t>0</w:t>
      </w:r>
    </w:p>
    <w:p w14:paraId="7A2C7C1E" w14:textId="7F36F18E" w:rsidR="0058193A" w:rsidRDefault="0058193A" w:rsidP="009210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921012">
        <w:rPr>
          <w:rFonts w:ascii="Times New Roman" w:hAnsi="Times New Roman" w:cs="Times New Roman"/>
          <w:bCs/>
        </w:rPr>
        <w:t>Subvencije kreditnim i ostalim financijskim institucijama izvan javnog sektora</w:t>
      </w:r>
      <w:r w:rsidR="00921012" w:rsidRPr="00921012">
        <w:rPr>
          <w:rFonts w:ascii="Times New Roman" w:hAnsi="Times New Roman" w:cs="Times New Roman"/>
          <w:bCs/>
        </w:rPr>
        <w:t xml:space="preserve"> (AOP217)</w:t>
      </w:r>
      <w:r w:rsidRPr="00921012">
        <w:rPr>
          <w:rFonts w:ascii="Times New Roman" w:hAnsi="Times New Roman" w:cs="Times New Roman"/>
          <w:bCs/>
        </w:rPr>
        <w:t xml:space="preserve"> -</w:t>
      </w:r>
      <w:r w:rsidR="00921012">
        <w:rPr>
          <w:rFonts w:ascii="Times New Roman" w:hAnsi="Times New Roman" w:cs="Times New Roman"/>
          <w:bCs/>
        </w:rPr>
        <w:t xml:space="preserve"> </w:t>
      </w:r>
      <w:r w:rsidR="005C48BA">
        <w:rPr>
          <w:rFonts w:ascii="Times New Roman" w:hAnsi="Times New Roman" w:cs="Times New Roman"/>
        </w:rPr>
        <w:t xml:space="preserve">iznose 31.544 kn, a uvećane su jer </w:t>
      </w:r>
      <w:r w:rsidR="005C48BA" w:rsidRPr="00921012">
        <w:rPr>
          <w:rFonts w:ascii="Times New Roman" w:hAnsi="Times New Roman" w:cs="Times New Roman"/>
        </w:rPr>
        <w:t xml:space="preserve">Grad </w:t>
      </w:r>
      <w:r w:rsidR="00B77796">
        <w:rPr>
          <w:rFonts w:ascii="Times New Roman" w:hAnsi="Times New Roman" w:cs="Times New Roman"/>
        </w:rPr>
        <w:t xml:space="preserve">od 2020. </w:t>
      </w:r>
      <w:r w:rsidR="005C48BA" w:rsidRPr="00921012">
        <w:rPr>
          <w:rFonts w:ascii="Times New Roman" w:hAnsi="Times New Roman" w:cs="Times New Roman"/>
        </w:rPr>
        <w:t>sufinancira</w:t>
      </w:r>
      <w:r w:rsidR="00B77796">
        <w:rPr>
          <w:rFonts w:ascii="Times New Roman" w:hAnsi="Times New Roman" w:cs="Times New Roman"/>
        </w:rPr>
        <w:t xml:space="preserve"> </w:t>
      </w:r>
      <w:r w:rsidR="005C48BA" w:rsidRPr="00921012">
        <w:rPr>
          <w:rFonts w:ascii="Times New Roman" w:hAnsi="Times New Roman" w:cs="Times New Roman"/>
        </w:rPr>
        <w:t>kamate stambenih kredita prilikom kupnje prve nekretnine na području grada Pule</w:t>
      </w:r>
      <w:r w:rsidR="005C48BA">
        <w:rPr>
          <w:rFonts w:ascii="Times New Roman" w:hAnsi="Times New Roman" w:cs="Times New Roman"/>
        </w:rPr>
        <w:t xml:space="preserve"> kako bi </w:t>
      </w:r>
      <w:r w:rsidRPr="00921012">
        <w:rPr>
          <w:rFonts w:ascii="Times New Roman" w:hAnsi="Times New Roman" w:cs="Times New Roman"/>
        </w:rPr>
        <w:t>pot</w:t>
      </w:r>
      <w:r w:rsidR="005C48BA">
        <w:rPr>
          <w:rFonts w:ascii="Times New Roman" w:hAnsi="Times New Roman" w:cs="Times New Roman"/>
        </w:rPr>
        <w:t>aknuo</w:t>
      </w:r>
      <w:r w:rsidRPr="00921012">
        <w:rPr>
          <w:rFonts w:ascii="Times New Roman" w:hAnsi="Times New Roman" w:cs="Times New Roman"/>
        </w:rPr>
        <w:t xml:space="preserve"> smanjenj</w:t>
      </w:r>
      <w:r w:rsidR="005C48BA">
        <w:rPr>
          <w:rFonts w:ascii="Times New Roman" w:hAnsi="Times New Roman" w:cs="Times New Roman"/>
        </w:rPr>
        <w:t>e</w:t>
      </w:r>
      <w:r w:rsidRPr="00921012">
        <w:rPr>
          <w:rFonts w:ascii="Times New Roman" w:hAnsi="Times New Roman" w:cs="Times New Roman"/>
        </w:rPr>
        <w:t xml:space="preserve"> iseljavanja mladih obitelji</w:t>
      </w:r>
      <w:r w:rsidR="005C48BA">
        <w:rPr>
          <w:rFonts w:ascii="Times New Roman" w:hAnsi="Times New Roman" w:cs="Times New Roman"/>
        </w:rPr>
        <w:t xml:space="preserve"> te kako bi</w:t>
      </w:r>
      <w:r w:rsidRPr="00921012">
        <w:rPr>
          <w:rFonts w:ascii="Times New Roman" w:hAnsi="Times New Roman" w:cs="Times New Roman"/>
        </w:rPr>
        <w:t xml:space="preserve"> pomo</w:t>
      </w:r>
      <w:r w:rsidR="005C48BA">
        <w:rPr>
          <w:rFonts w:ascii="Times New Roman" w:hAnsi="Times New Roman" w:cs="Times New Roman"/>
        </w:rPr>
        <w:t>gao</w:t>
      </w:r>
      <w:r w:rsidRPr="00921012">
        <w:rPr>
          <w:rFonts w:ascii="Times New Roman" w:hAnsi="Times New Roman" w:cs="Times New Roman"/>
        </w:rPr>
        <w:t xml:space="preserve"> građanima</w:t>
      </w:r>
      <w:r w:rsidR="00921012">
        <w:rPr>
          <w:rFonts w:ascii="Times New Roman" w:hAnsi="Times New Roman" w:cs="Times New Roman"/>
        </w:rPr>
        <w:t xml:space="preserve"> </w:t>
      </w:r>
      <w:r w:rsidR="005C48BA">
        <w:rPr>
          <w:rFonts w:ascii="Times New Roman" w:hAnsi="Times New Roman" w:cs="Times New Roman"/>
        </w:rPr>
        <w:t>u</w:t>
      </w:r>
      <w:r w:rsidRPr="00921012">
        <w:rPr>
          <w:rFonts w:ascii="Times New Roman" w:hAnsi="Times New Roman" w:cs="Times New Roman"/>
        </w:rPr>
        <w:t xml:space="preserve"> rješavanj</w:t>
      </w:r>
      <w:r w:rsidR="005C48BA">
        <w:rPr>
          <w:rFonts w:ascii="Times New Roman" w:hAnsi="Times New Roman" w:cs="Times New Roman"/>
        </w:rPr>
        <w:t>u</w:t>
      </w:r>
      <w:r w:rsidRPr="00921012">
        <w:rPr>
          <w:rFonts w:ascii="Times New Roman" w:hAnsi="Times New Roman" w:cs="Times New Roman"/>
        </w:rPr>
        <w:t xml:space="preserve"> stambenog pitanja</w:t>
      </w:r>
      <w:r w:rsidR="005C48BA">
        <w:rPr>
          <w:rFonts w:ascii="Times New Roman" w:hAnsi="Times New Roman" w:cs="Times New Roman"/>
        </w:rPr>
        <w:t>.</w:t>
      </w:r>
      <w:r w:rsidR="00921012" w:rsidRPr="00921012">
        <w:rPr>
          <w:rFonts w:ascii="Times New Roman" w:hAnsi="Times New Roman" w:cs="Times New Roman"/>
        </w:rPr>
        <w:t xml:space="preserve"> </w:t>
      </w:r>
    </w:p>
    <w:p w14:paraId="20BF0B47" w14:textId="77777777" w:rsidR="00E712C6" w:rsidRDefault="00E712C6" w:rsidP="009210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bookmarkStart w:id="3" w:name="_Hlk63845446"/>
    </w:p>
    <w:p w14:paraId="6DFA495F" w14:textId="1421F4BC" w:rsidR="00921012" w:rsidRDefault="00921012" w:rsidP="009210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712C6">
        <w:rPr>
          <w:rFonts w:ascii="Times New Roman" w:hAnsi="Times New Roman" w:cs="Times New Roman"/>
          <w:b/>
        </w:rPr>
        <w:t>BILJEŠKA br. 3</w:t>
      </w:r>
      <w:r w:rsidR="00A557E6">
        <w:rPr>
          <w:rFonts w:ascii="Times New Roman" w:hAnsi="Times New Roman" w:cs="Times New Roman"/>
          <w:b/>
        </w:rPr>
        <w:t>1</w:t>
      </w:r>
    </w:p>
    <w:bookmarkEnd w:id="3"/>
    <w:p w14:paraId="11D0389D" w14:textId="24236249" w:rsidR="00E9056E" w:rsidRDefault="00E9056E" w:rsidP="000025CD">
      <w:pPr>
        <w:pStyle w:val="ListParagraph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8BA">
        <w:rPr>
          <w:rFonts w:ascii="Times New Roman" w:hAnsi="Times New Roman" w:cs="Times New Roman"/>
          <w:bCs/>
          <w:sz w:val="24"/>
          <w:szCs w:val="24"/>
        </w:rPr>
        <w:t>Subvencije</w:t>
      </w:r>
      <w:r w:rsidRPr="00D55537">
        <w:rPr>
          <w:rFonts w:ascii="Times New Roman" w:hAnsi="Times New Roman" w:cs="Times New Roman"/>
          <w:sz w:val="24"/>
          <w:szCs w:val="24"/>
        </w:rPr>
        <w:t xml:space="preserve"> poljoprivrednicima i obrtnicima</w:t>
      </w:r>
      <w:r w:rsidR="00921012" w:rsidRPr="00D55537">
        <w:rPr>
          <w:rFonts w:ascii="Times New Roman" w:hAnsi="Times New Roman" w:cs="Times New Roman"/>
          <w:sz w:val="24"/>
          <w:szCs w:val="24"/>
        </w:rPr>
        <w:t xml:space="preserve"> (AOP219)</w:t>
      </w:r>
      <w:r w:rsidR="005C48BA">
        <w:rPr>
          <w:rFonts w:ascii="Times New Roman" w:hAnsi="Times New Roman" w:cs="Times New Roman"/>
          <w:sz w:val="24"/>
          <w:szCs w:val="24"/>
        </w:rPr>
        <w:t xml:space="preserve"> - iznose 1.594.208 kn, uvećane su </w:t>
      </w:r>
      <w:r w:rsidR="00E712C6">
        <w:rPr>
          <w:rFonts w:ascii="Times New Roman" w:hAnsi="Times New Roman" w:cs="Times New Roman"/>
          <w:sz w:val="24"/>
          <w:szCs w:val="24"/>
        </w:rPr>
        <w:t xml:space="preserve">zbog </w:t>
      </w:r>
      <w:r w:rsidR="004C073B">
        <w:rPr>
          <w:rFonts w:ascii="Times New Roman" w:hAnsi="Times New Roman" w:cs="Times New Roman"/>
          <w:sz w:val="24"/>
          <w:szCs w:val="24"/>
        </w:rPr>
        <w:t>toga što je Grad u 2020. godini donio Program potpore poduzetnicima koji je za 1.000.000 kn veći u odnosu na 2019. godinu, a</w:t>
      </w:r>
      <w:r w:rsidR="00E712C6">
        <w:rPr>
          <w:rFonts w:ascii="Times New Roman" w:hAnsi="Times New Roman" w:cs="Times New Roman"/>
          <w:sz w:val="24"/>
          <w:szCs w:val="24"/>
        </w:rPr>
        <w:t xml:space="preserve"> 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>koj</w:t>
      </w:r>
      <w:r w:rsidR="00D55537">
        <w:rPr>
          <w:rFonts w:ascii="Times New Roman" w:hAnsi="Times New Roman" w:cs="Times New Roman"/>
          <w:iCs/>
          <w:sz w:val="24"/>
          <w:szCs w:val="24"/>
        </w:rPr>
        <w:t>i</w:t>
      </w:r>
      <w:r w:rsidR="004C073B">
        <w:rPr>
          <w:rFonts w:ascii="Times New Roman" w:hAnsi="Times New Roman" w:cs="Times New Roman"/>
          <w:iCs/>
          <w:sz w:val="24"/>
          <w:szCs w:val="24"/>
        </w:rPr>
        <w:t>m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 xml:space="preserve"> se željelo pomoći poduzetnicima koji koriste i unajmljuju poslovne prostore od trećih osoba kako bi ih se stavilo u ravnopravan položaj sa poduzetnicima koji unajmljuju gradske poslovne prostore, kao i za podmirenje režijskih troškova </w:t>
      </w:r>
      <w:r w:rsidR="00CA61D2">
        <w:rPr>
          <w:rFonts w:ascii="Times New Roman" w:hAnsi="Times New Roman" w:cs="Times New Roman"/>
          <w:iCs/>
          <w:sz w:val="24"/>
          <w:szCs w:val="24"/>
        </w:rPr>
        <w:t>te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 xml:space="preserve"> nabavu dezinfekcijskih sredstava i zaštitne opreme (maske, zaštitne rukavice, viziri, zaštitna odijela, zaštitn</w:t>
      </w:r>
      <w:r w:rsidR="00C42BB5">
        <w:rPr>
          <w:rFonts w:ascii="Times New Roman" w:hAnsi="Times New Roman" w:cs="Times New Roman"/>
          <w:iCs/>
          <w:sz w:val="24"/>
          <w:szCs w:val="24"/>
        </w:rPr>
        <w:t>e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 xml:space="preserve"> pregrad</w:t>
      </w:r>
      <w:r w:rsidR="00C42BB5">
        <w:rPr>
          <w:rFonts w:ascii="Times New Roman" w:hAnsi="Times New Roman" w:cs="Times New Roman"/>
          <w:iCs/>
          <w:sz w:val="24"/>
          <w:szCs w:val="24"/>
        </w:rPr>
        <w:t>e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 xml:space="preserve"> od pleksiglasa) čija uporaba je naložena </w:t>
      </w:r>
      <w:r w:rsidR="00CA61D2">
        <w:rPr>
          <w:rFonts w:ascii="Times New Roman" w:hAnsi="Times New Roman" w:cs="Times New Roman"/>
          <w:iCs/>
          <w:sz w:val="24"/>
          <w:szCs w:val="24"/>
        </w:rPr>
        <w:t xml:space="preserve">kao zaštita od </w:t>
      </w:r>
      <w:r w:rsidR="00E70FC6">
        <w:rPr>
          <w:rFonts w:ascii="Times New Roman" w:hAnsi="Times New Roman" w:cs="Times New Roman"/>
          <w:iCs/>
          <w:sz w:val="24"/>
          <w:szCs w:val="24"/>
        </w:rPr>
        <w:t>epidemij</w:t>
      </w:r>
      <w:r w:rsidR="004C073B">
        <w:rPr>
          <w:rFonts w:ascii="Times New Roman" w:hAnsi="Times New Roman" w:cs="Times New Roman"/>
          <w:iCs/>
          <w:sz w:val="24"/>
          <w:szCs w:val="24"/>
        </w:rPr>
        <w:t>e</w:t>
      </w:r>
      <w:r w:rsidR="00E70FC6">
        <w:rPr>
          <w:rFonts w:ascii="Times New Roman" w:hAnsi="Times New Roman" w:cs="Times New Roman"/>
          <w:iCs/>
          <w:sz w:val="24"/>
          <w:szCs w:val="24"/>
        </w:rPr>
        <w:t xml:space="preserve"> bolesti COVID-19</w:t>
      </w:r>
      <w:r w:rsidR="00CA61D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>a</w:t>
      </w:r>
      <w:r w:rsidR="00D55537" w:rsidRPr="00D55537">
        <w:rPr>
          <w:rFonts w:ascii="Times New Roman" w:hAnsi="Times New Roman" w:cs="Times New Roman"/>
          <w:sz w:val="24"/>
          <w:szCs w:val="24"/>
        </w:rPr>
        <w:t xml:space="preserve"> </w:t>
      </w:r>
      <w:r w:rsidR="00D55537" w:rsidRPr="00D55537">
        <w:rPr>
          <w:rFonts w:ascii="Times New Roman" w:hAnsi="Times New Roman" w:cs="Times New Roman"/>
          <w:iCs/>
          <w:sz w:val="24"/>
          <w:szCs w:val="24"/>
        </w:rPr>
        <w:t>sukladno odlukama Stožera civilne zaštite Republike Hrvatske i preporukama Hrvatskog zavoda za</w:t>
      </w:r>
      <w:r w:rsidR="00D55537">
        <w:rPr>
          <w:rFonts w:ascii="Times New Roman" w:hAnsi="Times New Roman" w:cs="Times New Roman"/>
          <w:iCs/>
          <w:sz w:val="24"/>
          <w:szCs w:val="24"/>
        </w:rPr>
        <w:t xml:space="preserve"> javno zdravstvo.</w:t>
      </w:r>
    </w:p>
    <w:p w14:paraId="78D55B7B" w14:textId="77777777" w:rsidR="00A557E6" w:rsidRDefault="00A557E6" w:rsidP="00D5553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23D76E2" w14:textId="37C0C1BE" w:rsidR="00D55537" w:rsidRDefault="00D55537" w:rsidP="00D5553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</w:rPr>
        <w:t>BILJEŠKA br. 3</w:t>
      </w:r>
      <w:r w:rsidR="00A557E6">
        <w:rPr>
          <w:rFonts w:ascii="Times New Roman" w:hAnsi="Times New Roman" w:cs="Times New Roman"/>
          <w:b/>
        </w:rPr>
        <w:t>2</w:t>
      </w:r>
    </w:p>
    <w:p w14:paraId="0E982982" w14:textId="6C53AB5C" w:rsidR="00D55537" w:rsidRDefault="00D55537" w:rsidP="00FB6E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E91">
        <w:rPr>
          <w:rFonts w:ascii="Times New Roman" w:hAnsi="Times New Roman" w:cs="Times New Roman"/>
          <w:sz w:val="24"/>
          <w:szCs w:val="24"/>
        </w:rPr>
        <w:t xml:space="preserve">Tekuće pomoći unutar općeg proračuna (AOP229) - </w:t>
      </w:r>
      <w:r w:rsidR="002067CC">
        <w:rPr>
          <w:rFonts w:ascii="Times New Roman" w:hAnsi="Times New Roman" w:cs="Times New Roman"/>
          <w:sz w:val="24"/>
          <w:szCs w:val="24"/>
        </w:rPr>
        <w:t>iznose 1.250.000 kn, a uvećane su za</w:t>
      </w:r>
      <w:r w:rsidR="002067CC" w:rsidRPr="00FB6E91">
        <w:rPr>
          <w:rFonts w:ascii="Times New Roman" w:hAnsi="Times New Roman" w:cs="Times New Roman"/>
          <w:sz w:val="24"/>
          <w:szCs w:val="24"/>
        </w:rPr>
        <w:t xml:space="preserve"> </w:t>
      </w:r>
      <w:r w:rsidRPr="00FB6E91">
        <w:rPr>
          <w:rFonts w:ascii="Times New Roman" w:hAnsi="Times New Roman" w:cs="Times New Roman"/>
          <w:sz w:val="24"/>
          <w:szCs w:val="24"/>
        </w:rPr>
        <w:t>60,8%</w:t>
      </w:r>
      <w:r w:rsidR="00A557E6">
        <w:rPr>
          <w:rFonts w:ascii="Times New Roman" w:hAnsi="Times New Roman" w:cs="Times New Roman"/>
          <w:sz w:val="24"/>
          <w:szCs w:val="24"/>
        </w:rPr>
        <w:t>. D</w:t>
      </w:r>
      <w:r w:rsidR="00FB6E91" w:rsidRPr="00FB6E91">
        <w:rPr>
          <w:rFonts w:ascii="Times New Roman" w:hAnsi="Times New Roman" w:cs="Times New Roman"/>
          <w:sz w:val="24"/>
          <w:szCs w:val="24"/>
        </w:rPr>
        <w:t>an</w:t>
      </w:r>
      <w:r w:rsidR="00A557E6">
        <w:rPr>
          <w:rFonts w:ascii="Times New Roman" w:hAnsi="Times New Roman" w:cs="Times New Roman"/>
          <w:sz w:val="24"/>
          <w:szCs w:val="24"/>
        </w:rPr>
        <w:t>a je</w:t>
      </w:r>
      <w:r w:rsidR="00FB6E91" w:rsidRPr="00FB6E91">
        <w:rPr>
          <w:rFonts w:ascii="Times New Roman" w:hAnsi="Times New Roman" w:cs="Times New Roman"/>
          <w:sz w:val="24"/>
          <w:szCs w:val="24"/>
        </w:rPr>
        <w:t xml:space="preserve"> pomoć Sisačko-Moslavačkoj županiji zbog potresa te Istarskoj županiji </w:t>
      </w:r>
      <w:r w:rsidR="004C073B" w:rsidRPr="00FB6E9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zdravstvenih ustanova čiji je osnivač županija</w:t>
      </w:r>
      <w:r w:rsidR="004C07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E91" w:rsidRPr="00FB6E91">
        <w:rPr>
          <w:rFonts w:ascii="Times New Roman" w:hAnsi="Times New Roman" w:cs="Times New Roman"/>
          <w:sz w:val="24"/>
          <w:szCs w:val="24"/>
        </w:rPr>
        <w:t>za</w:t>
      </w:r>
      <w:r w:rsidR="00FB6E91" w:rsidRPr="00FB6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</w:t>
      </w:r>
      <w:r w:rsidR="00FB6E9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B6E91" w:rsidRPr="00FB6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zaštitnog materijala i opreme </w:t>
      </w:r>
      <w:r w:rsidR="00B77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zaštite od </w:t>
      </w:r>
      <w:r w:rsidR="00B77796" w:rsidRPr="00B77796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 COVID-19</w:t>
      </w:r>
      <w:r w:rsidR="004C07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77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F7C32BE" w14:textId="55725633" w:rsidR="002067CC" w:rsidRDefault="002067CC" w:rsidP="002067C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</w:rPr>
        <w:lastRenderedPageBreak/>
        <w:t>BILJEŠKA br. 3</w:t>
      </w:r>
      <w:r w:rsidR="00A557E6">
        <w:rPr>
          <w:rFonts w:ascii="Times New Roman" w:hAnsi="Times New Roman" w:cs="Times New Roman"/>
          <w:b/>
        </w:rPr>
        <w:t>3</w:t>
      </w:r>
    </w:p>
    <w:p w14:paraId="1D58980D" w14:textId="68DE229A" w:rsidR="002067CC" w:rsidRDefault="002067CC" w:rsidP="002067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</w:t>
      </w:r>
      <w:r w:rsidRPr="0048681D">
        <w:rPr>
          <w:rFonts w:ascii="Times New Roman" w:hAnsi="Times New Roman" w:cs="Times New Roman"/>
          <w:sz w:val="24"/>
          <w:szCs w:val="24"/>
        </w:rPr>
        <w:t xml:space="preserve"> proračunskim korisnicima iz nadležnog proračuna</w:t>
      </w:r>
      <w:r>
        <w:rPr>
          <w:rFonts w:ascii="Times New Roman" w:hAnsi="Times New Roman" w:cs="Times New Roman"/>
          <w:sz w:val="24"/>
          <w:szCs w:val="24"/>
        </w:rPr>
        <w:t xml:space="preserve"> (AOP235)</w:t>
      </w:r>
      <w:r w:rsidRPr="0048681D">
        <w:rPr>
          <w:rFonts w:ascii="Times New Roman" w:hAnsi="Times New Roman" w:cs="Times New Roman"/>
          <w:sz w:val="24"/>
          <w:szCs w:val="24"/>
        </w:rPr>
        <w:t>, iskazan po novčanom načelu, za financiranje redovne djelatnosti</w:t>
      </w:r>
      <w:r>
        <w:rPr>
          <w:rFonts w:ascii="Times New Roman" w:hAnsi="Times New Roman" w:cs="Times New Roman"/>
          <w:sz w:val="24"/>
          <w:szCs w:val="24"/>
        </w:rPr>
        <w:t xml:space="preserve"> daje se u nastavku:</w:t>
      </w:r>
    </w:p>
    <w:p w14:paraId="2CE25D37" w14:textId="77777777" w:rsidR="002067CC" w:rsidRDefault="002067CC" w:rsidP="002067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90" w:type="dxa"/>
        <w:jc w:val="center"/>
        <w:tblLook w:val="04A0" w:firstRow="1" w:lastRow="0" w:firstColumn="1" w:lastColumn="0" w:noHBand="0" w:noVBand="1"/>
      </w:tblPr>
      <w:tblGrid>
        <w:gridCol w:w="594"/>
        <w:gridCol w:w="2940"/>
        <w:gridCol w:w="1220"/>
        <w:gridCol w:w="1060"/>
        <w:gridCol w:w="736"/>
        <w:gridCol w:w="1040"/>
      </w:tblGrid>
      <w:tr w:rsidR="002067CC" w:rsidRPr="002067CC" w14:paraId="094042A0" w14:textId="77777777" w:rsidTr="002067CC">
        <w:trPr>
          <w:trHeight w:val="195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076112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123B1C7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KORISNIKA</w:t>
            </w:r>
          </w:p>
        </w:tc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67E8A7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IZNOS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54FB79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UKUPNO 367</w:t>
            </w:r>
          </w:p>
        </w:tc>
      </w:tr>
      <w:tr w:rsidR="002067CC" w:rsidRPr="002067CC" w14:paraId="317D60B6" w14:textId="77777777" w:rsidTr="002067CC">
        <w:trPr>
          <w:trHeight w:val="195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8BCA9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7A4C46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CD1212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36711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3AE60D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36712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984C53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36714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F08E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067CC" w:rsidRPr="002067CC" w14:paraId="11564ABD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F9E3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626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DV RINTINTIN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419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3.928.731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F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B3D4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AB6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3.928.731</w:t>
            </w:r>
          </w:p>
        </w:tc>
      </w:tr>
      <w:tr w:rsidR="002067CC" w:rsidRPr="002067CC" w14:paraId="1D12F51F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09B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9C7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OŠ ŠIJANA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500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1.478.672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8333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F8F9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319D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1.483.672</w:t>
            </w:r>
          </w:p>
        </w:tc>
      </w:tr>
      <w:tr w:rsidR="002067CC" w:rsidRPr="002067CC" w14:paraId="64CEDB64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996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998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OŠ VELI VRH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77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1.906.841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3E2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EE43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4F29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1.911.841</w:t>
            </w:r>
          </w:p>
        </w:tc>
      </w:tr>
      <w:tr w:rsidR="002067CC" w:rsidRPr="002067CC" w14:paraId="701FC5F7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323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090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VERUDA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F0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1.390.349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E4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47.893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8B2F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75CCC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1.438.242</w:t>
            </w:r>
          </w:p>
        </w:tc>
      </w:tr>
      <w:tr w:rsidR="002067CC" w:rsidRPr="002067CC" w14:paraId="76CB499B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5FE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C0E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MONTE ZARO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A6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1.319.019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C4E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13BD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118A4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1.319.019</w:t>
            </w:r>
          </w:p>
        </w:tc>
      </w:tr>
      <w:tr w:rsidR="002067CC" w:rsidRPr="002067CC" w14:paraId="056A20A1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D3A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5E5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DC VERUDA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45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2.421.035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2972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D1B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D7AE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2.421.035</w:t>
            </w:r>
          </w:p>
        </w:tc>
      </w:tr>
      <w:tr w:rsidR="002067CC" w:rsidRPr="002067CC" w14:paraId="4BBA27FE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1FA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437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OŠ G.MARTINUZZI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E5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1.226.229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D5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AE5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F9454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1.230.229</w:t>
            </w:r>
          </w:p>
        </w:tc>
      </w:tr>
      <w:tr w:rsidR="002067CC" w:rsidRPr="002067CC" w14:paraId="65C4198F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E12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75E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KAŠTANJER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A7E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1.232.699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A1B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131.670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21B0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33BA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1.364.369</w:t>
            </w:r>
          </w:p>
        </w:tc>
      </w:tr>
      <w:tr w:rsidR="002067CC" w:rsidRPr="002067CC" w14:paraId="3E83382D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D04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22AA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T.PERUŠKA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72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886.280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C2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DBB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FCE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889.280</w:t>
            </w:r>
          </w:p>
        </w:tc>
      </w:tr>
      <w:tr w:rsidR="002067CC" w:rsidRPr="002067CC" w14:paraId="0591F21F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FA87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144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STOJA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779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984.778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884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CECF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3A29B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988.278</w:t>
            </w:r>
          </w:p>
        </w:tc>
      </w:tr>
      <w:tr w:rsidR="002067CC" w:rsidRPr="002067CC" w14:paraId="0AA53D73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529F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2EB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DV PULA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2D1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11.321.693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C4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253.392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303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232.938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BF22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11.808.023</w:t>
            </w:r>
          </w:p>
        </w:tc>
      </w:tr>
      <w:tr w:rsidR="002067CC" w:rsidRPr="002067CC" w14:paraId="19A0499F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D9D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826D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DV MALI SVIJET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7C0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12.667.456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50B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167.364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EE1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0C8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12.834.820</w:t>
            </w:r>
          </w:p>
        </w:tc>
      </w:tr>
      <w:tr w:rsidR="002067CC" w:rsidRPr="002067CC" w14:paraId="75D93A3C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38B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99C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VIDIKOVAC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5C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1.218.185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FD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48.893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57B4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65D6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1.267.078</w:t>
            </w:r>
          </w:p>
        </w:tc>
      </w:tr>
      <w:tr w:rsidR="002067CC" w:rsidRPr="002067CC" w14:paraId="7DC93CA9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47F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9FC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E30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3.811.739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C1A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499.725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290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61D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4.311.463</w:t>
            </w:r>
          </w:p>
        </w:tc>
      </w:tr>
      <w:tr w:rsidR="002067CC" w:rsidRPr="002067CC" w14:paraId="0BAC09D6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0B25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B6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ISTARSKO NARODNO KAZALIŠTE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49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4.806.516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E03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1.104.369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09E47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E6EE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5.910.885</w:t>
            </w:r>
          </w:p>
        </w:tc>
      </w:tr>
      <w:tr w:rsidR="002067CC" w:rsidRPr="002067CC" w14:paraId="42481C69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1442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6B1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OŠ CENTAR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583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937.803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9DE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86.655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E9D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79050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1.024.459</w:t>
            </w:r>
          </w:p>
        </w:tc>
      </w:tr>
      <w:tr w:rsidR="002067CC" w:rsidRPr="002067CC" w14:paraId="73CA161E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FB2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A8D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JAVNA VATROGASNA POSTROJBA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99BA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13.533.451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AA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241.441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F05F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46F2E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13.774.892</w:t>
            </w:r>
          </w:p>
        </w:tc>
      </w:tr>
      <w:tr w:rsidR="002067CC" w:rsidRPr="002067CC" w14:paraId="3B909843" w14:textId="77777777" w:rsidTr="002067CC">
        <w:trPr>
          <w:trHeight w:val="19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802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8FD" w14:textId="77777777" w:rsidR="002067CC" w:rsidRPr="002067CC" w:rsidRDefault="002067CC" w:rsidP="0020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ŠKOLA ZA ODGOJ I OBRAZOVANJE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B79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1.317.037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936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0208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EFCD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1.319.037</w:t>
            </w:r>
          </w:p>
        </w:tc>
      </w:tr>
      <w:tr w:rsidR="002067CC" w:rsidRPr="002067CC" w14:paraId="695298FE" w14:textId="77777777" w:rsidTr="002067CC">
        <w:trPr>
          <w:trHeight w:val="195"/>
          <w:jc w:val="center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352E27DE" w14:textId="77777777" w:rsidR="002067CC" w:rsidRPr="002067CC" w:rsidRDefault="002067CC" w:rsidP="0020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BC4E35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66.388.513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1129EF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2.603.902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A829821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232.938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F130FD2" w14:textId="77777777" w:rsidR="002067CC" w:rsidRPr="002067CC" w:rsidRDefault="002067CC" w:rsidP="0020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69.225.353</w:t>
            </w:r>
          </w:p>
        </w:tc>
      </w:tr>
    </w:tbl>
    <w:p w14:paraId="7E3AB7FF" w14:textId="2DB1BA4F" w:rsidR="002067CC" w:rsidRDefault="002067CC" w:rsidP="00FB6E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38B84" w14:textId="271C8CF8" w:rsidR="00803D2E" w:rsidRDefault="00426D9F" w:rsidP="00821A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</w:rPr>
        <w:t xml:space="preserve">BILJEŠKA br. </w:t>
      </w:r>
      <w:r w:rsidR="00FD5E1C" w:rsidRPr="00CA61D2">
        <w:rPr>
          <w:rFonts w:ascii="Times New Roman" w:hAnsi="Times New Roman" w:cs="Times New Roman"/>
          <w:b/>
        </w:rPr>
        <w:t>3</w:t>
      </w:r>
      <w:r w:rsidR="00A557E6">
        <w:rPr>
          <w:rFonts w:ascii="Times New Roman" w:hAnsi="Times New Roman" w:cs="Times New Roman"/>
          <w:b/>
        </w:rPr>
        <w:t>4</w:t>
      </w:r>
    </w:p>
    <w:p w14:paraId="75662E9A" w14:textId="4C55ECFD" w:rsidR="004C073B" w:rsidRDefault="0079453B" w:rsidP="00AA672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9453B">
        <w:rPr>
          <w:rFonts w:ascii="Times New Roman" w:hAnsi="Times New Roman" w:cs="Times New Roman"/>
          <w:bCs/>
        </w:rPr>
        <w:t xml:space="preserve">Tekuće donacije u novcu (AOP259) </w:t>
      </w:r>
      <w:r w:rsidR="00D24EDD">
        <w:rPr>
          <w:rFonts w:ascii="Times New Roman" w:hAnsi="Times New Roman" w:cs="Times New Roman"/>
          <w:bCs/>
        </w:rPr>
        <w:t>-</w:t>
      </w:r>
      <w:r w:rsidRPr="0079453B">
        <w:rPr>
          <w:rFonts w:ascii="Times New Roman" w:hAnsi="Times New Roman" w:cs="Times New Roman"/>
          <w:bCs/>
        </w:rPr>
        <w:t xml:space="preserve"> </w:t>
      </w:r>
      <w:r w:rsidR="00D24EDD">
        <w:rPr>
          <w:rFonts w:ascii="Times New Roman" w:hAnsi="Times New Roman" w:cs="Times New Roman"/>
          <w:bCs/>
        </w:rPr>
        <w:t xml:space="preserve">iznose 31.054.909 kn i </w:t>
      </w:r>
      <w:r>
        <w:rPr>
          <w:rFonts w:ascii="Times New Roman" w:hAnsi="Times New Roman" w:cs="Times New Roman"/>
          <w:bCs/>
        </w:rPr>
        <w:t xml:space="preserve">bilježe pad od 18,1% </w:t>
      </w:r>
      <w:r w:rsidR="00AA672A">
        <w:rPr>
          <w:rFonts w:ascii="Times New Roman" w:hAnsi="Times New Roman" w:cs="Times New Roman"/>
          <w:bCs/>
        </w:rPr>
        <w:t xml:space="preserve">iz razloga što su </w:t>
      </w:r>
      <w:r>
        <w:rPr>
          <w:rFonts w:ascii="Times New Roman" w:hAnsi="Times New Roman" w:cs="Times New Roman"/>
          <w:bCs/>
        </w:rPr>
        <w:t xml:space="preserve">zbog </w:t>
      </w:r>
      <w:r w:rsidR="00B77796" w:rsidRPr="00AA672A">
        <w:rPr>
          <w:rFonts w:ascii="Times New Roman" w:hAnsi="Times New Roman" w:cs="Times New Roman"/>
          <w:bCs/>
        </w:rPr>
        <w:t>epidemije bolesti COVID-19</w:t>
      </w:r>
      <w:r w:rsidR="00AA672A" w:rsidRPr="00AA672A">
        <w:rPr>
          <w:rFonts w:ascii="Times New Roman" w:hAnsi="Times New Roman" w:cs="Times New Roman"/>
          <w:bCs/>
        </w:rPr>
        <w:t xml:space="preserve"> </w:t>
      </w:r>
      <w:r w:rsidR="00AA672A" w:rsidRPr="00AA672A">
        <w:rPr>
          <w:rFonts w:ascii="Times New Roman" w:hAnsi="Times New Roman" w:cs="Times New Roman"/>
        </w:rPr>
        <w:t>stupile na snagu posebne mjere ograničavanja društvenog okupljanja i održavanja kulturnih događaja čija je primjena započela u ožujku 2020. godine te se dio programa nije mogao realizirati</w:t>
      </w:r>
      <w:r w:rsidR="00A557E6">
        <w:rPr>
          <w:rFonts w:ascii="Times New Roman" w:hAnsi="Times New Roman" w:cs="Times New Roman"/>
        </w:rPr>
        <w:t xml:space="preserve"> ili se realizirao u smanjenom obimu.</w:t>
      </w:r>
      <w:r w:rsidR="00AA672A" w:rsidRPr="00AA672A">
        <w:rPr>
          <w:rFonts w:ascii="Times New Roman" w:hAnsi="Times New Roman" w:cs="Times New Roman"/>
        </w:rPr>
        <w:t xml:space="preserve"> </w:t>
      </w:r>
    </w:p>
    <w:p w14:paraId="072828C1" w14:textId="77777777" w:rsidR="00AA672A" w:rsidRDefault="00AA672A" w:rsidP="00FC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2F4E8" w14:textId="2185F42F" w:rsidR="00FC6162" w:rsidRPr="000322DC" w:rsidRDefault="00FC6162" w:rsidP="00FC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D2">
        <w:rPr>
          <w:rFonts w:ascii="Times New Roman" w:hAnsi="Times New Roman" w:cs="Times New Roman"/>
          <w:b/>
          <w:sz w:val="24"/>
          <w:szCs w:val="24"/>
        </w:rPr>
        <w:t>B</w:t>
      </w:r>
      <w:r w:rsidR="00AA672A">
        <w:rPr>
          <w:rFonts w:ascii="Times New Roman" w:hAnsi="Times New Roman" w:cs="Times New Roman"/>
          <w:b/>
          <w:sz w:val="24"/>
          <w:szCs w:val="24"/>
        </w:rPr>
        <w:t>I</w:t>
      </w:r>
      <w:r w:rsidRPr="00CA61D2">
        <w:rPr>
          <w:rFonts w:ascii="Times New Roman" w:hAnsi="Times New Roman" w:cs="Times New Roman"/>
          <w:b/>
          <w:sz w:val="24"/>
          <w:szCs w:val="24"/>
        </w:rPr>
        <w:t xml:space="preserve">LJEŠKA </w:t>
      </w:r>
      <w:proofErr w:type="spellStart"/>
      <w:r w:rsidRPr="00CA61D2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="00D24EDD" w:rsidRPr="00CA61D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557E6">
        <w:rPr>
          <w:rFonts w:ascii="Times New Roman" w:hAnsi="Times New Roman" w:cs="Times New Roman"/>
          <w:b/>
          <w:sz w:val="24"/>
          <w:szCs w:val="24"/>
        </w:rPr>
        <w:t>5</w:t>
      </w:r>
    </w:p>
    <w:p w14:paraId="271A2F17" w14:textId="3D0B524A" w:rsidR="00FC6162" w:rsidRPr="000322DC" w:rsidRDefault="00D24EDD" w:rsidP="00FC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2DC">
        <w:rPr>
          <w:rFonts w:ascii="Times New Roman" w:hAnsi="Times New Roman" w:cs="Times New Roman"/>
          <w:bCs/>
          <w:sz w:val="24"/>
          <w:szCs w:val="24"/>
        </w:rPr>
        <w:t>Tekuće donacije iz EU sredstava (AOP261) - iznose 99.568 kn i bilježe pad od 44,3%</w:t>
      </w:r>
      <w:r w:rsidR="000322DC" w:rsidRPr="000322DC">
        <w:rPr>
          <w:rFonts w:ascii="Times New Roman" w:hAnsi="Times New Roman" w:cs="Times New Roman"/>
          <w:bCs/>
          <w:sz w:val="24"/>
          <w:szCs w:val="24"/>
        </w:rPr>
        <w:t xml:space="preserve">, a namijenjene su </w:t>
      </w:r>
      <w:r w:rsidR="000322DC">
        <w:rPr>
          <w:rFonts w:ascii="Times New Roman" w:hAnsi="Times New Roman" w:cs="Times New Roman"/>
          <w:bCs/>
          <w:sz w:val="24"/>
          <w:szCs w:val="24"/>
        </w:rPr>
        <w:t xml:space="preserve">realizaciji </w:t>
      </w:r>
      <w:r w:rsidR="000322DC" w:rsidRPr="000322DC">
        <w:rPr>
          <w:rFonts w:ascii="Times New Roman" w:hAnsi="Times New Roman" w:cs="Times New Roman"/>
          <w:bCs/>
          <w:sz w:val="24"/>
          <w:szCs w:val="24"/>
        </w:rPr>
        <w:t>projekt</w:t>
      </w:r>
      <w:r w:rsidR="000322DC">
        <w:rPr>
          <w:rFonts w:ascii="Times New Roman" w:hAnsi="Times New Roman" w:cs="Times New Roman"/>
          <w:bCs/>
          <w:sz w:val="24"/>
          <w:szCs w:val="24"/>
        </w:rPr>
        <w:t>a</w:t>
      </w:r>
      <w:r w:rsidR="000322DC" w:rsidRPr="000322DC">
        <w:rPr>
          <w:rFonts w:ascii="Times New Roman" w:hAnsi="Times New Roman" w:cs="Times New Roman"/>
          <w:bCs/>
          <w:sz w:val="24"/>
          <w:szCs w:val="24"/>
        </w:rPr>
        <w:t xml:space="preserve"> SOS</w:t>
      </w:r>
      <w:r w:rsidR="000322DC">
        <w:rPr>
          <w:rFonts w:ascii="Times New Roman" w:hAnsi="Times New Roman" w:cs="Times New Roman"/>
          <w:bCs/>
          <w:sz w:val="24"/>
          <w:szCs w:val="24"/>
        </w:rPr>
        <w:t xml:space="preserve"> te projekta za pulski fortifikacijski sustav sukladno projektnim aktivnostima</w:t>
      </w:r>
      <w:r w:rsidR="000322DC" w:rsidRPr="000322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015C24" w14:textId="77777777" w:rsidR="00FC6162" w:rsidRDefault="00FC6162" w:rsidP="00525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C80DC" w14:textId="7838FAAD" w:rsidR="007F52F8" w:rsidRDefault="007F52F8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A571F6" w:rsidRPr="00CA61D2">
        <w:rPr>
          <w:rFonts w:ascii="Times New Roman" w:hAnsi="Times New Roman" w:cs="Times New Roman"/>
          <w:b/>
          <w:sz w:val="24"/>
          <w:szCs w:val="24"/>
        </w:rPr>
        <w:t>3</w:t>
      </w:r>
      <w:r w:rsidR="00A557E6">
        <w:rPr>
          <w:rFonts w:ascii="Times New Roman" w:hAnsi="Times New Roman" w:cs="Times New Roman"/>
          <w:b/>
          <w:sz w:val="24"/>
          <w:szCs w:val="24"/>
        </w:rPr>
        <w:t>6</w:t>
      </w:r>
    </w:p>
    <w:p w14:paraId="7C45595B" w14:textId="2B60CD30" w:rsidR="00D60DE1" w:rsidRDefault="00174DBB" w:rsidP="00A571F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Kapitalne </w:t>
      </w:r>
      <w:r w:rsidR="00BD0631" w:rsidRPr="00526AD1">
        <w:rPr>
          <w:rFonts w:ascii="Times New Roman" w:hAnsi="Times New Roman" w:cs="Times New Roman"/>
          <w:sz w:val="24"/>
          <w:szCs w:val="24"/>
        </w:rPr>
        <w:t xml:space="preserve">pomoći kreditnim i ostalim financijskim institucijama te trgovačkim društvima u javnom sektoru </w:t>
      </w:r>
      <w:r w:rsidR="002367ED" w:rsidRPr="00526AD1">
        <w:rPr>
          <w:rFonts w:ascii="Times New Roman" w:hAnsi="Times New Roman" w:cs="Times New Roman"/>
          <w:sz w:val="24"/>
          <w:szCs w:val="24"/>
        </w:rPr>
        <w:t>(AOP2</w:t>
      </w:r>
      <w:r w:rsidR="001B42E1" w:rsidRPr="00526AD1">
        <w:rPr>
          <w:rFonts w:ascii="Times New Roman" w:hAnsi="Times New Roman" w:cs="Times New Roman"/>
          <w:sz w:val="24"/>
          <w:szCs w:val="24"/>
        </w:rPr>
        <w:t>73</w:t>
      </w:r>
      <w:r w:rsidR="002367ED" w:rsidRPr="00526AD1">
        <w:rPr>
          <w:rFonts w:ascii="Times New Roman" w:hAnsi="Times New Roman" w:cs="Times New Roman"/>
          <w:sz w:val="24"/>
          <w:szCs w:val="24"/>
        </w:rPr>
        <w:t>)</w:t>
      </w:r>
      <w:r w:rsidR="00914E1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0322DC">
        <w:rPr>
          <w:rFonts w:ascii="Times New Roman" w:hAnsi="Times New Roman" w:cs="Times New Roman"/>
          <w:sz w:val="24"/>
          <w:szCs w:val="24"/>
        </w:rPr>
        <w:t>- iznose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0322DC">
        <w:rPr>
          <w:rFonts w:ascii="Times New Roman" w:hAnsi="Times New Roman" w:cs="Times New Roman"/>
          <w:sz w:val="24"/>
          <w:szCs w:val="24"/>
        </w:rPr>
        <w:t>15.382.600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612018" w:rsidRPr="00612018">
        <w:rPr>
          <w:rFonts w:ascii="Times New Roman" w:hAnsi="Times New Roman" w:cs="Times New Roman"/>
          <w:sz w:val="24"/>
          <w:szCs w:val="24"/>
        </w:rPr>
        <w:t xml:space="preserve"> 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i za </w:t>
      </w:r>
      <w:r w:rsidR="000322DC">
        <w:rPr>
          <w:rFonts w:ascii="Times New Roman" w:hAnsi="Times New Roman" w:cs="Times New Roman"/>
          <w:sz w:val="24"/>
          <w:szCs w:val="24"/>
        </w:rPr>
        <w:t>35,3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% su </w:t>
      </w:r>
      <w:r w:rsidR="000322DC">
        <w:rPr>
          <w:rFonts w:ascii="Times New Roman" w:hAnsi="Times New Roman" w:cs="Times New Roman"/>
          <w:sz w:val="24"/>
          <w:szCs w:val="24"/>
        </w:rPr>
        <w:t>manje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A571F6">
        <w:rPr>
          <w:rFonts w:ascii="Times New Roman" w:hAnsi="Times New Roman" w:cs="Times New Roman"/>
          <w:sz w:val="24"/>
          <w:szCs w:val="24"/>
        </w:rPr>
        <w:t xml:space="preserve">iz razloga što su ove godine evidentirani izdaci za </w:t>
      </w:r>
      <w:r w:rsidR="00D60DE1">
        <w:rPr>
          <w:rFonts w:ascii="Times New Roman" w:hAnsi="Times New Roman" w:cs="Times New Roman"/>
          <w:sz w:val="24"/>
          <w:szCs w:val="24"/>
        </w:rPr>
        <w:t xml:space="preserve">izgradnju zapadne tribine stadiona Aldo </w:t>
      </w:r>
      <w:proofErr w:type="spellStart"/>
      <w:r w:rsidR="00D60DE1">
        <w:rPr>
          <w:rFonts w:ascii="Times New Roman" w:hAnsi="Times New Roman" w:cs="Times New Roman"/>
          <w:sz w:val="24"/>
          <w:szCs w:val="24"/>
        </w:rPr>
        <w:t>Drosina</w:t>
      </w:r>
      <w:proofErr w:type="spellEnd"/>
      <w:r w:rsidR="00D60DE1">
        <w:rPr>
          <w:rFonts w:ascii="Times New Roman" w:hAnsi="Times New Roman" w:cs="Times New Roman"/>
          <w:sz w:val="24"/>
          <w:szCs w:val="24"/>
        </w:rPr>
        <w:t xml:space="preserve"> te pomoć za izgradnju bazena</w:t>
      </w:r>
      <w:r w:rsidR="00A571F6">
        <w:rPr>
          <w:rFonts w:ascii="Times New Roman" w:hAnsi="Times New Roman" w:cs="Times New Roman"/>
          <w:sz w:val="24"/>
          <w:szCs w:val="24"/>
        </w:rPr>
        <w:t xml:space="preserve"> dok je u 2019. godini</w:t>
      </w:r>
      <w:r w:rsidR="00CA61D2">
        <w:rPr>
          <w:rFonts w:ascii="Times New Roman" w:hAnsi="Times New Roman" w:cs="Times New Roman"/>
          <w:sz w:val="24"/>
          <w:szCs w:val="24"/>
        </w:rPr>
        <w:t xml:space="preserve"> uz navedeno</w:t>
      </w:r>
      <w:r w:rsidR="00A571F6">
        <w:rPr>
          <w:rFonts w:ascii="Times New Roman" w:hAnsi="Times New Roman" w:cs="Times New Roman"/>
          <w:sz w:val="24"/>
          <w:szCs w:val="24"/>
        </w:rPr>
        <w:t xml:space="preserve"> dana pomoć za </w:t>
      </w:r>
      <w:r w:rsidR="00D60DE1">
        <w:rPr>
          <w:rFonts w:ascii="Times New Roman" w:hAnsi="Times New Roman" w:cs="Times New Roman"/>
          <w:sz w:val="24"/>
          <w:szCs w:val="24"/>
        </w:rPr>
        <w:t>projektiranje i iz</w:t>
      </w:r>
      <w:r w:rsidR="00D60DE1" w:rsidRPr="00526AD1">
        <w:rPr>
          <w:rFonts w:ascii="Times New Roman" w:hAnsi="Times New Roman" w:cs="Times New Roman"/>
          <w:sz w:val="24"/>
          <w:szCs w:val="24"/>
        </w:rPr>
        <w:t>gra</w:t>
      </w:r>
      <w:r w:rsidR="00D60DE1">
        <w:rPr>
          <w:rFonts w:ascii="Times New Roman" w:hAnsi="Times New Roman" w:cs="Times New Roman"/>
          <w:sz w:val="24"/>
          <w:szCs w:val="24"/>
        </w:rPr>
        <w:t>d</w:t>
      </w:r>
      <w:r w:rsidR="00D60DE1" w:rsidRPr="00526AD1">
        <w:rPr>
          <w:rFonts w:ascii="Times New Roman" w:hAnsi="Times New Roman" w:cs="Times New Roman"/>
          <w:sz w:val="24"/>
          <w:szCs w:val="24"/>
        </w:rPr>
        <w:t>nj</w:t>
      </w:r>
      <w:r w:rsidR="00D60DE1">
        <w:rPr>
          <w:rFonts w:ascii="Times New Roman" w:hAnsi="Times New Roman" w:cs="Times New Roman"/>
          <w:sz w:val="24"/>
          <w:szCs w:val="24"/>
        </w:rPr>
        <w:t>u</w:t>
      </w:r>
      <w:r w:rsidR="00D60DE1" w:rsidRPr="00526AD1">
        <w:rPr>
          <w:rFonts w:ascii="Times New Roman" w:hAnsi="Times New Roman" w:cs="Times New Roman"/>
          <w:sz w:val="24"/>
          <w:szCs w:val="24"/>
        </w:rPr>
        <w:t xml:space="preserve"> vodnih građevi</w:t>
      </w:r>
      <w:r w:rsidR="00D60DE1">
        <w:rPr>
          <w:rFonts w:ascii="Times New Roman" w:hAnsi="Times New Roman" w:cs="Times New Roman"/>
          <w:sz w:val="24"/>
          <w:szCs w:val="24"/>
        </w:rPr>
        <w:t>na</w:t>
      </w:r>
      <w:r w:rsidR="00A571F6">
        <w:rPr>
          <w:rFonts w:ascii="Times New Roman" w:hAnsi="Times New Roman" w:cs="Times New Roman"/>
          <w:sz w:val="24"/>
          <w:szCs w:val="24"/>
        </w:rPr>
        <w:t xml:space="preserve"> te</w:t>
      </w:r>
      <w:r w:rsidR="00D60DE1">
        <w:rPr>
          <w:rFonts w:ascii="Times New Roman" w:hAnsi="Times New Roman" w:cs="Times New Roman"/>
          <w:sz w:val="24"/>
          <w:szCs w:val="24"/>
        </w:rPr>
        <w:t xml:space="preserve"> izgradnju odvodnje i pročišćavanja otpadnih voda</w:t>
      </w:r>
      <w:r w:rsidR="00A571F6">
        <w:rPr>
          <w:rFonts w:ascii="Times New Roman" w:hAnsi="Times New Roman" w:cs="Times New Roman"/>
          <w:sz w:val="24"/>
          <w:szCs w:val="24"/>
        </w:rPr>
        <w:t>.</w:t>
      </w:r>
    </w:p>
    <w:p w14:paraId="515CEAF5" w14:textId="77777777" w:rsidR="007A0AFB" w:rsidRPr="00A571F6" w:rsidRDefault="007A0AFB" w:rsidP="00A571F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3A1DD5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5D2D65AD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4500DCA1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69834D43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167CF93C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5EEDC92F" w14:textId="77777777" w:rsidR="00A557E6" w:rsidRDefault="00A557E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5D650D20" w14:textId="537231D0" w:rsidR="00E72FEF" w:rsidRDefault="00A571F6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</w:rPr>
        <w:lastRenderedPageBreak/>
        <w:t>B</w:t>
      </w:r>
      <w:r w:rsidR="00E95A49" w:rsidRPr="00CA61D2">
        <w:rPr>
          <w:rFonts w:ascii="Times New Roman" w:hAnsi="Times New Roman" w:cs="Times New Roman"/>
          <w:b/>
        </w:rPr>
        <w:t xml:space="preserve">ILJEŠKA br. </w:t>
      </w:r>
      <w:r w:rsidR="00E72FEF" w:rsidRPr="00CA61D2">
        <w:rPr>
          <w:rFonts w:ascii="Times New Roman" w:hAnsi="Times New Roman" w:cs="Times New Roman"/>
          <w:b/>
        </w:rPr>
        <w:t>3</w:t>
      </w:r>
      <w:r w:rsidR="00A557E6">
        <w:rPr>
          <w:rFonts w:ascii="Times New Roman" w:hAnsi="Times New Roman" w:cs="Times New Roman"/>
          <w:b/>
        </w:rPr>
        <w:t>7</w:t>
      </w:r>
    </w:p>
    <w:p w14:paraId="514F477A" w14:textId="7A364063" w:rsidR="003E0CAA" w:rsidRDefault="00171C18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Prihodi od prodaje nefinancijske imovine</w:t>
      </w:r>
    </w:p>
    <w:p w14:paraId="0E511C64" w14:textId="77777777" w:rsidR="00A16E29" w:rsidRDefault="00A16E29" w:rsidP="00E72FEF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4111"/>
        <w:gridCol w:w="568"/>
        <w:gridCol w:w="1274"/>
        <w:gridCol w:w="1134"/>
        <w:gridCol w:w="709"/>
        <w:gridCol w:w="1099"/>
      </w:tblGrid>
      <w:tr w:rsidR="001715D7" w:rsidRPr="00526AD1" w14:paraId="74E8E39E" w14:textId="77777777" w:rsidTr="007A0AFB">
        <w:trPr>
          <w:trHeight w:val="782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FA466B2" w14:textId="77777777" w:rsidR="009D17E2" w:rsidRPr="00F12CD4" w:rsidRDefault="002367ED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</w:t>
            </w:r>
            <w:r w:rsidR="009D17E2"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Skupina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104BC85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DC0E58C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C3324A4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11A04B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3F0257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4973B6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9D17E2" w:rsidRPr="00526AD1" w14:paraId="0B75CF38" w14:textId="77777777" w:rsidTr="007A0AFB">
        <w:trPr>
          <w:trHeight w:val="14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5712C78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01C3CC0B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4F776A4F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333627E7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FA5932C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E0BD90C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9287F0" w14:textId="77777777"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3A7E83"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</w:tr>
      <w:tr w:rsidR="00E95A49" w:rsidRPr="00526AD1" w14:paraId="2CD544A4" w14:textId="77777777" w:rsidTr="007A0AFB">
        <w:trPr>
          <w:trHeight w:val="41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054" w14:textId="77777777"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E10" w14:textId="77777777"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neproizvedene</w:t>
            </w:r>
            <w:proofErr w:type="spellEnd"/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dugotrajne imovine 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D11" w14:textId="77777777" w:rsidR="00E95A49" w:rsidRPr="00853D5A" w:rsidRDefault="00E95A49" w:rsidP="001B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290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E564" w14:textId="2B377FB3" w:rsidR="00E95A49" w:rsidRPr="00526AD1" w:rsidRDefault="00B138E2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29.612.294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FA5A" w14:textId="63894EE4" w:rsidR="00E95A49" w:rsidRPr="00526AD1" w:rsidRDefault="00B138E2" w:rsidP="00305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9.255.459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4469" w14:textId="3FAC37D6" w:rsidR="00E95A49" w:rsidRPr="00526AD1" w:rsidRDefault="00B138E2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31,3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3169" w14:textId="1144324D" w:rsidR="00E95A49" w:rsidRPr="00526AD1" w:rsidRDefault="00E72FEF" w:rsidP="00305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-20.356.835</w:t>
            </w:r>
          </w:p>
        </w:tc>
      </w:tr>
      <w:tr w:rsidR="00E95A49" w:rsidRPr="00526AD1" w14:paraId="0E6718DE" w14:textId="77777777" w:rsidTr="007A0AFB">
        <w:trPr>
          <w:trHeight w:val="409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399" w14:textId="77777777"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B03" w14:textId="77777777"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proizvedene dugotrajne imovine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867" w14:textId="77777777" w:rsidR="00E95A49" w:rsidRPr="00853D5A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C9FE" w14:textId="40396EBA" w:rsidR="00E95A49" w:rsidRPr="00526AD1" w:rsidRDefault="00B138E2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1.969.553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F31" w14:textId="5BC6FBBE" w:rsidR="00E95A49" w:rsidRPr="00526AD1" w:rsidRDefault="00B138E2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1.414.904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744C" w14:textId="062E53B4" w:rsidR="00E95A49" w:rsidRPr="00526AD1" w:rsidRDefault="00B138E2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71,8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07E38" w14:textId="7B458389" w:rsidR="00E95A49" w:rsidRPr="00526AD1" w:rsidRDefault="00E72FEF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-554.649</w:t>
            </w:r>
          </w:p>
        </w:tc>
      </w:tr>
      <w:tr w:rsidR="00E95A49" w:rsidRPr="00526AD1" w14:paraId="205CF368" w14:textId="77777777" w:rsidTr="007A0AFB">
        <w:trPr>
          <w:trHeight w:val="52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31AD21" w14:textId="77777777"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B9279" w14:textId="77777777"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BEEA5F" w14:textId="77777777"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32241E" w14:textId="07D3F44A" w:rsidR="00E95A49" w:rsidRPr="00526AD1" w:rsidRDefault="00A571F6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31.581.847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5A05210" w14:textId="5EE12178" w:rsidR="00E95A49" w:rsidRPr="00526AD1" w:rsidRDefault="00CA61D2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10.670.363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790E5F" w14:textId="0B2F2B5B" w:rsidR="00E95A49" w:rsidRPr="00526AD1" w:rsidRDefault="00B138E2" w:rsidP="00F12C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33,8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9294C32" w14:textId="07F3DD9E" w:rsidR="00E95A49" w:rsidRPr="00526AD1" w:rsidRDefault="00E72FEF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-20.911.484</w:t>
            </w:r>
          </w:p>
        </w:tc>
      </w:tr>
    </w:tbl>
    <w:p w14:paraId="28F29D12" w14:textId="77777777" w:rsidR="009D17E2" w:rsidRPr="00526AD1" w:rsidRDefault="009D17E2" w:rsidP="001E12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93519" w14:textId="75F756C8" w:rsidR="00F546B9" w:rsidRPr="00E72FEF" w:rsidRDefault="003E0CAA" w:rsidP="00A16E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PRIHODI OD PRODAJE NEFINANCIJSKE IMOVINE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(AOP289</w:t>
      </w:r>
      <w:r w:rsidR="009D17E2" w:rsidRPr="00526AD1">
        <w:rPr>
          <w:rFonts w:ascii="Times New Roman" w:hAnsi="Times New Roman" w:cs="Times New Roman"/>
          <w:sz w:val="24"/>
          <w:szCs w:val="24"/>
        </w:rPr>
        <w:t>)</w:t>
      </w:r>
      <w:r w:rsidR="00A16E29">
        <w:rPr>
          <w:rFonts w:ascii="Times New Roman" w:hAnsi="Times New Roman" w:cs="Times New Roman"/>
          <w:sz w:val="24"/>
          <w:szCs w:val="24"/>
        </w:rPr>
        <w:t xml:space="preserve">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E72FEF">
        <w:rPr>
          <w:rFonts w:ascii="Times New Roman" w:hAnsi="Times New Roman" w:cs="Times New Roman"/>
          <w:sz w:val="24"/>
          <w:szCs w:val="24"/>
        </w:rPr>
        <w:t>10.670.363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 kn i </w:t>
      </w:r>
      <w:r w:rsidR="001B0A83" w:rsidRPr="00526AD1">
        <w:rPr>
          <w:rFonts w:ascii="Times New Roman" w:hAnsi="Times New Roman" w:cs="Times New Roman"/>
          <w:sz w:val="24"/>
          <w:szCs w:val="24"/>
        </w:rPr>
        <w:t xml:space="preserve">za </w:t>
      </w:r>
      <w:r w:rsidR="00E72FEF">
        <w:rPr>
          <w:rFonts w:ascii="Times New Roman" w:hAnsi="Times New Roman" w:cs="Times New Roman"/>
          <w:sz w:val="24"/>
          <w:szCs w:val="24"/>
        </w:rPr>
        <w:t>66,2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914E11" w:rsidRPr="00526AD1">
        <w:rPr>
          <w:rFonts w:ascii="Times New Roman" w:hAnsi="Times New Roman" w:cs="Times New Roman"/>
          <w:sz w:val="24"/>
          <w:szCs w:val="24"/>
        </w:rPr>
        <w:t>su</w:t>
      </w:r>
      <w:r w:rsidR="00F12CD4">
        <w:rPr>
          <w:rFonts w:ascii="Times New Roman" w:hAnsi="Times New Roman" w:cs="Times New Roman"/>
          <w:sz w:val="24"/>
          <w:szCs w:val="24"/>
        </w:rPr>
        <w:t xml:space="preserve"> </w:t>
      </w:r>
      <w:r w:rsidR="00E72FEF">
        <w:rPr>
          <w:rFonts w:ascii="Times New Roman" w:hAnsi="Times New Roman" w:cs="Times New Roman"/>
          <w:sz w:val="24"/>
          <w:szCs w:val="24"/>
        </w:rPr>
        <w:t>manje ostvareni</w:t>
      </w:r>
      <w:r w:rsidR="00A16E29">
        <w:rPr>
          <w:rFonts w:ascii="Times New Roman" w:hAnsi="Times New Roman" w:cs="Times New Roman"/>
          <w:sz w:val="24"/>
          <w:szCs w:val="24"/>
        </w:rPr>
        <w:t>, kako od</w:t>
      </w:r>
      <w:r w:rsidR="00E72FEF">
        <w:rPr>
          <w:rFonts w:ascii="Times New Roman" w:hAnsi="Times New Roman" w:cs="Times New Roman"/>
          <w:sz w:val="24"/>
          <w:szCs w:val="24"/>
        </w:rPr>
        <w:t xml:space="preserve"> prodaje zemljišta</w:t>
      </w:r>
      <w:r w:rsidR="00CA61D2">
        <w:rPr>
          <w:rFonts w:ascii="Times New Roman" w:hAnsi="Times New Roman" w:cs="Times New Roman"/>
          <w:sz w:val="24"/>
          <w:szCs w:val="24"/>
        </w:rPr>
        <w:t xml:space="preserve"> </w:t>
      </w:r>
      <w:r w:rsidR="00A16E29">
        <w:rPr>
          <w:rFonts w:ascii="Times New Roman" w:hAnsi="Times New Roman" w:cs="Times New Roman"/>
          <w:sz w:val="24"/>
          <w:szCs w:val="24"/>
        </w:rPr>
        <w:t>tako i</w:t>
      </w:r>
      <w:r w:rsidR="00E72FEF">
        <w:rPr>
          <w:rFonts w:ascii="Times New Roman" w:hAnsi="Times New Roman" w:cs="Times New Roman"/>
          <w:sz w:val="24"/>
          <w:szCs w:val="24"/>
        </w:rPr>
        <w:t xml:space="preserve"> </w:t>
      </w:r>
      <w:r w:rsidR="00A16E29">
        <w:rPr>
          <w:rFonts w:ascii="Times New Roman" w:hAnsi="Times New Roman" w:cs="Times New Roman"/>
          <w:sz w:val="24"/>
          <w:szCs w:val="24"/>
        </w:rPr>
        <w:t xml:space="preserve">od prodaje </w:t>
      </w:r>
      <w:r w:rsidR="00E72FEF">
        <w:rPr>
          <w:rFonts w:ascii="Times New Roman" w:hAnsi="Times New Roman" w:cs="Times New Roman"/>
          <w:sz w:val="24"/>
          <w:szCs w:val="24"/>
        </w:rPr>
        <w:t xml:space="preserve">stambenih i poslovnih objekata zbog izuzetno loše gospodarske situacije uzrokovane </w:t>
      </w:r>
      <w:r w:rsidR="00E70FC6">
        <w:rPr>
          <w:rFonts w:ascii="Times New Roman" w:hAnsi="Times New Roman" w:cs="Times New Roman"/>
          <w:sz w:val="24"/>
          <w:szCs w:val="24"/>
        </w:rPr>
        <w:t>epidemijom bolesti COVID-19</w:t>
      </w:r>
      <w:r w:rsidR="00E72FEF">
        <w:rPr>
          <w:rFonts w:ascii="Times New Roman" w:hAnsi="Times New Roman" w:cs="Times New Roman"/>
          <w:sz w:val="24"/>
          <w:szCs w:val="24"/>
        </w:rPr>
        <w:t>.</w:t>
      </w:r>
      <w:r w:rsidR="001B0A83"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7042F" w14:textId="2D586ECA" w:rsidR="00BD46CE" w:rsidRDefault="00BD46CE" w:rsidP="00A16E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483B8A" w14:textId="74E8EA31" w:rsidR="009D17E2" w:rsidRDefault="00426D9F" w:rsidP="00A16E2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CA61D2">
        <w:rPr>
          <w:rFonts w:ascii="Times New Roman" w:hAnsi="Times New Roman" w:cs="Times New Roman"/>
          <w:b/>
        </w:rPr>
        <w:t xml:space="preserve">BILJEŠKA br. </w:t>
      </w:r>
      <w:r w:rsidR="00E72FEF" w:rsidRPr="00CA61D2">
        <w:rPr>
          <w:rFonts w:ascii="Times New Roman" w:hAnsi="Times New Roman" w:cs="Times New Roman"/>
          <w:b/>
        </w:rPr>
        <w:t>3</w:t>
      </w:r>
      <w:r w:rsidR="00A557E6">
        <w:rPr>
          <w:rFonts w:ascii="Times New Roman" w:hAnsi="Times New Roman" w:cs="Times New Roman"/>
          <w:b/>
        </w:rPr>
        <w:t>8</w:t>
      </w:r>
      <w:r w:rsidR="009D17E2" w:rsidRPr="00526AD1">
        <w:rPr>
          <w:rFonts w:ascii="Times New Roman" w:hAnsi="Times New Roman" w:cs="Times New Roman"/>
        </w:rPr>
        <w:t xml:space="preserve"> </w:t>
      </w:r>
    </w:p>
    <w:p w14:paraId="300AF976" w14:textId="77777777" w:rsidR="009D17E2" w:rsidRDefault="009D17E2" w:rsidP="00A16E2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Rashodi za nabavu nefinancijske imovine</w:t>
      </w:r>
    </w:p>
    <w:p w14:paraId="3010F8B0" w14:textId="77777777" w:rsidR="0095249B" w:rsidRPr="00526AD1" w:rsidRDefault="0095249B" w:rsidP="00303020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863"/>
        <w:gridCol w:w="4252"/>
        <w:gridCol w:w="567"/>
        <w:gridCol w:w="1134"/>
        <w:gridCol w:w="1134"/>
        <w:gridCol w:w="709"/>
        <w:gridCol w:w="1134"/>
      </w:tblGrid>
      <w:tr w:rsidR="009D17E2" w:rsidRPr="00303020" w14:paraId="3F1FB304" w14:textId="77777777" w:rsidTr="007A0AFB">
        <w:trPr>
          <w:trHeight w:val="973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214318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517AA51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7ED9A8D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4EE4C0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AA3ED7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399494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05A1DF" w14:textId="77777777"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9D17E2" w:rsidRPr="00303020" w14:paraId="38874288" w14:textId="77777777" w:rsidTr="007A0AFB">
        <w:trPr>
          <w:trHeight w:val="130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E2381DC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339B3DA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07B5B7B9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6155DBB1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5DA0AF0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8E279C6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665993" w14:textId="77777777"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3A7E83"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</w:tr>
      <w:tr w:rsidR="00F546B9" w:rsidRPr="00303020" w14:paraId="54F92C2F" w14:textId="77777777" w:rsidTr="007A0AFB">
        <w:trPr>
          <w:trHeight w:val="366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510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F7E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neproizvedene</w:t>
            </w:r>
            <w:proofErr w:type="spellEnd"/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dug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otrajne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5F5" w14:textId="77777777"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D209" w14:textId="5D9A6E9E" w:rsidR="00F546B9" w:rsidRPr="00303020" w:rsidRDefault="00A16E29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3.409.304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686F" w14:textId="2A0DC169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2.344.861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08A" w14:textId="5B0D3693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4A09" w14:textId="787A7101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-1.064.443</w:t>
            </w:r>
          </w:p>
        </w:tc>
      </w:tr>
      <w:tr w:rsidR="00F546B9" w:rsidRPr="00303020" w14:paraId="5EDCBFD6" w14:textId="77777777" w:rsidTr="007A0AFB">
        <w:trPr>
          <w:trHeight w:val="28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D02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22E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proizvedene dug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otrajne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3AD" w14:textId="77777777"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CC15" w14:textId="2F2CD976" w:rsidR="00F546B9" w:rsidRPr="00303020" w:rsidRDefault="00A16E29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25.501.013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F900" w14:textId="556F83E9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30.968.620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57C2" w14:textId="54A0C7E6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F8778" w14:textId="4A4579D0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5.467.</w:t>
            </w:r>
            <w:r w:rsidR="00253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607</w:t>
            </w:r>
          </w:p>
        </w:tc>
      </w:tr>
      <w:tr w:rsidR="00F546B9" w:rsidRPr="00303020" w14:paraId="060E182E" w14:textId="77777777" w:rsidTr="00CA61D2">
        <w:trPr>
          <w:trHeight w:val="403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C40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897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dodatna ulaganja na nefinan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cijske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D90" w14:textId="77777777"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3CCE" w14:textId="220C947D" w:rsidR="00F546B9" w:rsidRPr="00303020" w:rsidRDefault="00A16E29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6.724.326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8F78" w14:textId="16C853B4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7.556.992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9FE5" w14:textId="44436965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01F6" w14:textId="29A1D65F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832.666</w:t>
            </w:r>
          </w:p>
        </w:tc>
      </w:tr>
      <w:tr w:rsidR="00F546B9" w:rsidRPr="00303020" w14:paraId="213E7C48" w14:textId="77777777" w:rsidTr="007A0AFB">
        <w:trPr>
          <w:trHeight w:val="52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C26012" w14:textId="77777777"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EC77B1" w14:textId="77777777" w:rsidR="00F546B9" w:rsidRPr="00303020" w:rsidRDefault="00F546B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8A362" w14:textId="77777777" w:rsidR="00F546B9" w:rsidRPr="00303020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460B79A" w14:textId="1387C39C" w:rsidR="00F546B9" w:rsidRPr="00303020" w:rsidRDefault="00A16E29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35.634.643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704FFB" w14:textId="715AC563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40.870.473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B9437F" w14:textId="07E0D115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65F4DF4" w14:textId="313B81A3" w:rsidR="00F546B9" w:rsidRPr="00303020" w:rsidRDefault="00A16E2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5.235.830</w:t>
            </w:r>
          </w:p>
        </w:tc>
      </w:tr>
    </w:tbl>
    <w:p w14:paraId="44F3E61F" w14:textId="77777777" w:rsidR="00AA672A" w:rsidRDefault="00AA672A" w:rsidP="002539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69FEE3E8" w14:textId="45EE1CBD" w:rsidR="00F546B9" w:rsidRPr="0025390A" w:rsidRDefault="00426D9F" w:rsidP="002539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CA61D2">
        <w:rPr>
          <w:rFonts w:ascii="Times New Roman" w:hAnsi="Times New Roman" w:cs="Times New Roman"/>
          <w:b/>
        </w:rPr>
        <w:t xml:space="preserve">BILJEŠKA br. </w:t>
      </w:r>
      <w:r w:rsidR="00A557E6">
        <w:rPr>
          <w:rFonts w:ascii="Times New Roman" w:hAnsi="Times New Roman" w:cs="Times New Roman"/>
          <w:b/>
        </w:rPr>
        <w:t>39</w:t>
      </w:r>
    </w:p>
    <w:p w14:paraId="60703E01" w14:textId="16E32EC4" w:rsidR="0025390A" w:rsidRDefault="0025390A" w:rsidP="002539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Zemljište (AOP344) - iznosi 2.332.936 kn i rashodi su smanjeni za 31,6% zbog manjeg otkupa zemljišta za potrebe gradnje</w:t>
      </w:r>
      <w:r w:rsidR="00433545">
        <w:rPr>
          <w:rFonts w:ascii="Times New Roman" w:hAnsi="Times New Roman" w:cs="Times New Roman"/>
        </w:rPr>
        <w:t>.</w:t>
      </w:r>
    </w:p>
    <w:p w14:paraId="484DA33E" w14:textId="77777777" w:rsidR="00CA61D2" w:rsidRDefault="00CA61D2" w:rsidP="002539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  <w:bookmarkStart w:id="4" w:name="_Hlk63859075"/>
    </w:p>
    <w:p w14:paraId="5AA6799C" w14:textId="0BFA92A4" w:rsidR="0025390A" w:rsidRPr="0025390A" w:rsidRDefault="0025390A" w:rsidP="002539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433545">
        <w:rPr>
          <w:rFonts w:ascii="Times New Roman" w:hAnsi="Times New Roman" w:cs="Times New Roman"/>
          <w:b/>
        </w:rPr>
        <w:t>0</w:t>
      </w:r>
    </w:p>
    <w:bookmarkEnd w:id="4"/>
    <w:p w14:paraId="5285E10B" w14:textId="7B4F2B7E" w:rsidR="002D2E26" w:rsidRPr="001715D7" w:rsidRDefault="0025390A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Stambeni objekti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 (AOP</w:t>
      </w:r>
      <w:r>
        <w:rPr>
          <w:rFonts w:ascii="Times New Roman" w:hAnsi="Times New Roman" w:cs="Times New Roman"/>
          <w:sz w:val="24"/>
          <w:szCs w:val="24"/>
        </w:rPr>
        <w:t>356</w:t>
      </w:r>
      <w:r w:rsidR="002D2E26">
        <w:rPr>
          <w:rFonts w:ascii="Times New Roman" w:hAnsi="Times New Roman" w:cs="Times New Roman"/>
          <w:sz w:val="24"/>
          <w:szCs w:val="24"/>
        </w:rPr>
        <w:t xml:space="preserve">) - </w:t>
      </w:r>
      <w:r w:rsidR="00F546B9"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F546B9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7F05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Grad nije </w:t>
      </w:r>
      <w:r w:rsidR="00D14635">
        <w:rPr>
          <w:rFonts w:ascii="Times New Roman" w:hAnsi="Times New Roman" w:cs="Times New Roman"/>
          <w:sz w:val="24"/>
          <w:szCs w:val="24"/>
        </w:rPr>
        <w:t xml:space="preserve">kupovao stambene objekte </w:t>
      </w:r>
      <w:r w:rsidR="00433545">
        <w:rPr>
          <w:rFonts w:ascii="Times New Roman" w:hAnsi="Times New Roman" w:cs="Times New Roman"/>
          <w:sz w:val="24"/>
          <w:szCs w:val="24"/>
        </w:rPr>
        <w:t>u 2020. godini.</w:t>
      </w:r>
    </w:p>
    <w:p w14:paraId="75173BEF" w14:textId="29486C3B" w:rsidR="00221600" w:rsidRDefault="00221600" w:rsidP="00BD46CE">
      <w:pPr>
        <w:spacing w:after="0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6C90DD17" w14:textId="52B602C0" w:rsidR="00D14635" w:rsidRPr="0025390A" w:rsidRDefault="00D14635" w:rsidP="00D1463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433545">
        <w:rPr>
          <w:rFonts w:ascii="Times New Roman" w:hAnsi="Times New Roman" w:cs="Times New Roman"/>
          <w:b/>
        </w:rPr>
        <w:t>1</w:t>
      </w:r>
    </w:p>
    <w:p w14:paraId="30F40F68" w14:textId="77777777" w:rsidR="00E02627" w:rsidRDefault="00D14635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</w:t>
      </w:r>
      <w:r w:rsidRPr="001715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objekti (AOP357) -</w:t>
      </w:r>
      <w:r w:rsidRPr="001715D7">
        <w:rPr>
          <w:rFonts w:ascii="Times New Roman" w:hAnsi="Times New Roman" w:cs="Times New Roman"/>
        </w:rPr>
        <w:t xml:space="preserve"> iznose </w:t>
      </w:r>
      <w:r>
        <w:rPr>
          <w:rFonts w:ascii="Times New Roman" w:hAnsi="Times New Roman" w:cs="Times New Roman"/>
        </w:rPr>
        <w:t>2.578.700</w:t>
      </w:r>
      <w:r w:rsidRPr="001715D7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i za razliku od 2019. godine kada nema evidentiranih rashoda, u 2020. godini </w:t>
      </w:r>
      <w:r w:rsidR="00E02627">
        <w:rPr>
          <w:rFonts w:ascii="Times New Roman" w:hAnsi="Times New Roman" w:cs="Times New Roman"/>
        </w:rPr>
        <w:t xml:space="preserve">se rashod odnosi na provođenje projekta pod nazivom „Pulski </w:t>
      </w:r>
      <w:proofErr w:type="spellStart"/>
      <w:r w:rsidR="00E02627">
        <w:rPr>
          <w:rFonts w:ascii="Times New Roman" w:hAnsi="Times New Roman" w:cs="Times New Roman"/>
        </w:rPr>
        <w:t>fotifikacijski</w:t>
      </w:r>
      <w:proofErr w:type="spellEnd"/>
      <w:r w:rsidR="00E02627">
        <w:rPr>
          <w:rFonts w:ascii="Times New Roman" w:hAnsi="Times New Roman" w:cs="Times New Roman"/>
        </w:rPr>
        <w:t xml:space="preserve"> sustav kao novi kulturno turistički proizvod“ kojim se uređuje utvrda Kaštel, </w:t>
      </w:r>
      <w:r>
        <w:rPr>
          <w:rFonts w:ascii="Times New Roman" w:hAnsi="Times New Roman" w:cs="Times New Roman"/>
        </w:rPr>
        <w:t xml:space="preserve"> </w:t>
      </w:r>
      <w:r w:rsidR="00E02627">
        <w:rPr>
          <w:rFonts w:ascii="Times New Roman" w:hAnsi="Times New Roman" w:cs="Times New Roman"/>
        </w:rPr>
        <w:t>provode se radovi na realizaciji dizala koji će povezivati tunele, uređuje se dvorište, saniraju postojeće podzemne i nadzemne građevine i dr., a sve u svrhu promicanja kulturnih i turističkih sadržaja.</w:t>
      </w:r>
    </w:p>
    <w:p w14:paraId="4D60977F" w14:textId="77777777" w:rsidR="004D2E59" w:rsidRDefault="004D2E59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86A1030" w14:textId="69FA5A70" w:rsidR="00E02627" w:rsidRDefault="00E0262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lastRenderedPageBreak/>
        <w:t>BILJEŠKA br. 4</w:t>
      </w:r>
      <w:r w:rsidR="004D2E59">
        <w:rPr>
          <w:rFonts w:ascii="Times New Roman" w:hAnsi="Times New Roman" w:cs="Times New Roman"/>
          <w:b/>
        </w:rPr>
        <w:t>2</w:t>
      </w:r>
    </w:p>
    <w:p w14:paraId="5DAE9FB2" w14:textId="2EDDE306" w:rsidR="00F546B9" w:rsidRDefault="00F546B9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 xml:space="preserve">Ceste, željeznice i ostali prometni objekti (AOP358) - ostvareni su u iznosu od </w:t>
      </w:r>
      <w:r w:rsidR="00E02627">
        <w:rPr>
          <w:rFonts w:ascii="Times New Roman" w:hAnsi="Times New Roman" w:cs="Times New Roman"/>
        </w:rPr>
        <w:t>17.186.269</w:t>
      </w:r>
      <w:r w:rsidRPr="00526AD1">
        <w:rPr>
          <w:rFonts w:ascii="Times New Roman" w:hAnsi="Times New Roman" w:cs="Times New Roman"/>
        </w:rPr>
        <w:t xml:space="preserve"> kn </w:t>
      </w:r>
      <w:r w:rsidR="00E02627">
        <w:rPr>
          <w:rFonts w:ascii="Times New Roman" w:hAnsi="Times New Roman" w:cs="Times New Roman"/>
        </w:rPr>
        <w:t xml:space="preserve"> odnosno za 20,4% više,</w:t>
      </w:r>
      <w:r w:rsidRPr="00526AD1">
        <w:rPr>
          <w:rFonts w:ascii="Times New Roman" w:hAnsi="Times New Roman" w:cs="Times New Roman"/>
        </w:rPr>
        <w:t xml:space="preserve"> </w:t>
      </w:r>
      <w:r w:rsidR="00E02627">
        <w:rPr>
          <w:rFonts w:ascii="Times New Roman" w:hAnsi="Times New Roman" w:cs="Times New Roman"/>
        </w:rPr>
        <w:t>zbog pojačane izgradnje cesta i ostalih prometnih objekta odnosno izgradnj</w:t>
      </w:r>
      <w:r w:rsidR="007F05DC">
        <w:rPr>
          <w:rFonts w:ascii="Times New Roman" w:hAnsi="Times New Roman" w:cs="Times New Roman"/>
        </w:rPr>
        <w:t>e</w:t>
      </w:r>
      <w:r w:rsidR="00E02627">
        <w:rPr>
          <w:rFonts w:ascii="Times New Roman" w:hAnsi="Times New Roman" w:cs="Times New Roman"/>
        </w:rPr>
        <w:t xml:space="preserve"> kružnih tokova i pristupnih prometnica</w:t>
      </w:r>
      <w:r w:rsidR="00BD0DBD">
        <w:rPr>
          <w:rFonts w:ascii="Times New Roman" w:hAnsi="Times New Roman" w:cs="Times New Roman"/>
        </w:rPr>
        <w:t>.</w:t>
      </w:r>
      <w:r w:rsidRPr="00526AD1">
        <w:rPr>
          <w:rFonts w:ascii="Times New Roman" w:hAnsi="Times New Roman" w:cs="Times New Roman"/>
        </w:rPr>
        <w:t xml:space="preserve"> </w:t>
      </w:r>
    </w:p>
    <w:p w14:paraId="03472D71" w14:textId="5CA708A3" w:rsidR="00E02627" w:rsidRDefault="00E0262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3CC28B4E" w14:textId="3179F357" w:rsidR="00E02627" w:rsidRDefault="00E0262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4D2E59">
        <w:rPr>
          <w:rFonts w:ascii="Times New Roman" w:hAnsi="Times New Roman" w:cs="Times New Roman"/>
          <w:b/>
        </w:rPr>
        <w:t>3</w:t>
      </w:r>
    </w:p>
    <w:p w14:paraId="2F5AD677" w14:textId="6E39655C" w:rsidR="00E02627" w:rsidRDefault="001715D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Uredska oprema i namještaj (AOP361)</w:t>
      </w:r>
      <w:r>
        <w:rPr>
          <w:rFonts w:ascii="Times New Roman" w:hAnsi="Times New Roman" w:cs="Times New Roman"/>
        </w:rPr>
        <w:t xml:space="preserve"> </w:t>
      </w:r>
      <w:r w:rsidR="000F170C">
        <w:rPr>
          <w:rFonts w:ascii="Times New Roman" w:hAnsi="Times New Roman" w:cs="Times New Roman"/>
        </w:rPr>
        <w:t>-</w:t>
      </w:r>
      <w:r w:rsidRPr="00526AD1">
        <w:rPr>
          <w:rFonts w:ascii="Times New Roman" w:hAnsi="Times New Roman" w:cs="Times New Roman"/>
        </w:rPr>
        <w:t xml:space="preserve"> </w:t>
      </w:r>
      <w:r w:rsidR="00210D72">
        <w:rPr>
          <w:rFonts w:ascii="Times New Roman" w:hAnsi="Times New Roman" w:cs="Times New Roman"/>
        </w:rPr>
        <w:t xml:space="preserve">iznosi 533.335 kn i povećanje bilježi zbog veće potrebe za </w:t>
      </w:r>
      <w:r w:rsidR="00E02627">
        <w:rPr>
          <w:rFonts w:ascii="Times New Roman" w:hAnsi="Times New Roman" w:cs="Times New Roman"/>
        </w:rPr>
        <w:t>kupnj</w:t>
      </w:r>
      <w:r w:rsidR="00210D72">
        <w:rPr>
          <w:rFonts w:ascii="Times New Roman" w:hAnsi="Times New Roman" w:cs="Times New Roman"/>
        </w:rPr>
        <w:t>om</w:t>
      </w:r>
      <w:r w:rsidR="00E02627">
        <w:rPr>
          <w:rFonts w:ascii="Times New Roman" w:hAnsi="Times New Roman" w:cs="Times New Roman"/>
        </w:rPr>
        <w:t xml:space="preserve"> računala i računalne opreme</w:t>
      </w:r>
      <w:r w:rsidR="004D2E59">
        <w:rPr>
          <w:rFonts w:ascii="Times New Roman" w:hAnsi="Times New Roman" w:cs="Times New Roman"/>
        </w:rPr>
        <w:t xml:space="preserve"> zbog održavanja online sastanaka.</w:t>
      </w:r>
      <w:r w:rsidR="00E02627">
        <w:rPr>
          <w:rFonts w:ascii="Times New Roman" w:hAnsi="Times New Roman" w:cs="Times New Roman"/>
        </w:rPr>
        <w:t xml:space="preserve"> </w:t>
      </w:r>
    </w:p>
    <w:p w14:paraId="6F73143A" w14:textId="77777777" w:rsidR="000F170C" w:rsidRDefault="000F170C" w:rsidP="000F170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</w:p>
    <w:p w14:paraId="4E498E96" w14:textId="796108F4" w:rsidR="000F170C" w:rsidRDefault="000F170C" w:rsidP="000F170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4D2E59">
        <w:rPr>
          <w:rFonts w:ascii="Times New Roman" w:hAnsi="Times New Roman" w:cs="Times New Roman"/>
          <w:b/>
        </w:rPr>
        <w:t>4</w:t>
      </w:r>
    </w:p>
    <w:p w14:paraId="44AF8AA1" w14:textId="327BE71E" w:rsidR="000F170C" w:rsidRPr="004F735E" w:rsidRDefault="000F170C" w:rsidP="000F170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 xml:space="preserve">Komunikacijska oprema (AOP362) </w:t>
      </w:r>
      <w:r>
        <w:rPr>
          <w:rFonts w:ascii="Times New Roman" w:hAnsi="Times New Roman" w:cs="Times New Roman"/>
        </w:rPr>
        <w:t>-</w:t>
      </w:r>
      <w:r w:rsidRPr="00526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iznose</w:t>
      </w:r>
      <w:r w:rsidRPr="00526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22.457</w:t>
      </w:r>
      <w:r w:rsidRPr="00526AD1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i za 87,0% su manji jer je u 2019. godini realiziran projekt </w:t>
      </w:r>
      <w:r w:rsidRPr="004F735E">
        <w:rPr>
          <w:rFonts w:ascii="Times New Roman" w:hAnsi="Times New Roman" w:cs="Times New Roman"/>
        </w:rPr>
        <w:t>WIFI4EU kojim se proširila mreža besplatnog gradskog interneta</w:t>
      </w:r>
      <w:r>
        <w:rPr>
          <w:rFonts w:ascii="Times New Roman" w:hAnsi="Times New Roman" w:cs="Times New Roman"/>
        </w:rPr>
        <w:t xml:space="preserve"> za što su dobivena sredstva EU u iznosu od 111.359 kn</w:t>
      </w:r>
      <w:r w:rsidRPr="004F735E">
        <w:rPr>
          <w:rFonts w:ascii="Times New Roman" w:hAnsi="Times New Roman" w:cs="Times New Roman"/>
        </w:rPr>
        <w:t>.</w:t>
      </w:r>
    </w:p>
    <w:p w14:paraId="67A80970" w14:textId="565E338D" w:rsidR="00E02627" w:rsidRDefault="00E0262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13538A92" w14:textId="3EF6702E" w:rsidR="000F170C" w:rsidRDefault="000F170C" w:rsidP="000F170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4D2E59">
        <w:rPr>
          <w:rFonts w:ascii="Times New Roman" w:hAnsi="Times New Roman" w:cs="Times New Roman"/>
          <w:b/>
        </w:rPr>
        <w:t>5</w:t>
      </w:r>
    </w:p>
    <w:p w14:paraId="5EC64F2A" w14:textId="1CDA11BC" w:rsidR="000F170C" w:rsidRPr="000F170C" w:rsidRDefault="000F170C" w:rsidP="000F170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0F170C">
        <w:rPr>
          <w:rFonts w:ascii="Times New Roman" w:hAnsi="Times New Roman" w:cs="Times New Roman"/>
          <w:bCs/>
        </w:rPr>
        <w:t>Oprema za održavanje i zaštitu (AOP363)</w:t>
      </w:r>
      <w:r>
        <w:rPr>
          <w:rFonts w:ascii="Times New Roman" w:hAnsi="Times New Roman" w:cs="Times New Roman"/>
          <w:bCs/>
        </w:rPr>
        <w:t xml:space="preserve"> </w:t>
      </w:r>
      <w:r w:rsidR="00A67B24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="00A67B24">
        <w:rPr>
          <w:rFonts w:ascii="Times New Roman" w:hAnsi="Times New Roman" w:cs="Times New Roman"/>
          <w:bCs/>
        </w:rPr>
        <w:t>iznose 51.782 kn zbog manjeg broja kupljenih klima uređaj</w:t>
      </w:r>
      <w:r w:rsidR="004D2E59">
        <w:rPr>
          <w:rFonts w:ascii="Times New Roman" w:hAnsi="Times New Roman" w:cs="Times New Roman"/>
          <w:bCs/>
        </w:rPr>
        <w:t>a.</w:t>
      </w:r>
    </w:p>
    <w:p w14:paraId="76EC9743" w14:textId="77777777" w:rsidR="000F170C" w:rsidRDefault="000F170C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3E729EEB" w14:textId="20C31E97" w:rsidR="00210D72" w:rsidRDefault="00210D72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6F5791">
        <w:rPr>
          <w:rFonts w:ascii="Times New Roman" w:hAnsi="Times New Roman" w:cs="Times New Roman"/>
          <w:b/>
        </w:rPr>
        <w:t>6</w:t>
      </w:r>
    </w:p>
    <w:p w14:paraId="07B2479C" w14:textId="5EA29C72" w:rsidR="00E02627" w:rsidRDefault="00210D72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Prijevozna sredstva u pomorskom i riječnom prometu (AOP372) - evidentiranje kapitalne donacije u iznosu od 570.000 kn, plovila primljena ostavin</w:t>
      </w:r>
      <w:r w:rsidR="00D11D53">
        <w:rPr>
          <w:rFonts w:ascii="Times New Roman" w:hAnsi="Times New Roman" w:cs="Times New Roman"/>
        </w:rPr>
        <w:t>skim rješenjem</w:t>
      </w:r>
      <w:r w:rsidR="004D2E59">
        <w:rPr>
          <w:rFonts w:ascii="Times New Roman" w:hAnsi="Times New Roman" w:cs="Times New Roman"/>
        </w:rPr>
        <w:t>.</w:t>
      </w:r>
    </w:p>
    <w:p w14:paraId="74B2C4AA" w14:textId="77777777" w:rsidR="00E02627" w:rsidRDefault="00E0262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5EDFA832" w14:textId="5DA001F9" w:rsidR="00BD0DBD" w:rsidRDefault="00BD0DBD" w:rsidP="00BD0DBD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t>BILJEŠKA br. 4</w:t>
      </w:r>
      <w:r w:rsidR="006F5791">
        <w:rPr>
          <w:rFonts w:ascii="Times New Roman" w:hAnsi="Times New Roman" w:cs="Times New Roman"/>
          <w:b/>
        </w:rPr>
        <w:t>7</w:t>
      </w:r>
    </w:p>
    <w:p w14:paraId="7219DD4E" w14:textId="55002A67" w:rsidR="001715D7" w:rsidRPr="001715D7" w:rsidRDefault="001715D7" w:rsidP="00E0262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1715D7">
        <w:rPr>
          <w:rFonts w:ascii="Times New Roman" w:hAnsi="Times New Roman" w:cs="Times New Roman"/>
        </w:rPr>
        <w:t xml:space="preserve">Umjetnička, literarna i znanstvena djela (AOP385) - iznose </w:t>
      </w:r>
      <w:r w:rsidR="00BD0DBD">
        <w:rPr>
          <w:rFonts w:ascii="Times New Roman" w:hAnsi="Times New Roman" w:cs="Times New Roman"/>
        </w:rPr>
        <w:t>192.600</w:t>
      </w:r>
      <w:r w:rsidRPr="001715D7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, a rashod</w:t>
      </w:r>
      <w:r w:rsidR="000F170C">
        <w:rPr>
          <w:rFonts w:ascii="Times New Roman" w:hAnsi="Times New Roman" w:cs="Times New Roman"/>
        </w:rPr>
        <w:t>i se</w:t>
      </w:r>
      <w:r>
        <w:rPr>
          <w:rFonts w:ascii="Times New Roman" w:hAnsi="Times New Roman" w:cs="Times New Roman"/>
        </w:rPr>
        <w:t xml:space="preserve"> odnos</w:t>
      </w:r>
      <w:r w:rsidR="000F170C">
        <w:rPr>
          <w:rFonts w:ascii="Times New Roman" w:hAnsi="Times New Roman" w:cs="Times New Roman"/>
        </w:rPr>
        <w:t>e</w:t>
      </w:r>
      <w:r w:rsidRPr="001715D7">
        <w:rPr>
          <w:rFonts w:ascii="Times New Roman" w:hAnsi="Times New Roman" w:cs="Times New Roman"/>
        </w:rPr>
        <w:t xml:space="preserve"> na </w:t>
      </w:r>
      <w:r w:rsidR="000F170C">
        <w:rPr>
          <w:rFonts w:ascii="Times New Roman" w:hAnsi="Times New Roman" w:cs="Times New Roman"/>
        </w:rPr>
        <w:t>izmjene i dopune GUP-a.</w:t>
      </w:r>
    </w:p>
    <w:p w14:paraId="2F72CDDD" w14:textId="77777777" w:rsidR="00AA672A" w:rsidRDefault="00AA672A" w:rsidP="00A67B2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D9988CA" w14:textId="7B1C0621" w:rsidR="00A67B24" w:rsidRDefault="00A67B24" w:rsidP="00A67B2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F05DC">
        <w:rPr>
          <w:rFonts w:ascii="Times New Roman" w:hAnsi="Times New Roman" w:cs="Times New Roman"/>
          <w:b/>
        </w:rPr>
        <w:t xml:space="preserve">BILJEŠKA br. </w:t>
      </w:r>
      <w:r w:rsidR="006F5791">
        <w:rPr>
          <w:rFonts w:ascii="Times New Roman" w:hAnsi="Times New Roman" w:cs="Times New Roman"/>
          <w:b/>
        </w:rPr>
        <w:t>48</w:t>
      </w:r>
    </w:p>
    <w:p w14:paraId="7F38D738" w14:textId="098372F0" w:rsidR="001715D7" w:rsidRPr="004F735E" w:rsidRDefault="001715D7" w:rsidP="00A67B2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4F735E">
        <w:rPr>
          <w:rFonts w:ascii="Times New Roman" w:hAnsi="Times New Roman" w:cs="Times New Roman"/>
        </w:rPr>
        <w:t>Ostala nematerijalna proizvedena imovina (AOP386)</w:t>
      </w:r>
      <w:r w:rsidR="00A67B24">
        <w:rPr>
          <w:rFonts w:ascii="Times New Roman" w:hAnsi="Times New Roman" w:cs="Times New Roman"/>
        </w:rPr>
        <w:t xml:space="preserve"> - </w:t>
      </w:r>
      <w:r w:rsidR="004F735E" w:rsidRPr="004F735E">
        <w:rPr>
          <w:rFonts w:ascii="Times New Roman" w:hAnsi="Times New Roman" w:cs="Times New Roman"/>
        </w:rPr>
        <w:t xml:space="preserve">iznose </w:t>
      </w:r>
      <w:r w:rsidR="00A67B24">
        <w:rPr>
          <w:rFonts w:ascii="Times New Roman" w:hAnsi="Times New Roman" w:cs="Times New Roman"/>
        </w:rPr>
        <w:t>2.829.640</w:t>
      </w:r>
      <w:r w:rsidR="004F735E" w:rsidRPr="004F735E">
        <w:rPr>
          <w:rFonts w:ascii="Times New Roman" w:hAnsi="Times New Roman" w:cs="Times New Roman"/>
        </w:rPr>
        <w:t xml:space="preserve"> kn </w:t>
      </w:r>
      <w:r w:rsidR="00A67B24">
        <w:rPr>
          <w:rFonts w:ascii="Times New Roman" w:hAnsi="Times New Roman" w:cs="Times New Roman"/>
        </w:rPr>
        <w:t xml:space="preserve">i uvećani su zbog većih izdataka za </w:t>
      </w:r>
      <w:r w:rsidRPr="004F735E">
        <w:rPr>
          <w:rFonts w:ascii="Times New Roman" w:hAnsi="Times New Roman" w:cs="Times New Roman"/>
        </w:rPr>
        <w:t>projekte, idejna rješenja, elaborate, geodetske usluge, troškovnike i dr.</w:t>
      </w:r>
    </w:p>
    <w:p w14:paraId="5F5D8F29" w14:textId="77777777" w:rsidR="001529B9" w:rsidRDefault="001529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234A0059" w14:textId="275DD961" w:rsidR="001529B9" w:rsidRDefault="001529B9" w:rsidP="00D11D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5DC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6F5791">
        <w:rPr>
          <w:rFonts w:ascii="Times New Roman" w:hAnsi="Times New Roman" w:cs="Times New Roman"/>
          <w:b/>
          <w:sz w:val="24"/>
          <w:szCs w:val="24"/>
        </w:rPr>
        <w:t>49</w:t>
      </w:r>
    </w:p>
    <w:p w14:paraId="54CA8883" w14:textId="1E188FFA" w:rsidR="00A23AED" w:rsidRPr="003100E4" w:rsidRDefault="00221600" w:rsidP="00D11D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Rashodi za dodatna ulaganja na </w:t>
      </w:r>
      <w:r w:rsidR="003100E4">
        <w:rPr>
          <w:rFonts w:ascii="Times New Roman" w:hAnsi="Times New Roman" w:cs="Times New Roman"/>
          <w:sz w:val="24"/>
          <w:szCs w:val="24"/>
        </w:rPr>
        <w:t xml:space="preserve">nefinancijskoj imovini (AOP393)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7B6D18">
        <w:rPr>
          <w:rFonts w:ascii="Times New Roman" w:hAnsi="Times New Roman" w:cs="Times New Roman"/>
          <w:sz w:val="24"/>
          <w:szCs w:val="24"/>
        </w:rPr>
        <w:t>7.556.992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7B6D18">
        <w:rPr>
          <w:rFonts w:ascii="Times New Roman" w:hAnsi="Times New Roman" w:cs="Times New Roman"/>
          <w:sz w:val="24"/>
          <w:szCs w:val="24"/>
        </w:rPr>
        <w:t>12,4</w:t>
      </w:r>
      <w:r w:rsidRPr="00526AD1">
        <w:rPr>
          <w:rFonts w:ascii="Times New Roman" w:hAnsi="Times New Roman" w:cs="Times New Roman"/>
          <w:sz w:val="24"/>
          <w:szCs w:val="24"/>
        </w:rPr>
        <w:t>% više</w:t>
      </w:r>
      <w:r w:rsidR="00DE07B1">
        <w:rPr>
          <w:rFonts w:ascii="Times New Roman" w:hAnsi="Times New Roman" w:cs="Times New Roman"/>
          <w:sz w:val="24"/>
          <w:szCs w:val="24"/>
        </w:rPr>
        <w:t xml:space="preserve"> i to zbog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18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7B6D18">
        <w:rPr>
          <w:rFonts w:ascii="Times New Roman" w:hAnsi="Times New Roman" w:cs="Times New Roman"/>
          <w:sz w:val="24"/>
          <w:szCs w:val="24"/>
        </w:rPr>
        <w:t xml:space="preserve"> </w:t>
      </w:r>
      <w:r w:rsidR="001529B9">
        <w:rPr>
          <w:rFonts w:ascii="Times New Roman" w:hAnsi="Times New Roman" w:cs="Times New Roman"/>
          <w:sz w:val="24"/>
          <w:szCs w:val="24"/>
        </w:rPr>
        <w:t>energetsk</w:t>
      </w:r>
      <w:r w:rsidR="007B6D18">
        <w:rPr>
          <w:rFonts w:ascii="Times New Roman" w:hAnsi="Times New Roman" w:cs="Times New Roman"/>
          <w:sz w:val="24"/>
          <w:szCs w:val="24"/>
        </w:rPr>
        <w:t>e</w:t>
      </w:r>
      <w:r w:rsidR="001529B9">
        <w:rPr>
          <w:rFonts w:ascii="Times New Roman" w:hAnsi="Times New Roman" w:cs="Times New Roman"/>
          <w:sz w:val="24"/>
          <w:szCs w:val="24"/>
        </w:rPr>
        <w:t xml:space="preserve"> obnov</w:t>
      </w:r>
      <w:r w:rsidR="007B6D18">
        <w:rPr>
          <w:rFonts w:ascii="Times New Roman" w:hAnsi="Times New Roman" w:cs="Times New Roman"/>
          <w:sz w:val="24"/>
          <w:szCs w:val="24"/>
        </w:rPr>
        <w:t>e</w:t>
      </w:r>
      <w:r w:rsidR="001529B9">
        <w:rPr>
          <w:rFonts w:ascii="Times New Roman" w:hAnsi="Times New Roman" w:cs="Times New Roman"/>
          <w:sz w:val="24"/>
          <w:szCs w:val="24"/>
        </w:rPr>
        <w:t xml:space="preserve"> zgrade Dječjeg kreativnog centra</w:t>
      </w:r>
      <w:r w:rsidR="00DE07B1">
        <w:rPr>
          <w:rFonts w:ascii="Times New Roman" w:hAnsi="Times New Roman" w:cs="Times New Roman"/>
          <w:sz w:val="24"/>
          <w:szCs w:val="24"/>
        </w:rPr>
        <w:t xml:space="preserve">, </w:t>
      </w:r>
      <w:r w:rsidR="007B6D18">
        <w:rPr>
          <w:rFonts w:ascii="Times New Roman" w:hAnsi="Times New Roman" w:cs="Times New Roman"/>
          <w:sz w:val="24"/>
          <w:szCs w:val="24"/>
        </w:rPr>
        <w:t xml:space="preserve">popravka krova u društvenom centru </w:t>
      </w:r>
      <w:proofErr w:type="spellStart"/>
      <w:r w:rsidR="007B6D18">
        <w:rPr>
          <w:rFonts w:ascii="Times New Roman" w:hAnsi="Times New Roman" w:cs="Times New Roman"/>
          <w:sz w:val="24"/>
          <w:szCs w:val="24"/>
        </w:rPr>
        <w:t>Rojc</w:t>
      </w:r>
      <w:proofErr w:type="spellEnd"/>
      <w:r w:rsidR="00DE07B1">
        <w:rPr>
          <w:rFonts w:ascii="Times New Roman" w:hAnsi="Times New Roman" w:cs="Times New Roman"/>
          <w:sz w:val="24"/>
          <w:szCs w:val="24"/>
        </w:rPr>
        <w:t xml:space="preserve"> te</w:t>
      </w:r>
      <w:r w:rsidR="001529B9">
        <w:rPr>
          <w:rFonts w:ascii="Times New Roman" w:hAnsi="Times New Roman" w:cs="Times New Roman"/>
          <w:sz w:val="24"/>
          <w:szCs w:val="24"/>
        </w:rPr>
        <w:t xml:space="preserve"> dodatn</w:t>
      </w:r>
      <w:r w:rsidR="00DE07B1">
        <w:rPr>
          <w:rFonts w:ascii="Times New Roman" w:hAnsi="Times New Roman" w:cs="Times New Roman"/>
          <w:sz w:val="24"/>
          <w:szCs w:val="24"/>
        </w:rPr>
        <w:t>ih</w:t>
      </w:r>
      <w:r w:rsidR="001529B9">
        <w:rPr>
          <w:rFonts w:ascii="Times New Roman" w:hAnsi="Times New Roman" w:cs="Times New Roman"/>
          <w:sz w:val="24"/>
          <w:szCs w:val="24"/>
        </w:rPr>
        <w:t xml:space="preserve"> ulaganja </w:t>
      </w:r>
      <w:r w:rsidR="00DE07B1">
        <w:rPr>
          <w:rFonts w:ascii="Times New Roman" w:hAnsi="Times New Roman" w:cs="Times New Roman"/>
          <w:sz w:val="24"/>
          <w:szCs w:val="24"/>
        </w:rPr>
        <w:t>u Školi za odgoj i obrazovanje - kupnja i ugradnja dizala za osobe s invaliditetom, izgradnja platforme te adaptacija sanitarija. Školi se investicija prenijela u vlasništvo Odlukom Gradskog vijeća.</w:t>
      </w:r>
    </w:p>
    <w:p w14:paraId="4A86BB81" w14:textId="77777777" w:rsidR="00F80E5B" w:rsidRDefault="00F80E5B" w:rsidP="00F80E5B">
      <w:pPr>
        <w:pStyle w:val="Style20"/>
        <w:widowControl/>
        <w:spacing w:line="240" w:lineRule="auto"/>
        <w:rPr>
          <w:rFonts w:ascii="Times New Roman" w:hAnsi="Times New Roman" w:cs="Times New Roman"/>
          <w:b/>
          <w:highlight w:val="yellow"/>
        </w:rPr>
      </w:pPr>
    </w:p>
    <w:p w14:paraId="3339437C" w14:textId="4FB1CAB7" w:rsidR="00F80E5B" w:rsidRDefault="00B9440E" w:rsidP="00F80E5B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  <w:r w:rsidRPr="00D11D53">
        <w:rPr>
          <w:rFonts w:ascii="Times New Roman" w:hAnsi="Times New Roman" w:cs="Times New Roman"/>
          <w:b/>
        </w:rPr>
        <w:t xml:space="preserve">BILJEŠKA br. </w:t>
      </w:r>
      <w:r w:rsidR="006F5791">
        <w:rPr>
          <w:rFonts w:ascii="Times New Roman" w:hAnsi="Times New Roman" w:cs="Times New Roman"/>
          <w:b/>
        </w:rPr>
        <w:t>50</w:t>
      </w:r>
    </w:p>
    <w:p w14:paraId="1EE5FF5A" w14:textId="32E1BAAC" w:rsidR="001B42E1" w:rsidRPr="00526AD1" w:rsidRDefault="00174DBB" w:rsidP="00F80E5B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 xml:space="preserve">PRIMICI OD FINANCIJSKE IMOVINE I ZADUŽIVANJA </w:t>
      </w:r>
      <w:r w:rsidR="00B9440E" w:rsidRPr="00526AD1">
        <w:rPr>
          <w:rFonts w:ascii="Times New Roman" w:hAnsi="Times New Roman" w:cs="Times New Roman"/>
        </w:rPr>
        <w:t>(AOP4</w:t>
      </w:r>
      <w:r w:rsidR="001B42E1" w:rsidRPr="00526AD1">
        <w:rPr>
          <w:rFonts w:ascii="Times New Roman" w:hAnsi="Times New Roman" w:cs="Times New Roman"/>
        </w:rPr>
        <w:t>10</w:t>
      </w:r>
      <w:r w:rsidR="00B9440E" w:rsidRPr="00526AD1">
        <w:rPr>
          <w:rFonts w:ascii="Times New Roman" w:hAnsi="Times New Roman" w:cs="Times New Roman"/>
        </w:rPr>
        <w:t xml:space="preserve">) </w:t>
      </w:r>
      <w:r w:rsidR="005A0C69">
        <w:rPr>
          <w:rFonts w:ascii="Times New Roman" w:hAnsi="Times New Roman" w:cs="Times New Roman"/>
        </w:rPr>
        <w:t xml:space="preserve"> - iznose 0 odnosno u 20</w:t>
      </w:r>
      <w:r w:rsidR="00F80E5B">
        <w:rPr>
          <w:rFonts w:ascii="Times New Roman" w:hAnsi="Times New Roman" w:cs="Times New Roman"/>
        </w:rPr>
        <w:t>20</w:t>
      </w:r>
      <w:r w:rsidR="005A0C69">
        <w:rPr>
          <w:rFonts w:ascii="Times New Roman" w:hAnsi="Times New Roman" w:cs="Times New Roman"/>
        </w:rPr>
        <w:t xml:space="preserve">. </w:t>
      </w:r>
      <w:proofErr w:type="spellStart"/>
      <w:r w:rsidR="005A0C69">
        <w:rPr>
          <w:rFonts w:ascii="Times New Roman" w:hAnsi="Times New Roman" w:cs="Times New Roman"/>
        </w:rPr>
        <w:t>godni</w:t>
      </w:r>
      <w:proofErr w:type="spellEnd"/>
      <w:r w:rsidR="005A0C69">
        <w:rPr>
          <w:rFonts w:ascii="Times New Roman" w:hAnsi="Times New Roman" w:cs="Times New Roman"/>
        </w:rPr>
        <w:t xml:space="preserve"> </w:t>
      </w:r>
      <w:r w:rsidR="006F5791">
        <w:rPr>
          <w:rFonts w:ascii="Times New Roman" w:hAnsi="Times New Roman" w:cs="Times New Roman"/>
        </w:rPr>
        <w:t>nije bilo novog zaduženja.</w:t>
      </w:r>
      <w:r w:rsidR="001B42E1" w:rsidRPr="00526AD1">
        <w:rPr>
          <w:rFonts w:ascii="Times New Roman" w:hAnsi="Times New Roman" w:cs="Times New Roman"/>
        </w:rPr>
        <w:t xml:space="preserve"> </w:t>
      </w:r>
      <w:r w:rsidR="00B9440E" w:rsidRPr="00526AD1">
        <w:rPr>
          <w:rFonts w:ascii="Times New Roman" w:hAnsi="Times New Roman" w:cs="Times New Roman"/>
        </w:rPr>
        <w:t xml:space="preserve"> </w:t>
      </w:r>
      <w:r w:rsidR="001B42E1" w:rsidRPr="00526AD1">
        <w:rPr>
          <w:rFonts w:ascii="Times New Roman" w:hAnsi="Times New Roman" w:cs="Times New Roman"/>
        </w:rPr>
        <w:t xml:space="preserve"> </w:t>
      </w:r>
    </w:p>
    <w:p w14:paraId="28020B7C" w14:textId="77777777" w:rsidR="005A0C69" w:rsidRDefault="005A0C69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43E09E9C" w14:textId="77777777" w:rsidR="008345EC" w:rsidRDefault="008345EC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82FC70C" w14:textId="77777777" w:rsidR="008345EC" w:rsidRDefault="008345EC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1AE8C723" w14:textId="77777777" w:rsidR="008345EC" w:rsidRDefault="008345EC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17F6232" w14:textId="0F9FF7AB" w:rsidR="00171C18" w:rsidRPr="00526AD1" w:rsidRDefault="00171C18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11D53">
        <w:rPr>
          <w:rFonts w:ascii="Times New Roman" w:hAnsi="Times New Roman" w:cs="Times New Roman"/>
          <w:b/>
        </w:rPr>
        <w:lastRenderedPageBreak/>
        <w:t xml:space="preserve">BILJEŠKA br. </w:t>
      </w:r>
      <w:r w:rsidR="00DE07B1" w:rsidRPr="00D11D53">
        <w:rPr>
          <w:rFonts w:ascii="Times New Roman" w:hAnsi="Times New Roman" w:cs="Times New Roman"/>
          <w:b/>
        </w:rPr>
        <w:t>5</w:t>
      </w:r>
      <w:r w:rsidR="006F5791">
        <w:rPr>
          <w:rFonts w:ascii="Times New Roman" w:hAnsi="Times New Roman" w:cs="Times New Roman"/>
          <w:b/>
        </w:rPr>
        <w:t>1</w:t>
      </w:r>
    </w:p>
    <w:p w14:paraId="3F76E450" w14:textId="77777777" w:rsidR="00171C18" w:rsidRDefault="0068272D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Izdaci za financijsku imovinu</w:t>
      </w:r>
      <w:r w:rsidR="00171C18" w:rsidRPr="00526AD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526AD1">
        <w:rPr>
          <w:rFonts w:ascii="Times New Roman" w:hAnsi="Times New Roman" w:cs="Times New Roman"/>
          <w:b/>
          <w:sz w:val="24"/>
          <w:szCs w:val="24"/>
        </w:rPr>
        <w:t>otplate zajmova</w:t>
      </w:r>
    </w:p>
    <w:p w14:paraId="4F219925" w14:textId="77777777" w:rsidR="00525422" w:rsidRPr="00526AD1" w:rsidRDefault="00525422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74"/>
        <w:gridCol w:w="3533"/>
        <w:gridCol w:w="567"/>
        <w:gridCol w:w="1299"/>
        <w:gridCol w:w="1418"/>
        <w:gridCol w:w="826"/>
        <w:gridCol w:w="1134"/>
      </w:tblGrid>
      <w:tr w:rsidR="0053048D" w:rsidRPr="00526AD1" w14:paraId="6FB8699D" w14:textId="77777777" w:rsidTr="00F80E5B">
        <w:trPr>
          <w:trHeight w:val="727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6FCF03D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 / Skupina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0993F28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218CA0E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0C63D7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5EE009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CC58433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6D6495" w14:textId="77777777"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53048D" w:rsidRPr="00526AD1" w14:paraId="231AC541" w14:textId="77777777" w:rsidTr="00F80E5B">
        <w:trPr>
          <w:trHeight w:val="181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0B8A2CD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64A4234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39DA936B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1563123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2A7C736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9921EA2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AE19A6" w14:textId="77777777"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</w:tr>
      <w:tr w:rsidR="00884BBB" w:rsidRPr="00526AD1" w14:paraId="0FA4C562" w14:textId="77777777" w:rsidTr="00F80E5B">
        <w:trPr>
          <w:trHeight w:val="4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12F" w14:textId="77777777" w:rsidR="00884BBB" w:rsidRPr="00526AD1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85C" w14:textId="77777777" w:rsidR="00884BBB" w:rsidRPr="00526AD1" w:rsidRDefault="00884BBB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48F" w14:textId="77777777" w:rsidR="00884BBB" w:rsidRPr="00853D5A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570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233" w14:textId="4C54E98E" w:rsidR="00884BBB" w:rsidRPr="00526AD1" w:rsidRDefault="00F80E5B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669B" w14:textId="225DC859" w:rsidR="00884BBB" w:rsidRPr="00526AD1" w:rsidRDefault="00F80E5B" w:rsidP="00884B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385.978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E79" w14:textId="63D45C86" w:rsidR="00884BBB" w:rsidRPr="00526AD1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C97" w14:textId="24EDAC1B" w:rsidR="00884BBB" w:rsidRPr="00526AD1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375.778</w:t>
            </w:r>
          </w:p>
        </w:tc>
      </w:tr>
      <w:tr w:rsidR="00884BBB" w:rsidRPr="00526AD1" w14:paraId="77C9CABE" w14:textId="77777777" w:rsidTr="00F80E5B">
        <w:trPr>
          <w:trHeight w:val="4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2FD" w14:textId="77777777" w:rsidR="00884BBB" w:rsidRPr="00526AD1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B33" w14:textId="77777777" w:rsidR="00884BBB" w:rsidRPr="00526AD1" w:rsidRDefault="00884BBB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Izdaci za otplatu glavnice primljenih kredita i zajmova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4D2" w14:textId="77777777" w:rsidR="00884BBB" w:rsidRPr="00853D5A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583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858" w14:textId="65DC5E95" w:rsidR="00884BBB" w:rsidRPr="00526AD1" w:rsidRDefault="00F80E5B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6.368.689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0975" w14:textId="221286F5" w:rsidR="00884BBB" w:rsidRPr="00526AD1" w:rsidRDefault="00F80E5B" w:rsidP="002820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6.427.796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9DE8" w14:textId="398D437D" w:rsidR="00884BBB" w:rsidRPr="00526AD1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7CEF" w14:textId="1DC452DC" w:rsidR="00884BBB" w:rsidRPr="00526AD1" w:rsidRDefault="00F80E5B" w:rsidP="00A23A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59.107</w:t>
            </w:r>
          </w:p>
        </w:tc>
      </w:tr>
      <w:tr w:rsidR="00884BBB" w:rsidRPr="00526AD1" w14:paraId="048A2778" w14:textId="77777777" w:rsidTr="00F80E5B">
        <w:trPr>
          <w:trHeight w:val="397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73C6C6" w14:textId="77777777" w:rsidR="00884BBB" w:rsidRPr="00F80E5B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9D5532" w14:textId="77777777" w:rsidR="00884BBB" w:rsidRPr="00F80E5B" w:rsidRDefault="00884BBB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DA5301" w14:textId="77777777" w:rsidR="00884BBB" w:rsidRPr="00F80E5B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AF2028" w14:textId="2AF8E950" w:rsidR="00884BBB" w:rsidRPr="00F80E5B" w:rsidRDefault="00F80E5B" w:rsidP="00D17B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6.378.889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7193B9" w14:textId="3B8B91C3" w:rsidR="00884BBB" w:rsidRPr="00F80E5B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6.813.774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3CD6FC" w14:textId="488E1AB0" w:rsidR="00884BBB" w:rsidRPr="00F80E5B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1102C8F" w14:textId="24301105" w:rsidR="00884BBB" w:rsidRPr="00F80E5B" w:rsidRDefault="00F80E5B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434.885</w:t>
            </w:r>
          </w:p>
        </w:tc>
      </w:tr>
    </w:tbl>
    <w:p w14:paraId="1354306A" w14:textId="77777777" w:rsidR="00F6411B" w:rsidRDefault="00F6411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7B3DEB21" w14:textId="51A8DA7C" w:rsidR="00884BBB" w:rsidRDefault="00884BB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1D53">
        <w:rPr>
          <w:rFonts w:ascii="Times New Roman" w:hAnsi="Times New Roman" w:cs="Times New Roman"/>
          <w:b/>
        </w:rPr>
        <w:t xml:space="preserve">BILJEŠKA br. </w:t>
      </w:r>
      <w:r w:rsidR="00F80E5B" w:rsidRPr="00D11D53">
        <w:rPr>
          <w:rFonts w:ascii="Times New Roman" w:hAnsi="Times New Roman" w:cs="Times New Roman"/>
          <w:b/>
        </w:rPr>
        <w:t>5</w:t>
      </w:r>
      <w:r w:rsidR="006F5791">
        <w:rPr>
          <w:rFonts w:ascii="Times New Roman" w:hAnsi="Times New Roman" w:cs="Times New Roman"/>
          <w:b/>
        </w:rPr>
        <w:t>2</w:t>
      </w:r>
    </w:p>
    <w:p w14:paraId="0F18814E" w14:textId="08EF2212" w:rsidR="00F80E5B" w:rsidRDefault="00F80E5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254A2A">
        <w:rPr>
          <w:rFonts w:ascii="Times New Roman" w:hAnsi="Times New Roman" w:cs="Times New Roman"/>
          <w:bCs/>
        </w:rPr>
        <w:t>Dionice i udjeli u glavnici trgovačkih društva u javnom</w:t>
      </w:r>
      <w:r w:rsidR="00254A2A" w:rsidRPr="00254A2A">
        <w:rPr>
          <w:rFonts w:ascii="Times New Roman" w:hAnsi="Times New Roman" w:cs="Times New Roman"/>
          <w:bCs/>
        </w:rPr>
        <w:t xml:space="preserve"> (AOP576)</w:t>
      </w:r>
      <w:r w:rsidR="00254A2A">
        <w:rPr>
          <w:rFonts w:ascii="Times New Roman" w:hAnsi="Times New Roman" w:cs="Times New Roman"/>
          <w:bCs/>
        </w:rPr>
        <w:t xml:space="preserve"> </w:t>
      </w:r>
      <w:r w:rsidR="00C43333">
        <w:rPr>
          <w:rFonts w:ascii="Times New Roman" w:hAnsi="Times New Roman" w:cs="Times New Roman"/>
          <w:bCs/>
        </w:rPr>
        <w:t>-</w:t>
      </w:r>
      <w:r w:rsidR="00254A2A">
        <w:rPr>
          <w:rFonts w:ascii="Times New Roman" w:hAnsi="Times New Roman" w:cs="Times New Roman"/>
          <w:bCs/>
        </w:rPr>
        <w:t xml:space="preserve"> </w:t>
      </w:r>
      <w:r w:rsidR="00C43333">
        <w:rPr>
          <w:rFonts w:ascii="Times New Roman" w:hAnsi="Times New Roman" w:cs="Times New Roman"/>
          <w:bCs/>
        </w:rPr>
        <w:t xml:space="preserve">izdaci </w:t>
      </w:r>
      <w:r w:rsidR="00254A2A">
        <w:rPr>
          <w:rFonts w:ascii="Times New Roman" w:hAnsi="Times New Roman" w:cs="Times New Roman"/>
          <w:bCs/>
        </w:rPr>
        <w:t>iznose 385.978 kn</w:t>
      </w:r>
      <w:r w:rsidR="00007163">
        <w:rPr>
          <w:rFonts w:ascii="Times New Roman" w:hAnsi="Times New Roman" w:cs="Times New Roman"/>
          <w:bCs/>
        </w:rPr>
        <w:t xml:space="preserve">, </w:t>
      </w:r>
      <w:r w:rsidR="00C43333">
        <w:rPr>
          <w:rFonts w:ascii="Times New Roman" w:hAnsi="Times New Roman" w:cs="Times New Roman"/>
          <w:bCs/>
        </w:rPr>
        <w:t xml:space="preserve">a čine kupnju </w:t>
      </w:r>
      <w:r w:rsidR="00007163">
        <w:rPr>
          <w:rFonts w:ascii="Times New Roman" w:hAnsi="Times New Roman" w:cs="Times New Roman"/>
          <w:bCs/>
        </w:rPr>
        <w:t>poslovn</w:t>
      </w:r>
      <w:r w:rsidR="00C43333">
        <w:rPr>
          <w:rFonts w:ascii="Times New Roman" w:hAnsi="Times New Roman" w:cs="Times New Roman"/>
          <w:bCs/>
        </w:rPr>
        <w:t>og</w:t>
      </w:r>
      <w:r w:rsidR="00007163">
        <w:rPr>
          <w:rFonts w:ascii="Times New Roman" w:hAnsi="Times New Roman" w:cs="Times New Roman"/>
          <w:bCs/>
        </w:rPr>
        <w:t xml:space="preserve"> ud</w:t>
      </w:r>
      <w:r w:rsidR="00C43333">
        <w:rPr>
          <w:rFonts w:ascii="Times New Roman" w:hAnsi="Times New Roman" w:cs="Times New Roman"/>
          <w:bCs/>
        </w:rPr>
        <w:t>jela</w:t>
      </w:r>
      <w:r w:rsidR="00FE0663">
        <w:rPr>
          <w:rFonts w:ascii="Times New Roman" w:hAnsi="Times New Roman" w:cs="Times New Roman"/>
          <w:bCs/>
        </w:rPr>
        <w:t xml:space="preserve"> </w:t>
      </w:r>
      <w:r w:rsidR="00007163">
        <w:rPr>
          <w:rFonts w:ascii="Times New Roman" w:hAnsi="Times New Roman" w:cs="Times New Roman"/>
          <w:bCs/>
        </w:rPr>
        <w:t xml:space="preserve">u društvu Fratarski d.o.o. </w:t>
      </w:r>
      <w:r w:rsidR="00C43333">
        <w:rPr>
          <w:rFonts w:ascii="Times New Roman" w:hAnsi="Times New Roman" w:cs="Times New Roman"/>
          <w:bCs/>
        </w:rPr>
        <w:t xml:space="preserve">u iznosu od 195.178 kn </w:t>
      </w:r>
      <w:r w:rsidR="00007163">
        <w:rPr>
          <w:rFonts w:ascii="Times New Roman" w:hAnsi="Times New Roman" w:cs="Times New Roman"/>
          <w:bCs/>
        </w:rPr>
        <w:t>čime Grad stječe 100%-</w:t>
      </w:r>
      <w:proofErr w:type="spellStart"/>
      <w:r w:rsidR="00007163">
        <w:rPr>
          <w:rFonts w:ascii="Times New Roman" w:hAnsi="Times New Roman" w:cs="Times New Roman"/>
          <w:bCs/>
        </w:rPr>
        <w:t>tni</w:t>
      </w:r>
      <w:proofErr w:type="spellEnd"/>
      <w:r w:rsidR="00007163">
        <w:rPr>
          <w:rFonts w:ascii="Times New Roman" w:hAnsi="Times New Roman" w:cs="Times New Roman"/>
          <w:bCs/>
        </w:rPr>
        <w:t xml:space="preserve"> udio</w:t>
      </w:r>
      <w:r w:rsidR="00FE0663">
        <w:rPr>
          <w:rFonts w:ascii="Times New Roman" w:hAnsi="Times New Roman" w:cs="Times New Roman"/>
          <w:bCs/>
        </w:rPr>
        <w:t xml:space="preserve"> </w:t>
      </w:r>
      <w:r w:rsidR="00D11D53">
        <w:rPr>
          <w:rFonts w:ascii="Times New Roman" w:hAnsi="Times New Roman" w:cs="Times New Roman"/>
          <w:bCs/>
        </w:rPr>
        <w:t xml:space="preserve">u </w:t>
      </w:r>
      <w:r w:rsidR="00FE0663">
        <w:rPr>
          <w:rFonts w:ascii="Times New Roman" w:hAnsi="Times New Roman" w:cs="Times New Roman"/>
          <w:bCs/>
        </w:rPr>
        <w:t>vlasništvu</w:t>
      </w:r>
      <w:r w:rsidR="00C43333">
        <w:rPr>
          <w:rFonts w:ascii="Times New Roman" w:hAnsi="Times New Roman" w:cs="Times New Roman"/>
          <w:bCs/>
        </w:rPr>
        <w:t xml:space="preserve">, </w:t>
      </w:r>
      <w:r w:rsidR="00007163">
        <w:rPr>
          <w:rFonts w:ascii="Times New Roman" w:hAnsi="Times New Roman" w:cs="Times New Roman"/>
          <w:bCs/>
        </w:rPr>
        <w:t>povećanje poslovnog udjela</w:t>
      </w:r>
      <w:r w:rsidR="00FE0663">
        <w:rPr>
          <w:rFonts w:ascii="Times New Roman" w:hAnsi="Times New Roman" w:cs="Times New Roman"/>
          <w:bCs/>
        </w:rPr>
        <w:t xml:space="preserve"> (dokapitalizacija)</w:t>
      </w:r>
      <w:r w:rsidR="00007163">
        <w:rPr>
          <w:rFonts w:ascii="Times New Roman" w:hAnsi="Times New Roman" w:cs="Times New Roman"/>
          <w:bCs/>
        </w:rPr>
        <w:t xml:space="preserve"> u društvu Fratarski d.o.o. u iznosu od 180.000 kn te kupnj</w:t>
      </w:r>
      <w:r w:rsidR="00C43333">
        <w:rPr>
          <w:rFonts w:ascii="Times New Roman" w:hAnsi="Times New Roman" w:cs="Times New Roman"/>
          <w:bCs/>
        </w:rPr>
        <w:t>u 12.000</w:t>
      </w:r>
      <w:r w:rsidR="00007163">
        <w:rPr>
          <w:rFonts w:ascii="Times New Roman" w:hAnsi="Times New Roman" w:cs="Times New Roman"/>
          <w:bCs/>
        </w:rPr>
        <w:t xml:space="preserve"> dionica društva u stečaju u iznosu od 10.800 kn</w:t>
      </w:r>
      <w:r w:rsidR="00C43333">
        <w:rPr>
          <w:rFonts w:ascii="Times New Roman" w:hAnsi="Times New Roman" w:cs="Times New Roman"/>
          <w:bCs/>
        </w:rPr>
        <w:t>.</w:t>
      </w:r>
    </w:p>
    <w:p w14:paraId="6EB2B322" w14:textId="77777777" w:rsidR="00C43333" w:rsidRDefault="00C43333" w:rsidP="00C43333">
      <w:pPr>
        <w:pStyle w:val="Style20"/>
        <w:widowControl/>
        <w:spacing w:line="276" w:lineRule="auto"/>
        <w:rPr>
          <w:rFonts w:ascii="Times New Roman" w:hAnsi="Times New Roman" w:cs="Times New Roman"/>
          <w:b/>
          <w:highlight w:val="yellow"/>
        </w:rPr>
      </w:pPr>
    </w:p>
    <w:p w14:paraId="455B9FAC" w14:textId="0B05E691" w:rsidR="00C43333" w:rsidRDefault="00C43333" w:rsidP="00C43333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1D53">
        <w:rPr>
          <w:rFonts w:ascii="Times New Roman" w:hAnsi="Times New Roman" w:cs="Times New Roman"/>
          <w:b/>
        </w:rPr>
        <w:t>BILJEŠKA br. 5</w:t>
      </w:r>
      <w:r w:rsidR="006F5791">
        <w:rPr>
          <w:rFonts w:ascii="Times New Roman" w:hAnsi="Times New Roman" w:cs="Times New Roman"/>
          <w:b/>
        </w:rPr>
        <w:t>3</w:t>
      </w:r>
    </w:p>
    <w:p w14:paraId="67B60C96" w14:textId="2ABB5608" w:rsidR="00174DBB" w:rsidRPr="00526AD1" w:rsidRDefault="00D013EE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Otplata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glavnice primljenih kredita od tuzemnih kreditnih institucija izvan javnog sektora </w:t>
      </w:r>
      <w:r w:rsidR="007616C2" w:rsidRPr="00526AD1">
        <w:rPr>
          <w:rFonts w:ascii="Times New Roman" w:hAnsi="Times New Roman" w:cs="Times New Roman"/>
          <w:sz w:val="24"/>
          <w:szCs w:val="24"/>
        </w:rPr>
        <w:t>(AOP59</w:t>
      </w:r>
      <w:r w:rsidR="006253F9" w:rsidRPr="00526AD1">
        <w:rPr>
          <w:rFonts w:ascii="Times New Roman" w:hAnsi="Times New Roman" w:cs="Times New Roman"/>
          <w:sz w:val="24"/>
          <w:szCs w:val="24"/>
        </w:rPr>
        <w:t>6</w:t>
      </w:r>
      <w:r w:rsidR="007616C2" w:rsidRPr="00526AD1">
        <w:rPr>
          <w:rFonts w:ascii="Times New Roman" w:hAnsi="Times New Roman" w:cs="Times New Roman"/>
          <w:sz w:val="24"/>
          <w:szCs w:val="24"/>
        </w:rPr>
        <w:t>)</w:t>
      </w:r>
      <w:r w:rsidRPr="00526AD1">
        <w:rPr>
          <w:rFonts w:ascii="Times New Roman" w:hAnsi="Times New Roman" w:cs="Times New Roman"/>
          <w:sz w:val="24"/>
          <w:szCs w:val="24"/>
        </w:rPr>
        <w:t xml:space="preserve"> - iznosi </w:t>
      </w:r>
      <w:r w:rsidR="00F80E5B">
        <w:rPr>
          <w:rFonts w:ascii="Times New Roman" w:hAnsi="Times New Roman" w:cs="Times New Roman"/>
          <w:sz w:val="24"/>
          <w:szCs w:val="24"/>
        </w:rPr>
        <w:t>3.777.796</w:t>
      </w:r>
      <w:r w:rsidR="005236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kn, a </w:t>
      </w:r>
      <w:r w:rsidR="00174DBB" w:rsidRPr="00526AD1">
        <w:rPr>
          <w:rFonts w:ascii="Times New Roman" w:hAnsi="Times New Roman" w:cs="Times New Roman"/>
          <w:sz w:val="24"/>
          <w:szCs w:val="24"/>
        </w:rPr>
        <w:t>čin</w:t>
      </w:r>
      <w:r w:rsidRPr="00526AD1">
        <w:rPr>
          <w:rFonts w:ascii="Times New Roman" w:hAnsi="Times New Roman" w:cs="Times New Roman"/>
          <w:sz w:val="24"/>
          <w:szCs w:val="24"/>
        </w:rPr>
        <w:t>i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otplatu glavnice dugoročnih kredita za izgradnju OŠ Veli Vrh I faza u iznosu od </w:t>
      </w:r>
      <w:r w:rsidR="006253F9" w:rsidRPr="00526AD1">
        <w:rPr>
          <w:rFonts w:ascii="Times New Roman" w:hAnsi="Times New Roman" w:cs="Times New Roman"/>
          <w:sz w:val="24"/>
          <w:szCs w:val="24"/>
        </w:rPr>
        <w:t>1</w:t>
      </w:r>
      <w:r w:rsidR="00884BBB" w:rsidRPr="00526AD1">
        <w:rPr>
          <w:rFonts w:ascii="Times New Roman" w:hAnsi="Times New Roman" w:cs="Times New Roman"/>
          <w:sz w:val="24"/>
          <w:szCs w:val="24"/>
        </w:rPr>
        <w:t>.</w:t>
      </w:r>
      <w:r w:rsidR="00F80E5B">
        <w:rPr>
          <w:rFonts w:ascii="Times New Roman" w:hAnsi="Times New Roman" w:cs="Times New Roman"/>
          <w:sz w:val="24"/>
          <w:szCs w:val="24"/>
        </w:rPr>
        <w:t xml:space="preserve">705.919 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kn i II faza u iznosu od </w:t>
      </w:r>
      <w:r w:rsidR="005236D1">
        <w:rPr>
          <w:rFonts w:ascii="Times New Roman" w:hAnsi="Times New Roman" w:cs="Times New Roman"/>
          <w:sz w:val="24"/>
          <w:szCs w:val="24"/>
        </w:rPr>
        <w:t>2.</w:t>
      </w:r>
      <w:r w:rsidR="00F80E5B">
        <w:rPr>
          <w:rFonts w:ascii="Times New Roman" w:hAnsi="Times New Roman" w:cs="Times New Roman"/>
          <w:sz w:val="24"/>
          <w:szCs w:val="24"/>
        </w:rPr>
        <w:t>071.877</w:t>
      </w:r>
      <w:r w:rsidR="006253F9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174DBB" w:rsidRPr="00526AD1">
        <w:rPr>
          <w:rFonts w:ascii="Times New Roman" w:hAnsi="Times New Roman" w:cs="Times New Roman"/>
          <w:sz w:val="24"/>
          <w:szCs w:val="24"/>
        </w:rPr>
        <w:t>kn.</w:t>
      </w:r>
    </w:p>
    <w:p w14:paraId="4E0DBE0B" w14:textId="77777777" w:rsidR="00884BBB" w:rsidRDefault="00884BBB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83729A" w14:textId="2D38EE49" w:rsidR="005C42E5" w:rsidRDefault="005C42E5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1D53">
        <w:rPr>
          <w:rFonts w:ascii="Times New Roman" w:hAnsi="Times New Roman" w:cs="Times New Roman"/>
          <w:b/>
        </w:rPr>
        <w:t xml:space="preserve">BILJEŠKA br. </w:t>
      </w:r>
      <w:r w:rsidR="00F80E5B" w:rsidRPr="00D11D53">
        <w:rPr>
          <w:rFonts w:ascii="Times New Roman" w:hAnsi="Times New Roman" w:cs="Times New Roman"/>
          <w:b/>
        </w:rPr>
        <w:t>5</w:t>
      </w:r>
      <w:r w:rsidR="006F5791">
        <w:rPr>
          <w:rFonts w:ascii="Times New Roman" w:hAnsi="Times New Roman" w:cs="Times New Roman"/>
          <w:b/>
        </w:rPr>
        <w:t>4</w:t>
      </w:r>
    </w:p>
    <w:p w14:paraId="458D7A01" w14:textId="77777777" w:rsidR="006E6931" w:rsidRPr="00526AD1" w:rsidRDefault="00884BBB" w:rsidP="00D142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Otplata glavnice primljenih</w:t>
      </w:r>
      <w:r w:rsidR="005C42E5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zajmova od tuzemnih trgovačkih društava izvan javnog sektora (AOP603) </w:t>
      </w:r>
      <w:r w:rsidR="00D1426A">
        <w:rPr>
          <w:rFonts w:ascii="Times New Roman" w:hAnsi="Times New Roman" w:cs="Times New Roman"/>
          <w:sz w:val="24"/>
          <w:szCs w:val="24"/>
        </w:rPr>
        <w:t xml:space="preserve">- </w:t>
      </w:r>
      <w:r w:rsidRPr="00526AD1">
        <w:rPr>
          <w:rFonts w:ascii="Times New Roman" w:hAnsi="Times New Roman" w:cs="Times New Roman"/>
          <w:sz w:val="24"/>
          <w:szCs w:val="24"/>
        </w:rPr>
        <w:t>iznosi 2.650.000 kn, a čini otplatu po zaduženju</w:t>
      </w:r>
      <w:r w:rsidR="005C42E5">
        <w:rPr>
          <w:rFonts w:ascii="Times New Roman" w:hAnsi="Times New Roman" w:cs="Times New Roman"/>
          <w:sz w:val="24"/>
          <w:szCs w:val="24"/>
        </w:rPr>
        <w:t xml:space="preserve"> iz </w:t>
      </w:r>
      <w:r w:rsidR="00685BE8">
        <w:rPr>
          <w:rFonts w:ascii="Times New Roman" w:hAnsi="Times New Roman" w:cs="Times New Roman"/>
          <w:sz w:val="24"/>
          <w:szCs w:val="24"/>
        </w:rPr>
        <w:t>201</w:t>
      </w:r>
      <w:r w:rsidR="005236D1">
        <w:rPr>
          <w:rFonts w:ascii="Times New Roman" w:hAnsi="Times New Roman" w:cs="Times New Roman"/>
          <w:sz w:val="24"/>
          <w:szCs w:val="24"/>
        </w:rPr>
        <w:t>7</w:t>
      </w:r>
      <w:r w:rsidR="00685BE8">
        <w:rPr>
          <w:rFonts w:ascii="Times New Roman" w:hAnsi="Times New Roman" w:cs="Times New Roman"/>
          <w:sz w:val="24"/>
          <w:szCs w:val="24"/>
        </w:rPr>
        <w:t>.</w:t>
      </w:r>
      <w:r w:rsidR="005C42E5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 za </w:t>
      </w:r>
      <w:r w:rsidR="0035527A">
        <w:rPr>
          <w:rFonts w:ascii="Times New Roman" w:hAnsi="Times New Roman" w:cs="Times New Roman"/>
          <w:sz w:val="24"/>
          <w:szCs w:val="24"/>
        </w:rPr>
        <w:t xml:space="preserve">dobiveni </w:t>
      </w:r>
      <w:r w:rsidRPr="00526AD1">
        <w:rPr>
          <w:rFonts w:ascii="Times New Roman" w:hAnsi="Times New Roman" w:cs="Times New Roman"/>
          <w:sz w:val="24"/>
          <w:szCs w:val="24"/>
        </w:rPr>
        <w:t xml:space="preserve">financijski zajam za financiranje izgradnje kružnog toka uz prateću komunalnu infrastrukturu na cesti Prekomorskih brigada, a temeljem Sporazuma o kreditiranju izgradnje kružnog toka sklopljenog između Grada Pule i </w:t>
      </w:r>
      <w:r w:rsidR="000D3B42">
        <w:rPr>
          <w:rFonts w:ascii="Times New Roman" w:hAnsi="Times New Roman" w:cs="Times New Roman"/>
          <w:sz w:val="24"/>
          <w:szCs w:val="24"/>
        </w:rPr>
        <w:t>trgovačkog društva.</w:t>
      </w:r>
    </w:p>
    <w:p w14:paraId="5F8E5ABE" w14:textId="77777777" w:rsidR="006E6931" w:rsidRPr="00526AD1" w:rsidRDefault="006E6931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2D9453" w14:textId="121349EA" w:rsidR="00F6411B" w:rsidRDefault="00F6411B" w:rsidP="00F6411B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1D53">
        <w:rPr>
          <w:rFonts w:ascii="Times New Roman" w:hAnsi="Times New Roman" w:cs="Times New Roman"/>
          <w:b/>
        </w:rPr>
        <w:t>BILJEŠKA br. 5</w:t>
      </w:r>
      <w:r w:rsidR="006F5791">
        <w:rPr>
          <w:rFonts w:ascii="Times New Roman" w:hAnsi="Times New Roman" w:cs="Times New Roman"/>
          <w:b/>
        </w:rPr>
        <w:t>5</w:t>
      </w:r>
    </w:p>
    <w:p w14:paraId="50F4020B" w14:textId="2F6CACCA" w:rsidR="004D3C94" w:rsidRPr="00F6411B" w:rsidRDefault="004D3C94" w:rsidP="00F6411B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4D3C94">
        <w:rPr>
          <w:rFonts w:ascii="Times New Roman" w:hAnsi="Times New Roman" w:cs="Times New Roman"/>
          <w:bCs/>
        </w:rPr>
        <w:t>Višak prihoda i primitaka</w:t>
      </w:r>
      <w:r>
        <w:rPr>
          <w:rFonts w:ascii="Times New Roman" w:hAnsi="Times New Roman" w:cs="Times New Roman"/>
          <w:bCs/>
        </w:rPr>
        <w:t>-</w:t>
      </w:r>
      <w:r w:rsidRPr="004D3C94">
        <w:rPr>
          <w:rFonts w:ascii="Times New Roman" w:hAnsi="Times New Roman" w:cs="Times New Roman"/>
          <w:bCs/>
        </w:rPr>
        <w:t xml:space="preserve">preneseni (AOP633) </w:t>
      </w:r>
      <w:r w:rsidR="00D11D53">
        <w:rPr>
          <w:rFonts w:ascii="Times New Roman" w:hAnsi="Times New Roman" w:cs="Times New Roman"/>
          <w:bCs/>
        </w:rPr>
        <w:t>-</w:t>
      </w:r>
      <w:r w:rsidRPr="004D3C94">
        <w:rPr>
          <w:rFonts w:ascii="Times New Roman" w:hAnsi="Times New Roman" w:cs="Times New Roman"/>
          <w:bCs/>
        </w:rPr>
        <w:t xml:space="preserve"> iznosi</w:t>
      </w:r>
      <w:r>
        <w:rPr>
          <w:rFonts w:ascii="Times New Roman" w:hAnsi="Times New Roman" w:cs="Times New Roman"/>
          <w:bCs/>
        </w:rPr>
        <w:t xml:space="preserve"> </w:t>
      </w:r>
      <w:r w:rsidRPr="004D3C94">
        <w:rPr>
          <w:rFonts w:ascii="Times New Roman" w:hAnsi="Times New Roman" w:cs="Times New Roman"/>
          <w:bCs/>
        </w:rPr>
        <w:t xml:space="preserve">41.767.885 kn </w:t>
      </w:r>
      <w:r>
        <w:rPr>
          <w:rFonts w:ascii="Times New Roman" w:hAnsi="Times New Roman" w:cs="Times New Roman"/>
          <w:bCs/>
        </w:rPr>
        <w:t>te</w:t>
      </w:r>
      <w:r w:rsidRPr="004D3C94">
        <w:rPr>
          <w:rFonts w:ascii="Times New Roman" w:hAnsi="Times New Roman" w:cs="Times New Roman"/>
          <w:bCs/>
        </w:rPr>
        <w:t xml:space="preserve"> razlik</w:t>
      </w:r>
      <w:r>
        <w:rPr>
          <w:rFonts w:ascii="Times New Roman" w:hAnsi="Times New Roman" w:cs="Times New Roman"/>
          <w:bCs/>
        </w:rPr>
        <w:t>u</w:t>
      </w:r>
      <w:r w:rsidRPr="004D3C94">
        <w:rPr>
          <w:rFonts w:ascii="Times New Roman" w:hAnsi="Times New Roman" w:cs="Times New Roman"/>
          <w:bCs/>
        </w:rPr>
        <w:t xml:space="preserve"> u odnosu na višak prihoda i primitaka raspoloživ u sljedećem razdoblju (AOP635) iz 2019. godine</w:t>
      </w:r>
      <w:r>
        <w:rPr>
          <w:rFonts w:ascii="Times New Roman" w:hAnsi="Times New Roman" w:cs="Times New Roman"/>
          <w:bCs/>
        </w:rPr>
        <w:t xml:space="preserve"> čini 50.000 kn odnosno korekcija rezultata zbog izvršenog povrata temeljem Ugovora o sufinanciranju projekta Izrada studij održivosti razvoja turizma na području Grada Pule.</w:t>
      </w:r>
    </w:p>
    <w:p w14:paraId="747B7937" w14:textId="2AA03747" w:rsidR="00853D5A" w:rsidRDefault="008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573D6" w14:textId="77777777" w:rsidR="00F6411B" w:rsidRDefault="00F6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FAB52" w14:textId="77777777" w:rsidR="00D153E2" w:rsidRPr="00526AD1" w:rsidRDefault="00D153E2" w:rsidP="00D44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24">
        <w:rPr>
          <w:rFonts w:ascii="Times New Roman" w:hAnsi="Times New Roman" w:cs="Times New Roman"/>
          <w:b/>
          <w:sz w:val="24"/>
          <w:szCs w:val="24"/>
        </w:rPr>
        <w:t>Obrazac RAS</w:t>
      </w:r>
      <w:r w:rsidR="003A7E83" w:rsidRPr="00D44E24">
        <w:rPr>
          <w:rFonts w:ascii="Times New Roman" w:hAnsi="Times New Roman" w:cs="Times New Roman"/>
          <w:b/>
          <w:sz w:val="24"/>
          <w:szCs w:val="24"/>
        </w:rPr>
        <w:t>-</w:t>
      </w:r>
      <w:r w:rsidRPr="00D44E24">
        <w:rPr>
          <w:rFonts w:ascii="Times New Roman" w:hAnsi="Times New Roman" w:cs="Times New Roman"/>
          <w:b/>
          <w:sz w:val="24"/>
          <w:szCs w:val="24"/>
        </w:rPr>
        <w:t xml:space="preserve">funkcijski </w:t>
      </w:r>
      <w:r w:rsidR="003A7E83" w:rsidRPr="00D44E24">
        <w:rPr>
          <w:rFonts w:ascii="Times New Roman" w:hAnsi="Times New Roman" w:cs="Times New Roman"/>
          <w:b/>
          <w:sz w:val="24"/>
          <w:szCs w:val="24"/>
        </w:rPr>
        <w:t>-</w:t>
      </w:r>
      <w:r w:rsidRPr="00D44E24">
        <w:rPr>
          <w:rFonts w:ascii="Times New Roman" w:hAnsi="Times New Roman" w:cs="Times New Roman"/>
          <w:b/>
          <w:sz w:val="24"/>
          <w:szCs w:val="24"/>
        </w:rPr>
        <w:t xml:space="preserve"> Izvještaj rashodima prema funkcijskoj klasifikaciji</w:t>
      </w:r>
    </w:p>
    <w:p w14:paraId="24EAC704" w14:textId="76E2F3FE" w:rsidR="00262144" w:rsidRDefault="00D153E2" w:rsidP="00262144">
      <w:pPr>
        <w:pStyle w:val="Style20"/>
        <w:widowControl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>BILJEŠKA br.</w:t>
      </w:r>
      <w:r w:rsidR="004D1D02" w:rsidRPr="00D44E24">
        <w:rPr>
          <w:rFonts w:ascii="Times New Roman" w:hAnsi="Times New Roman" w:cs="Times New Roman"/>
          <w:b/>
        </w:rPr>
        <w:t xml:space="preserve"> </w:t>
      </w:r>
      <w:r w:rsidR="004D3C94" w:rsidRPr="00D44E24">
        <w:rPr>
          <w:rFonts w:ascii="Times New Roman" w:hAnsi="Times New Roman" w:cs="Times New Roman"/>
          <w:b/>
        </w:rPr>
        <w:t>5</w:t>
      </w:r>
      <w:r w:rsidR="006F5791">
        <w:rPr>
          <w:rFonts w:ascii="Times New Roman" w:hAnsi="Times New Roman" w:cs="Times New Roman"/>
          <w:b/>
        </w:rPr>
        <w:t>6</w:t>
      </w:r>
    </w:p>
    <w:p w14:paraId="521785DF" w14:textId="5DE1AEDB" w:rsidR="00D153E2" w:rsidRDefault="00D153E2" w:rsidP="00262144">
      <w:pPr>
        <w:pStyle w:val="Style20"/>
        <w:widowControl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Izvještaj prikazuje ukupne rashode poslovanja (A</w:t>
      </w:r>
      <w:r w:rsidR="00887D17" w:rsidRPr="00526AD1">
        <w:rPr>
          <w:rFonts w:ascii="Times New Roman" w:hAnsi="Times New Roman" w:cs="Times New Roman"/>
        </w:rPr>
        <w:t>OP</w:t>
      </w:r>
      <w:r w:rsidRPr="00526AD1">
        <w:rPr>
          <w:rFonts w:ascii="Times New Roman" w:hAnsi="Times New Roman" w:cs="Times New Roman"/>
        </w:rPr>
        <w:t>14</w:t>
      </w:r>
      <w:r w:rsidR="003215AE">
        <w:rPr>
          <w:rFonts w:ascii="Times New Roman" w:hAnsi="Times New Roman" w:cs="Times New Roman"/>
        </w:rPr>
        <w:t>8</w:t>
      </w:r>
      <w:r w:rsidRPr="00526AD1">
        <w:rPr>
          <w:rFonts w:ascii="Times New Roman" w:hAnsi="Times New Roman" w:cs="Times New Roman"/>
        </w:rPr>
        <w:t>) umanjene za Prijenose proračunskim korisnicima iz nadležnog proračuna za financiranje redovne djelatnosti (AOP234) i ukupne rashode za naba</w:t>
      </w:r>
      <w:r w:rsidR="003215AE">
        <w:rPr>
          <w:rFonts w:ascii="Times New Roman" w:hAnsi="Times New Roman" w:cs="Times New Roman"/>
        </w:rPr>
        <w:t>vu nefinancijske imovine (AOP341</w:t>
      </w:r>
      <w:r w:rsidRPr="00526AD1">
        <w:rPr>
          <w:rFonts w:ascii="Times New Roman" w:hAnsi="Times New Roman" w:cs="Times New Roman"/>
        </w:rPr>
        <w:t>) iz obrasca PR</w:t>
      </w:r>
      <w:r w:rsidR="003A7E83" w:rsidRPr="00526AD1">
        <w:rPr>
          <w:rFonts w:ascii="Times New Roman" w:hAnsi="Times New Roman" w:cs="Times New Roman"/>
        </w:rPr>
        <w:t>-</w:t>
      </w:r>
      <w:r w:rsidRPr="00526AD1">
        <w:rPr>
          <w:rFonts w:ascii="Times New Roman" w:hAnsi="Times New Roman" w:cs="Times New Roman"/>
        </w:rPr>
        <w:t>RAS</w:t>
      </w:r>
      <w:r w:rsidR="00262144">
        <w:rPr>
          <w:rFonts w:ascii="Times New Roman" w:hAnsi="Times New Roman" w:cs="Times New Roman"/>
        </w:rPr>
        <w:t>,</w:t>
      </w:r>
      <w:r w:rsidRPr="00526AD1">
        <w:rPr>
          <w:rFonts w:ascii="Times New Roman" w:hAnsi="Times New Roman" w:cs="Times New Roman"/>
        </w:rPr>
        <w:t xml:space="preserve"> razvrstane prema funkcijskoj klasifikaciji.</w:t>
      </w:r>
    </w:p>
    <w:p w14:paraId="1EDB2172" w14:textId="42DA7E1F" w:rsidR="00262144" w:rsidRDefault="00262144" w:rsidP="00262144">
      <w:pPr>
        <w:pStyle w:val="Style20"/>
        <w:widowControl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lastRenderedPageBreak/>
        <w:t>BILJEŠKA br</w:t>
      </w:r>
      <w:r w:rsidR="004D3C94" w:rsidRPr="00D44E24">
        <w:rPr>
          <w:rFonts w:ascii="Times New Roman" w:hAnsi="Times New Roman" w:cs="Times New Roman"/>
          <w:b/>
        </w:rPr>
        <w:t>. 5</w:t>
      </w:r>
      <w:r w:rsidR="006F5791">
        <w:rPr>
          <w:rFonts w:ascii="Times New Roman" w:hAnsi="Times New Roman" w:cs="Times New Roman"/>
          <w:b/>
        </w:rPr>
        <w:t>7</w:t>
      </w:r>
    </w:p>
    <w:p w14:paraId="0E4CA2A4" w14:textId="6981C3D1" w:rsidR="00262144" w:rsidRPr="00262144" w:rsidRDefault="00262144" w:rsidP="00262144">
      <w:pPr>
        <w:pStyle w:val="Style20"/>
        <w:widowControl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Cs/>
        </w:rPr>
      </w:pPr>
      <w:r w:rsidRPr="00262144">
        <w:rPr>
          <w:rFonts w:ascii="Times New Roman" w:hAnsi="Times New Roman" w:cs="Times New Roman"/>
          <w:bCs/>
        </w:rPr>
        <w:t>Ostale opće usluge (AOP012)</w:t>
      </w:r>
      <w:r>
        <w:rPr>
          <w:rFonts w:ascii="Times New Roman" w:hAnsi="Times New Roman" w:cs="Times New Roman"/>
          <w:bCs/>
        </w:rPr>
        <w:t xml:space="preserve">  - iznose 1.371.457 kn, odnosno uvećane su za 13.730 kn - troškove Mjesnih odbora koji zbog veze „izvor korisnik“ nisu iskazani u razini 22 (bruto bilanci) te ih je bilo potrebno ručno dodati kako bi podatak bio ispravno iskazan.</w:t>
      </w:r>
    </w:p>
    <w:p w14:paraId="1C636512" w14:textId="77777777" w:rsidR="00F6411B" w:rsidRPr="00526AD1" w:rsidRDefault="00F6411B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AA4A3" w14:textId="77777777" w:rsidR="00D153E2" w:rsidRPr="00526AD1" w:rsidRDefault="00D153E2" w:rsidP="00D44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24">
        <w:rPr>
          <w:rFonts w:ascii="Times New Roman" w:hAnsi="Times New Roman" w:cs="Times New Roman"/>
          <w:b/>
          <w:sz w:val="24"/>
          <w:szCs w:val="24"/>
        </w:rPr>
        <w:t>Obrazac P</w:t>
      </w:r>
      <w:r w:rsidR="003A7E83" w:rsidRPr="00D44E24">
        <w:rPr>
          <w:rFonts w:ascii="Times New Roman" w:hAnsi="Times New Roman" w:cs="Times New Roman"/>
          <w:b/>
          <w:sz w:val="24"/>
          <w:szCs w:val="24"/>
        </w:rPr>
        <w:t>-</w:t>
      </w:r>
      <w:r w:rsidRPr="00D44E24">
        <w:rPr>
          <w:rFonts w:ascii="Times New Roman" w:hAnsi="Times New Roman" w:cs="Times New Roman"/>
          <w:b/>
          <w:sz w:val="24"/>
          <w:szCs w:val="24"/>
        </w:rPr>
        <w:t xml:space="preserve">VRIO </w:t>
      </w:r>
      <w:r w:rsidR="003A7E83" w:rsidRPr="00D44E24">
        <w:rPr>
          <w:rFonts w:ascii="Times New Roman" w:hAnsi="Times New Roman" w:cs="Times New Roman"/>
          <w:b/>
          <w:sz w:val="24"/>
          <w:szCs w:val="24"/>
        </w:rPr>
        <w:t>-</w:t>
      </w:r>
      <w:r w:rsidRPr="00D44E24">
        <w:rPr>
          <w:rFonts w:ascii="Times New Roman" w:hAnsi="Times New Roman" w:cs="Times New Roman"/>
          <w:b/>
          <w:sz w:val="24"/>
          <w:szCs w:val="24"/>
        </w:rPr>
        <w:t xml:space="preserve">  Izvještaj o promjenama u vrijednosti i obujmu imovine i obveza</w:t>
      </w:r>
    </w:p>
    <w:p w14:paraId="0EFAF3C9" w14:textId="590B8BA1" w:rsidR="00E1746C" w:rsidRDefault="00B70C4F" w:rsidP="005F1326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PROMJENE U </w:t>
      </w:r>
      <w:r w:rsidRPr="0082098F">
        <w:rPr>
          <w:rFonts w:ascii="Times New Roman" w:hAnsi="Times New Roman" w:cs="Times New Roman"/>
        </w:rPr>
        <w:t>VRIJEDNOSTI IMOVINE</w:t>
      </w:r>
    </w:p>
    <w:p w14:paraId="4C670F14" w14:textId="56129C8D" w:rsidR="00BE5B55" w:rsidRDefault="00BE5B5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4D3C94" w:rsidRPr="00D44E24">
        <w:rPr>
          <w:rFonts w:ascii="Times New Roman" w:hAnsi="Times New Roman" w:cs="Times New Roman"/>
          <w:b/>
        </w:rPr>
        <w:t>5</w:t>
      </w:r>
      <w:r w:rsidR="006F5791">
        <w:rPr>
          <w:rFonts w:ascii="Times New Roman" w:hAnsi="Times New Roman" w:cs="Times New Roman"/>
          <w:b/>
        </w:rPr>
        <w:t>8</w:t>
      </w:r>
      <w:r w:rsidR="00D746BB">
        <w:rPr>
          <w:rFonts w:ascii="Times New Roman" w:hAnsi="Times New Roman" w:cs="Times New Roman"/>
          <w:b/>
        </w:rPr>
        <w:t xml:space="preserve">  </w:t>
      </w:r>
    </w:p>
    <w:p w14:paraId="13537F96" w14:textId="273B60AB" w:rsidR="0080254F" w:rsidRPr="0082098F" w:rsidRDefault="000530DC" w:rsidP="00E1746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98F">
        <w:rPr>
          <w:rFonts w:ascii="Times New Roman" w:hAnsi="Times New Roman" w:cs="Times New Roman"/>
          <w:sz w:val="24"/>
          <w:szCs w:val="24"/>
        </w:rPr>
        <w:t>N</w:t>
      </w:r>
      <w:r w:rsidR="00D9020D" w:rsidRPr="0082098F">
        <w:rPr>
          <w:rFonts w:ascii="Times New Roman" w:hAnsi="Times New Roman" w:cs="Times New Roman"/>
          <w:sz w:val="24"/>
          <w:szCs w:val="24"/>
        </w:rPr>
        <w:t>eproizveden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9020D" w:rsidRPr="0082098F">
        <w:rPr>
          <w:rFonts w:ascii="Times New Roman" w:hAnsi="Times New Roman" w:cs="Times New Roman"/>
          <w:sz w:val="24"/>
          <w:szCs w:val="24"/>
        </w:rPr>
        <w:t xml:space="preserve"> dugotrajn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 imovin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(AOP004) </w:t>
      </w:r>
      <w:r w:rsidR="00BC4083">
        <w:rPr>
          <w:rFonts w:ascii="Times New Roman" w:hAnsi="Times New Roman" w:cs="Times New Roman"/>
          <w:sz w:val="24"/>
          <w:szCs w:val="24"/>
        </w:rPr>
        <w:t>–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BC4083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za </w:t>
      </w:r>
      <w:r w:rsidR="00BC4083">
        <w:rPr>
          <w:rFonts w:ascii="Times New Roman" w:hAnsi="Times New Roman" w:cs="Times New Roman"/>
          <w:sz w:val="24"/>
          <w:szCs w:val="24"/>
        </w:rPr>
        <w:t>461.931.688</w:t>
      </w:r>
      <w:r w:rsidR="00100FC0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D9020D" w:rsidRPr="0082098F">
        <w:rPr>
          <w:rFonts w:ascii="Times New Roman" w:hAnsi="Times New Roman" w:cs="Times New Roman"/>
          <w:sz w:val="24"/>
          <w:szCs w:val="24"/>
        </w:rPr>
        <w:t>kn</w:t>
      </w:r>
      <w:r w:rsidR="00BC4083">
        <w:rPr>
          <w:rFonts w:ascii="Times New Roman" w:hAnsi="Times New Roman" w:cs="Times New Roman"/>
          <w:sz w:val="24"/>
          <w:szCs w:val="24"/>
        </w:rPr>
        <w:t>, smanjenje za 769.618.346.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2602F" w14:textId="1CA25E66" w:rsidR="0080254F" w:rsidRPr="0082098F" w:rsidRDefault="00BC4083" w:rsidP="00E1746C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povećanje odnosno smanjenja</w:t>
      </w:r>
      <w:r w:rsidR="0080254F" w:rsidRPr="0082098F">
        <w:rPr>
          <w:rFonts w:ascii="Times New Roman" w:hAnsi="Times New Roman" w:cs="Times New Roman"/>
          <w:sz w:val="24"/>
          <w:szCs w:val="24"/>
        </w:rPr>
        <w:t xml:space="preserve"> u vrijednosti zemljišta, kao i u samoj površini dolazi zbog usklađenja podataka koje se vrši direktno u Registru nekretnina,  odnosno unose se nove jedinice imovine, vrši se </w:t>
      </w:r>
      <w:r w:rsidR="0080254F" w:rsidRPr="0082098F">
        <w:rPr>
          <w:rFonts w:ascii="Times New Roman" w:hAnsi="Times New Roman"/>
          <w:sz w:val="24"/>
          <w:szCs w:val="24"/>
        </w:rPr>
        <w:t>pojedinačna procjen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0254F" w:rsidRPr="0082098F">
        <w:rPr>
          <w:rFonts w:ascii="Times New Roman" w:hAnsi="Times New Roman"/>
          <w:sz w:val="24"/>
          <w:szCs w:val="24"/>
        </w:rPr>
        <w:t xml:space="preserve">jedinica imovine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pr</w:t>
      </w:r>
      <w:r w:rsidR="0080254F" w:rsidRPr="0082098F">
        <w:rPr>
          <w:rFonts w:ascii="Times New Roman" w:hAnsi="Times New Roman"/>
          <w:sz w:val="24"/>
          <w:szCs w:val="24"/>
        </w:rPr>
        <w:t>ema stvarnom položaju i namjeni, evidentiraju se promjene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 prema pristiglim završnim rj</w:t>
      </w:r>
      <w:r w:rsidR="0080254F" w:rsidRPr="0082098F">
        <w:rPr>
          <w:rFonts w:ascii="Times New Roman" w:hAnsi="Times New Roman"/>
          <w:sz w:val="24"/>
          <w:szCs w:val="24"/>
        </w:rPr>
        <w:t xml:space="preserve">ešenjima Općinskog suda u Puli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i</w:t>
      </w:r>
      <w:r w:rsidR="0080254F" w:rsidRPr="0082098F">
        <w:rPr>
          <w:rFonts w:ascii="Times New Roman" w:hAnsi="Times New Roman"/>
          <w:sz w:val="24"/>
          <w:szCs w:val="24"/>
        </w:rPr>
        <w:t>/ili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 prvostupanjskim rješenj</w:t>
      </w:r>
      <w:r w:rsidR="0080254F" w:rsidRPr="0082098F">
        <w:rPr>
          <w:rFonts w:ascii="Times New Roman" w:hAnsi="Times New Roman"/>
          <w:sz w:val="24"/>
          <w:szCs w:val="24"/>
        </w:rPr>
        <w:t xml:space="preserve">ima Područnog ureda za katastar,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dopunj</w:t>
      </w:r>
      <w:r w:rsidR="0080254F" w:rsidRPr="0082098F">
        <w:rPr>
          <w:rFonts w:ascii="Times New Roman" w:hAnsi="Times New Roman"/>
          <w:sz w:val="24"/>
          <w:szCs w:val="24"/>
        </w:rPr>
        <w:t>avaju s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e podaci, </w:t>
      </w:r>
      <w:r w:rsidR="0080254F" w:rsidRPr="0082098F">
        <w:rPr>
          <w:rFonts w:ascii="Times New Roman" w:hAnsi="Times New Roman"/>
          <w:sz w:val="24"/>
          <w:szCs w:val="24"/>
        </w:rPr>
        <w:t xml:space="preserve">jedinice imovine se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migrira</w:t>
      </w:r>
      <w:r w:rsidR="0080254F" w:rsidRPr="0082098F">
        <w:rPr>
          <w:rFonts w:ascii="Times New Roman" w:hAnsi="Times New Roman"/>
          <w:sz w:val="24"/>
          <w:szCs w:val="24"/>
        </w:rPr>
        <w:t>ju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54F" w:rsidRPr="0082098F">
        <w:rPr>
          <w:rFonts w:ascii="Times New Roman" w:hAnsi="Times New Roman"/>
          <w:sz w:val="24"/>
          <w:szCs w:val="24"/>
        </w:rPr>
        <w:t>u pripadajuće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0254F" w:rsidRPr="0082098F">
        <w:rPr>
          <w:rFonts w:ascii="Times New Roman" w:eastAsia="Calibri" w:hAnsi="Times New Roman" w:cs="Times New Roman"/>
          <w:sz w:val="24"/>
          <w:szCs w:val="24"/>
        </w:rPr>
        <w:t>podportfelj</w:t>
      </w:r>
      <w:r w:rsidR="0080254F" w:rsidRPr="0082098F">
        <w:rPr>
          <w:rFonts w:ascii="Times New Roman" w:hAnsi="Times New Roman"/>
          <w:sz w:val="24"/>
          <w:szCs w:val="24"/>
        </w:rPr>
        <w:t>e</w:t>
      </w:r>
      <w:proofErr w:type="spellEnd"/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254F" w:rsidRPr="0082098F">
        <w:rPr>
          <w:rFonts w:ascii="Times New Roman" w:hAnsi="Times New Roman"/>
          <w:sz w:val="24"/>
          <w:szCs w:val="24"/>
        </w:rPr>
        <w:t>vrši se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 xml:space="preserve"> unos interne procje</w:t>
      </w:r>
      <w:r w:rsidR="0080254F" w:rsidRPr="0082098F">
        <w:rPr>
          <w:rFonts w:ascii="Times New Roman" w:hAnsi="Times New Roman"/>
          <w:sz w:val="24"/>
          <w:szCs w:val="24"/>
        </w:rPr>
        <w:t xml:space="preserve">ne vrijednosti jedinice imovine, vrši se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unos promjena prema Odlukama o prihvatu ponuda i sklapanju ugovora o kupoprodaji nekretnina sukladno provedenoj promjeni u zemljišnim knjigama</w:t>
      </w:r>
      <w:r w:rsidR="0080254F" w:rsidRPr="0082098F">
        <w:rPr>
          <w:rFonts w:ascii="Times New Roman" w:hAnsi="Times New Roman"/>
          <w:sz w:val="24"/>
          <w:szCs w:val="24"/>
        </w:rPr>
        <w:t xml:space="preserve">, određene jedinice se evidentiraju kao </w:t>
      </w:r>
      <w:r w:rsidR="0080254F" w:rsidRPr="0082098F">
        <w:rPr>
          <w:rFonts w:ascii="Times New Roman" w:eastAsia="Calibri" w:hAnsi="Times New Roman" w:cs="Times New Roman"/>
          <w:sz w:val="24"/>
          <w:szCs w:val="24"/>
        </w:rPr>
        <w:t>neaktivne</w:t>
      </w:r>
      <w:r w:rsidR="0080254F" w:rsidRPr="0082098F">
        <w:rPr>
          <w:rFonts w:ascii="Times New Roman" w:hAnsi="Times New Roman"/>
          <w:sz w:val="24"/>
          <w:szCs w:val="24"/>
        </w:rPr>
        <w:t xml:space="preserve"> i sl.</w:t>
      </w:r>
    </w:p>
    <w:p w14:paraId="7F1433A8" w14:textId="77777777" w:rsidR="00AA672A" w:rsidRDefault="00AA672A" w:rsidP="00BC40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24D1" w14:textId="1CAEF5B0" w:rsidR="00B70C4F" w:rsidRDefault="00B70C4F" w:rsidP="00BC40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</w:t>
      </w:r>
      <w:r w:rsidR="00BC4083" w:rsidRPr="00820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C4083" w:rsidRPr="0082098F">
        <w:rPr>
          <w:rFonts w:ascii="Times New Roman" w:hAnsi="Times New Roman" w:cs="Times New Roman"/>
          <w:sz w:val="24"/>
          <w:szCs w:val="24"/>
        </w:rPr>
        <w:t>OBUJM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4083" w:rsidRPr="0082098F">
        <w:rPr>
          <w:rFonts w:ascii="Times New Roman" w:hAnsi="Times New Roman" w:cs="Times New Roman"/>
          <w:sz w:val="24"/>
          <w:szCs w:val="24"/>
        </w:rPr>
        <w:t xml:space="preserve"> IMOVINE</w:t>
      </w:r>
    </w:p>
    <w:p w14:paraId="4E189CCA" w14:textId="098A42A0" w:rsidR="00B70C4F" w:rsidRDefault="00B70C4F" w:rsidP="00B70C4F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6F5791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 xml:space="preserve">  </w:t>
      </w:r>
    </w:p>
    <w:p w14:paraId="48DA475C" w14:textId="0A820141" w:rsidR="00BC4083" w:rsidRDefault="000530DC" w:rsidP="00BC40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Proizved</w:t>
      </w:r>
      <w:r w:rsidR="00D746BB">
        <w:rPr>
          <w:rFonts w:ascii="Times New Roman" w:hAnsi="Times New Roman" w:cs="Times New Roman"/>
          <w:sz w:val="24"/>
          <w:szCs w:val="24"/>
        </w:rPr>
        <w:t>en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r w:rsidR="00D746BB">
        <w:rPr>
          <w:rFonts w:ascii="Times New Roman" w:hAnsi="Times New Roman" w:cs="Times New Roman"/>
          <w:sz w:val="24"/>
          <w:szCs w:val="24"/>
        </w:rPr>
        <w:t xml:space="preserve"> dugotrajn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r w:rsidR="00D746BB">
        <w:rPr>
          <w:rFonts w:ascii="Times New Roman" w:hAnsi="Times New Roman" w:cs="Times New Roman"/>
          <w:sz w:val="24"/>
          <w:szCs w:val="24"/>
        </w:rPr>
        <w:t xml:space="preserve"> imovin</w:t>
      </w:r>
      <w:r w:rsidR="00BC4083">
        <w:rPr>
          <w:rFonts w:ascii="Times New Roman" w:hAnsi="Times New Roman" w:cs="Times New Roman"/>
          <w:sz w:val="24"/>
          <w:szCs w:val="24"/>
        </w:rPr>
        <w:t>a</w:t>
      </w:r>
      <w:r w:rsidR="00D746BB">
        <w:rPr>
          <w:rFonts w:ascii="Times New Roman" w:hAnsi="Times New Roman" w:cs="Times New Roman"/>
          <w:sz w:val="24"/>
          <w:szCs w:val="24"/>
        </w:rPr>
        <w:t xml:space="preserve"> (AOP021) </w:t>
      </w:r>
      <w:r w:rsidR="00E1746C">
        <w:rPr>
          <w:rFonts w:ascii="Times New Roman" w:hAnsi="Times New Roman" w:cs="Times New Roman"/>
          <w:sz w:val="24"/>
          <w:szCs w:val="24"/>
        </w:rPr>
        <w:t>-</w:t>
      </w:r>
      <w:r w:rsidR="00D746BB">
        <w:rPr>
          <w:rFonts w:ascii="Times New Roman" w:hAnsi="Times New Roman" w:cs="Times New Roman"/>
          <w:sz w:val="24"/>
          <w:szCs w:val="24"/>
        </w:rPr>
        <w:t xml:space="preserve"> evidentira povećanje za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BC4083">
        <w:rPr>
          <w:rFonts w:ascii="Times New Roman" w:hAnsi="Times New Roman" w:cs="Times New Roman"/>
          <w:sz w:val="24"/>
          <w:szCs w:val="24"/>
        </w:rPr>
        <w:t>1.044.003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</w:t>
      </w:r>
      <w:r w:rsidR="00BC4083">
        <w:rPr>
          <w:rFonts w:ascii="Times New Roman" w:hAnsi="Times New Roman" w:cs="Times New Roman"/>
          <w:sz w:val="24"/>
          <w:szCs w:val="24"/>
        </w:rPr>
        <w:t xml:space="preserve"> zbog</w:t>
      </w:r>
      <w:r w:rsidR="00765A2A">
        <w:rPr>
          <w:rFonts w:ascii="Times New Roman" w:hAnsi="Times New Roman" w:cs="Times New Roman"/>
          <w:sz w:val="24"/>
          <w:szCs w:val="24"/>
        </w:rPr>
        <w:t xml:space="preserve"> dobivenih spremnika za odvojeno prikupljanje otpada od Fonda za zaštitu okoliša i energetsku učinkovitost u iznosu od 993.969 kn, te donacije računala Ministarstva prostornog uređenja, graditeljstva i državne imovine u iznosu od 50.034 kn.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0A189" w14:textId="4541CAC1" w:rsidR="00765A2A" w:rsidRDefault="00765A2A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53763D" w14:textId="3A4F4F62" w:rsidR="00B70C4F" w:rsidRDefault="00B70C4F" w:rsidP="00B70C4F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4D3C94" w:rsidRPr="00D44E2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 </w:t>
      </w:r>
    </w:p>
    <w:p w14:paraId="3EEA1AC9" w14:textId="7FC95B85" w:rsidR="00765A2A" w:rsidRDefault="00765A2A" w:rsidP="00765A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Proizved</w:t>
      </w:r>
      <w:r>
        <w:rPr>
          <w:rFonts w:ascii="Times New Roman" w:hAnsi="Times New Roman" w:cs="Times New Roman"/>
          <w:sz w:val="24"/>
          <w:szCs w:val="24"/>
        </w:rPr>
        <w:t xml:space="preserve">ena dugotrajna imovina (AOP021) </w:t>
      </w:r>
      <w:r w:rsidR="00B70C4F">
        <w:rPr>
          <w:rFonts w:ascii="Times New Roman" w:hAnsi="Times New Roman" w:cs="Times New Roman"/>
          <w:sz w:val="24"/>
          <w:szCs w:val="24"/>
        </w:rPr>
        <w:t xml:space="preserve">- </w:t>
      </w:r>
      <w:r w:rsidR="001E552B">
        <w:rPr>
          <w:rFonts w:ascii="Times New Roman" w:hAnsi="Times New Roman" w:cs="Times New Roman"/>
          <w:sz w:val="24"/>
          <w:szCs w:val="24"/>
        </w:rPr>
        <w:t xml:space="preserve">evidentira smanjenje </w:t>
      </w:r>
      <w:r w:rsidRPr="0082098F">
        <w:rPr>
          <w:rFonts w:ascii="Times New Roman" w:hAnsi="Times New Roman" w:cs="Times New Roman"/>
          <w:sz w:val="24"/>
          <w:szCs w:val="24"/>
        </w:rPr>
        <w:t xml:space="preserve">za </w:t>
      </w:r>
      <w:r w:rsidR="001E552B">
        <w:rPr>
          <w:rFonts w:ascii="Times New Roman" w:hAnsi="Times New Roman" w:cs="Times New Roman"/>
          <w:sz w:val="24"/>
          <w:szCs w:val="24"/>
        </w:rPr>
        <w:t>4.300.888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 </w:t>
      </w:r>
      <w:r w:rsidR="001E552B">
        <w:rPr>
          <w:rFonts w:ascii="Times New Roman" w:hAnsi="Times New Roman" w:cs="Times New Roman"/>
          <w:sz w:val="24"/>
          <w:szCs w:val="24"/>
        </w:rPr>
        <w:t>zbog prijenosa investicija</w:t>
      </w:r>
      <w:r w:rsidR="00323937">
        <w:rPr>
          <w:rFonts w:ascii="Times New Roman" w:hAnsi="Times New Roman" w:cs="Times New Roman"/>
          <w:sz w:val="24"/>
          <w:szCs w:val="24"/>
        </w:rPr>
        <w:t>,</w:t>
      </w:r>
      <w:r w:rsidR="001E552B">
        <w:rPr>
          <w:rFonts w:ascii="Times New Roman" w:hAnsi="Times New Roman" w:cs="Times New Roman"/>
          <w:sz w:val="24"/>
          <w:szCs w:val="24"/>
        </w:rPr>
        <w:t xml:space="preserve"> proračunskim korisnicima, osnovnim školama, kako slijedi:</w:t>
      </w:r>
    </w:p>
    <w:p w14:paraId="6A1BE148" w14:textId="5C6D64CD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Stoji, iznos od 2.484.222 kn, zamjena vanjske stolarije i bravarije;</w:t>
      </w:r>
    </w:p>
    <w:p w14:paraId="6BC101CF" w14:textId="0C9BDB4F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 za odgoj i obrazovanje, iznos od 1.681.56</w:t>
      </w:r>
      <w:r w:rsidR="003239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kn, dizalo za osobe s invaliditetom, platforma te adaptacija sanitarija;</w:t>
      </w:r>
    </w:p>
    <w:p w14:paraId="27D5247A" w14:textId="13A499ED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Šijana</w:t>
      </w:r>
      <w:proofErr w:type="spellEnd"/>
      <w:r>
        <w:rPr>
          <w:rFonts w:ascii="Times New Roman" w:hAnsi="Times New Roman" w:cs="Times New Roman"/>
          <w:sz w:val="24"/>
          <w:szCs w:val="24"/>
        </w:rPr>
        <w:t>, iznos od 24.439 kn, metalni stol s klupama;</w:t>
      </w:r>
    </w:p>
    <w:p w14:paraId="2CB1C3A9" w14:textId="66761DB9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Monte Zaro,</w:t>
      </w:r>
      <w:r w:rsidRPr="001E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 od 5.699 kn, hladnjak;</w:t>
      </w:r>
    </w:p>
    <w:p w14:paraId="5C5F1D52" w14:textId="30BADF2F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Tone Peruška, iznos od 10.073 kn, školske stolice;</w:t>
      </w:r>
    </w:p>
    <w:p w14:paraId="0C10E2AC" w14:textId="67D55566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Kaštanjer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E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 od 12.469 kn, digitalni detektori pokreta i kamere;</w:t>
      </w:r>
    </w:p>
    <w:p w14:paraId="7E3A1307" w14:textId="6713FE80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Veli Vrh, iznos od 10.314 kn, kuhinja sa sudoperom i slavinom;</w:t>
      </w:r>
    </w:p>
    <w:p w14:paraId="051761D3" w14:textId="4DC527EC" w:rsidR="001E552B" w:rsidRDefault="001E552B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 Tone Peruška, iznos od 15.250 kn, perilica za suđe s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depuratorom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E958387" w14:textId="22B83C5E" w:rsidR="001E552B" w:rsidRDefault="00323937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Tone Peruška, iznos od 5.699 kn, hladnjak;</w:t>
      </w:r>
    </w:p>
    <w:p w14:paraId="10F0A13E" w14:textId="7CFB6510" w:rsidR="00323937" w:rsidRDefault="00323937" w:rsidP="0032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</w:p>
    <w:p w14:paraId="7CCD6D8B" w14:textId="5D1F1B15" w:rsidR="00323937" w:rsidRPr="001E552B" w:rsidRDefault="00323937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Speleološkoj udruzi Pula, iznos od 27.995 kn, oprema za civilnu zaštitu;</w:t>
      </w:r>
    </w:p>
    <w:p w14:paraId="749DBBBE" w14:textId="4710383B" w:rsidR="00323937" w:rsidRPr="001E552B" w:rsidRDefault="00323937" w:rsidP="000F00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Najboljim učenicima grada Pule, iznos od 23.163 kn, informatička oprema;</w:t>
      </w:r>
    </w:p>
    <w:p w14:paraId="55A4E03A" w14:textId="623852F2" w:rsidR="00323937" w:rsidRPr="00323937" w:rsidRDefault="00323937" w:rsidP="003239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C8441E" w14:textId="4D7D55B8" w:rsidR="00323937" w:rsidRDefault="00323937" w:rsidP="0032393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4D3C94" w:rsidRPr="00D44E2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 </w:t>
      </w:r>
    </w:p>
    <w:p w14:paraId="6E540353" w14:textId="1861AF3A" w:rsidR="001E552B" w:rsidRDefault="00323937" w:rsidP="00765A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Vrijednosni papiri (AOP030) - evidentira povećanje za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1.800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zbog</w:t>
      </w:r>
      <w:r w:rsidR="00B7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4F">
        <w:rPr>
          <w:rFonts w:ascii="Times New Roman" w:hAnsi="Times New Roman" w:cs="Times New Roman"/>
          <w:sz w:val="24"/>
          <w:szCs w:val="24"/>
        </w:rPr>
        <w:t>nasljeđenih</w:t>
      </w:r>
      <w:proofErr w:type="spellEnd"/>
      <w:r w:rsidR="00B70C4F">
        <w:rPr>
          <w:rFonts w:ascii="Times New Roman" w:hAnsi="Times New Roman" w:cs="Times New Roman"/>
          <w:sz w:val="24"/>
          <w:szCs w:val="24"/>
        </w:rPr>
        <w:t xml:space="preserve"> 60 kom dionica temeljem rješenja o nasljeđivanju. </w:t>
      </w:r>
    </w:p>
    <w:p w14:paraId="6E6FC16E" w14:textId="505C878E" w:rsidR="00323937" w:rsidRDefault="00323937" w:rsidP="00765A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B2F81" w14:textId="43436188" w:rsidR="00B70C4F" w:rsidRDefault="00B70C4F" w:rsidP="00B70C4F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4D3C94" w:rsidRPr="00D44E2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 </w:t>
      </w:r>
    </w:p>
    <w:p w14:paraId="361271D4" w14:textId="48C597DE" w:rsidR="00765A2A" w:rsidRPr="0082098F" w:rsidRDefault="00765A2A" w:rsidP="00765A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Potraživanja za prihode poslovanja (AOP032)</w:t>
      </w:r>
      <w:r w:rsidR="00B70C4F">
        <w:rPr>
          <w:rFonts w:ascii="Times New Roman" w:hAnsi="Times New Roman" w:cs="Times New Roman"/>
          <w:sz w:val="24"/>
          <w:szCs w:val="24"/>
        </w:rPr>
        <w:t xml:space="preserve"> - evidentira smanjenje </w:t>
      </w:r>
      <w:r w:rsidR="00B70C4F" w:rsidRPr="0082098F">
        <w:rPr>
          <w:rFonts w:ascii="Times New Roman" w:hAnsi="Times New Roman" w:cs="Times New Roman"/>
          <w:sz w:val="24"/>
          <w:szCs w:val="24"/>
        </w:rPr>
        <w:t xml:space="preserve">za </w:t>
      </w:r>
      <w:r w:rsidR="00B70C4F">
        <w:rPr>
          <w:rFonts w:ascii="Times New Roman" w:hAnsi="Times New Roman" w:cs="Times New Roman"/>
          <w:sz w:val="24"/>
          <w:szCs w:val="24"/>
        </w:rPr>
        <w:t>5.551.967</w:t>
      </w:r>
      <w:r w:rsidR="00B70C4F" w:rsidRPr="0082098F">
        <w:rPr>
          <w:rFonts w:ascii="Times New Roman" w:hAnsi="Times New Roman" w:cs="Times New Roman"/>
          <w:sz w:val="24"/>
          <w:szCs w:val="24"/>
        </w:rPr>
        <w:t xml:space="preserve"> kn</w:t>
      </w:r>
      <w:r w:rsidR="00B70C4F">
        <w:rPr>
          <w:rFonts w:ascii="Times New Roman" w:hAnsi="Times New Roman" w:cs="Times New Roman"/>
          <w:sz w:val="24"/>
          <w:szCs w:val="24"/>
        </w:rPr>
        <w:t xml:space="preserve">, a </w:t>
      </w:r>
      <w:r w:rsidRPr="0082098F">
        <w:rPr>
          <w:rFonts w:ascii="Times New Roman" w:hAnsi="Times New Roman" w:cs="Times New Roman"/>
          <w:sz w:val="24"/>
          <w:szCs w:val="24"/>
        </w:rPr>
        <w:t>Potraživanj</w:t>
      </w:r>
      <w:r w:rsidR="00B70C4F">
        <w:rPr>
          <w:rFonts w:ascii="Times New Roman" w:hAnsi="Times New Roman" w:cs="Times New Roman"/>
          <w:sz w:val="24"/>
          <w:szCs w:val="24"/>
        </w:rPr>
        <w:t>a</w:t>
      </w:r>
      <w:r w:rsidRPr="0082098F">
        <w:rPr>
          <w:rFonts w:ascii="Times New Roman" w:hAnsi="Times New Roman" w:cs="Times New Roman"/>
          <w:sz w:val="24"/>
          <w:szCs w:val="24"/>
        </w:rPr>
        <w:t xml:space="preserve"> od prodaje nefinancijske imovine (AOP033)</w:t>
      </w:r>
      <w:r w:rsidR="00B70C4F" w:rsidRPr="00B70C4F">
        <w:rPr>
          <w:rFonts w:ascii="Times New Roman" w:hAnsi="Times New Roman" w:cs="Times New Roman"/>
          <w:sz w:val="24"/>
          <w:szCs w:val="24"/>
        </w:rPr>
        <w:t xml:space="preserve"> </w:t>
      </w:r>
      <w:r w:rsidR="00B70C4F">
        <w:rPr>
          <w:rFonts w:ascii="Times New Roman" w:hAnsi="Times New Roman" w:cs="Times New Roman"/>
          <w:sz w:val="24"/>
          <w:szCs w:val="24"/>
        </w:rPr>
        <w:t>evidentira smanjenje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B70C4F">
        <w:rPr>
          <w:rFonts w:ascii="Times New Roman" w:hAnsi="Times New Roman" w:cs="Times New Roman"/>
          <w:sz w:val="24"/>
          <w:szCs w:val="24"/>
        </w:rPr>
        <w:t>za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B70C4F">
        <w:rPr>
          <w:rFonts w:ascii="Times New Roman" w:hAnsi="Times New Roman" w:cs="Times New Roman"/>
          <w:sz w:val="24"/>
          <w:szCs w:val="24"/>
        </w:rPr>
        <w:t>76.816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 </w:t>
      </w:r>
      <w:r w:rsidR="00B70C4F">
        <w:rPr>
          <w:rFonts w:ascii="Times New Roman" w:hAnsi="Times New Roman" w:cs="Times New Roman"/>
          <w:sz w:val="24"/>
          <w:szCs w:val="24"/>
        </w:rPr>
        <w:t>zbog otpisa temeljem</w:t>
      </w:r>
      <w:r w:rsidRPr="0082098F">
        <w:rPr>
          <w:rFonts w:ascii="Times New Roman" w:hAnsi="Times New Roman" w:cs="Times New Roman"/>
          <w:sz w:val="24"/>
          <w:szCs w:val="24"/>
        </w:rPr>
        <w:t xml:space="preserve"> odluka ili zaključaka, pravomoćnih rješenja o zaključenju stečajnog postupka nad pravnom osobom ili u postupku likvidacije na temelju pravomoćnog rješenja o brisanju pravne osobe iz Sudskog registra, otpisa po predstečajnim nagodbama, obustava postupaka od strane suca za prekršaje na ime kazni za prekršaje u prometu, kazni za parking i otpisa po inventuri.</w:t>
      </w:r>
    </w:p>
    <w:p w14:paraId="6B30534A" w14:textId="77777777" w:rsidR="00B70C4F" w:rsidRDefault="00B70C4F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C1A9E" w14:textId="309E8FA4" w:rsidR="00765A2A" w:rsidRDefault="00B70C4F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</w:t>
      </w:r>
      <w:r w:rsidRPr="0082098F">
        <w:rPr>
          <w:rFonts w:ascii="Times New Roman" w:hAnsi="Times New Roman" w:cs="Times New Roman"/>
          <w:sz w:val="24"/>
          <w:szCs w:val="24"/>
        </w:rPr>
        <w:t xml:space="preserve"> VRIJEDNOSTI OBVEZA</w:t>
      </w:r>
    </w:p>
    <w:p w14:paraId="38FA5E14" w14:textId="50E50C47" w:rsidR="004D3C94" w:rsidRDefault="00B70C4F" w:rsidP="009668B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44E24">
        <w:rPr>
          <w:rFonts w:ascii="Times New Roman" w:hAnsi="Times New Roman" w:cs="Times New Roman"/>
          <w:b/>
        </w:rPr>
        <w:t xml:space="preserve">BILJEŠKA br. </w:t>
      </w:r>
      <w:r w:rsidR="004D3C94" w:rsidRPr="00D44E2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3</w:t>
      </w:r>
    </w:p>
    <w:p w14:paraId="71EFD3CA" w14:textId="51E59DFC" w:rsidR="00BE5B55" w:rsidRPr="004D3C94" w:rsidRDefault="004D3C94" w:rsidP="009668B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6114AE" w:rsidRPr="0082098F">
        <w:rPr>
          <w:rFonts w:ascii="Times New Roman" w:hAnsi="Times New Roman" w:cs="Times New Roman"/>
        </w:rPr>
        <w:t>bvez</w:t>
      </w:r>
      <w:r w:rsidR="00853D07" w:rsidRPr="0082098F">
        <w:rPr>
          <w:rFonts w:ascii="Times New Roman" w:hAnsi="Times New Roman" w:cs="Times New Roman"/>
        </w:rPr>
        <w:t>e</w:t>
      </w:r>
      <w:r w:rsidR="00BE5B55" w:rsidRPr="0082098F">
        <w:rPr>
          <w:rFonts w:ascii="Times New Roman" w:hAnsi="Times New Roman" w:cs="Times New Roman"/>
        </w:rPr>
        <w:t xml:space="preserve"> za kredite i zajmove</w:t>
      </w:r>
      <w:r w:rsidR="00ED0D6C">
        <w:rPr>
          <w:rFonts w:ascii="Times New Roman" w:hAnsi="Times New Roman" w:cs="Times New Roman"/>
        </w:rPr>
        <w:t xml:space="preserve"> (AOP039) – povećanje obveza</w:t>
      </w:r>
      <w:r w:rsidR="00BE5B55" w:rsidRPr="0082098F">
        <w:rPr>
          <w:rFonts w:ascii="Times New Roman" w:hAnsi="Times New Roman" w:cs="Times New Roman"/>
        </w:rPr>
        <w:t xml:space="preserve"> zbog revalorizacije kredita</w:t>
      </w:r>
      <w:r w:rsidR="006114AE" w:rsidRPr="0082098F">
        <w:rPr>
          <w:rFonts w:ascii="Times New Roman" w:hAnsi="Times New Roman" w:cs="Times New Roman"/>
        </w:rPr>
        <w:t xml:space="preserve"> odnosno </w:t>
      </w:r>
      <w:r w:rsidR="00100FC0" w:rsidRPr="0082098F">
        <w:rPr>
          <w:rFonts w:ascii="Times New Roman" w:hAnsi="Times New Roman" w:cs="Times New Roman"/>
        </w:rPr>
        <w:t>negativne</w:t>
      </w:r>
      <w:r w:rsidR="006114AE" w:rsidRPr="0082098F">
        <w:rPr>
          <w:rFonts w:ascii="Times New Roman" w:hAnsi="Times New Roman" w:cs="Times New Roman"/>
        </w:rPr>
        <w:t xml:space="preserve"> tečajne razlike</w:t>
      </w:r>
      <w:r w:rsidR="00BE5B55" w:rsidRPr="0082098F">
        <w:rPr>
          <w:rFonts w:ascii="Times New Roman" w:hAnsi="Times New Roman" w:cs="Times New Roman"/>
        </w:rPr>
        <w:t xml:space="preserve"> u sveukupnom iznosu od </w:t>
      </w:r>
      <w:r w:rsidR="00ED0D6C">
        <w:rPr>
          <w:rFonts w:ascii="Times New Roman" w:hAnsi="Times New Roman" w:cs="Times New Roman"/>
        </w:rPr>
        <w:t>508.614</w:t>
      </w:r>
      <w:r w:rsidR="00FC1B41" w:rsidRPr="0082098F">
        <w:rPr>
          <w:rFonts w:ascii="Times New Roman" w:hAnsi="Times New Roman" w:cs="Times New Roman"/>
        </w:rPr>
        <w:t xml:space="preserve"> kn </w:t>
      </w:r>
      <w:r w:rsidR="00E1746C">
        <w:rPr>
          <w:rFonts w:ascii="Times New Roman" w:hAnsi="Times New Roman" w:cs="Times New Roman"/>
        </w:rPr>
        <w:t>od čega za</w:t>
      </w:r>
      <w:r w:rsidR="00FC1B41" w:rsidRPr="0082098F">
        <w:rPr>
          <w:rFonts w:ascii="Times New Roman" w:hAnsi="Times New Roman" w:cs="Times New Roman"/>
        </w:rPr>
        <w:t xml:space="preserve">  </w:t>
      </w:r>
      <w:r w:rsidR="00ED0D6C">
        <w:rPr>
          <w:rFonts w:ascii="Times New Roman" w:hAnsi="Times New Roman" w:cs="Times New Roman"/>
        </w:rPr>
        <w:t>OŠ</w:t>
      </w:r>
      <w:r w:rsidR="00BE5B55" w:rsidRPr="0082098F">
        <w:rPr>
          <w:rFonts w:ascii="Times New Roman" w:hAnsi="Times New Roman" w:cs="Times New Roman"/>
        </w:rPr>
        <w:t xml:space="preserve"> Veli Vrh, I faza u iznosu od </w:t>
      </w:r>
      <w:r w:rsidR="00ED0D6C">
        <w:rPr>
          <w:rFonts w:ascii="Times New Roman" w:hAnsi="Times New Roman" w:cs="Times New Roman"/>
        </w:rPr>
        <w:t>223.844</w:t>
      </w:r>
      <w:r w:rsidR="00BE5B55" w:rsidRPr="0082098F">
        <w:rPr>
          <w:rFonts w:ascii="Times New Roman" w:hAnsi="Times New Roman" w:cs="Times New Roman"/>
        </w:rPr>
        <w:t xml:space="preserve"> kn i </w:t>
      </w:r>
      <w:r w:rsidR="00ED0D6C">
        <w:rPr>
          <w:rFonts w:ascii="Times New Roman" w:hAnsi="Times New Roman" w:cs="Times New Roman"/>
        </w:rPr>
        <w:t>OŠ Veli</w:t>
      </w:r>
      <w:r w:rsidR="00BE5B55" w:rsidRPr="0082098F">
        <w:rPr>
          <w:rFonts w:ascii="Times New Roman" w:hAnsi="Times New Roman" w:cs="Times New Roman"/>
        </w:rPr>
        <w:t xml:space="preserve"> Vrh, II faza u  iznosu od </w:t>
      </w:r>
      <w:r w:rsidR="00ED0D6C">
        <w:rPr>
          <w:rFonts w:ascii="Times New Roman" w:hAnsi="Times New Roman" w:cs="Times New Roman"/>
        </w:rPr>
        <w:t>284.770</w:t>
      </w:r>
      <w:r w:rsidR="00BE5B55" w:rsidRPr="0082098F">
        <w:rPr>
          <w:rFonts w:ascii="Times New Roman" w:hAnsi="Times New Roman" w:cs="Times New Roman"/>
        </w:rPr>
        <w:t xml:space="preserve"> kn.</w:t>
      </w:r>
    </w:p>
    <w:p w14:paraId="189CF02F" w14:textId="2C2919CA" w:rsidR="00E1746C" w:rsidRDefault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F2157" w14:textId="77777777" w:rsidR="00F6411B" w:rsidRDefault="00F64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B76763" w14:textId="77777777" w:rsidR="0000194A" w:rsidRPr="00526AD1" w:rsidRDefault="0000194A" w:rsidP="0000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4A">
        <w:rPr>
          <w:rFonts w:ascii="Times New Roman" w:hAnsi="Times New Roman" w:cs="Times New Roman"/>
          <w:b/>
          <w:sz w:val="24"/>
          <w:szCs w:val="24"/>
        </w:rPr>
        <w:t>Obrazac Obveze</w:t>
      </w:r>
    </w:p>
    <w:p w14:paraId="05061E54" w14:textId="77777777" w:rsidR="0000194A" w:rsidRDefault="0000194A" w:rsidP="0000194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6C63C6E" w14:textId="7F3BE10C" w:rsidR="0000194A" w:rsidRDefault="0000194A" w:rsidP="0000194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 xml:space="preserve">BILJEŠKA br. </w:t>
      </w:r>
      <w:r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4</w:t>
      </w:r>
    </w:p>
    <w:p w14:paraId="0E091F7B" w14:textId="77777777" w:rsidR="0000194A" w:rsidRDefault="0000194A" w:rsidP="0000194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A23A9">
        <w:rPr>
          <w:rFonts w:ascii="Times New Roman" w:hAnsi="Times New Roman" w:cs="Times New Roman"/>
          <w:sz w:val="24"/>
          <w:szCs w:val="24"/>
        </w:rPr>
        <w:t>Stanje obveza na kraju i</w:t>
      </w:r>
      <w:r>
        <w:rPr>
          <w:rFonts w:ascii="Times New Roman" w:hAnsi="Times New Roman" w:cs="Times New Roman"/>
          <w:sz w:val="24"/>
          <w:szCs w:val="24"/>
        </w:rPr>
        <w:t>zvještajnog razdoblja (AOP036) -</w:t>
      </w:r>
      <w:r w:rsidRPr="00AA23A9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69.598.039</w:t>
      </w:r>
      <w:r w:rsidRPr="00AA23A9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F096B28" w14:textId="77777777" w:rsidR="0000194A" w:rsidRPr="00526AD1" w:rsidRDefault="0000194A" w:rsidP="0000194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Cs/>
          <w:sz w:val="24"/>
          <w:szCs w:val="24"/>
        </w:rPr>
        <w:t>Razlik</w:t>
      </w:r>
      <w:r>
        <w:rPr>
          <w:rFonts w:ascii="Times New Roman" w:hAnsi="Times New Roman" w:cs="Times New Roman"/>
          <w:bCs/>
          <w:sz w:val="24"/>
          <w:szCs w:val="24"/>
        </w:rPr>
        <w:t>u u odnosu na iskazane obveze u obrascu Bilanca čini iznos od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9.199.421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>, a odnosi se na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obveze za naplaćene tuđe prihode odnosno na naknade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za ure</w:t>
      </w:r>
      <w:r>
        <w:rPr>
          <w:rFonts w:ascii="Times New Roman" w:hAnsi="Times New Roman" w:cs="Times New Roman"/>
          <w:bCs/>
          <w:sz w:val="24"/>
          <w:szCs w:val="24"/>
        </w:rPr>
        <w:t>đenje voda za stambene prostore i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poslovne prostore za zakupce</w:t>
      </w:r>
      <w:r>
        <w:rPr>
          <w:rFonts w:ascii="Times New Roman" w:hAnsi="Times New Roman" w:cs="Times New Roman"/>
          <w:bCs/>
          <w:sz w:val="24"/>
          <w:szCs w:val="24"/>
        </w:rPr>
        <w:t xml:space="preserve"> koji se doznačuje na uplatni račun Hrvatskih voda (ne smatra se obvezom Grada).</w:t>
      </w:r>
    </w:p>
    <w:p w14:paraId="77609D38" w14:textId="77777777" w:rsidR="0000194A" w:rsidRDefault="0000194A" w:rsidP="0000194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07C5651" w14:textId="1D219D18" w:rsidR="0000194A" w:rsidRDefault="0000194A" w:rsidP="0000194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 xml:space="preserve">BILJEŠKA br. </w:t>
      </w:r>
      <w:r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5</w:t>
      </w:r>
    </w:p>
    <w:p w14:paraId="4D084DB2" w14:textId="77777777" w:rsidR="0000194A" w:rsidRDefault="0000194A" w:rsidP="000019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U obrascu Obveze, iz prometa podskupine 239 izuzete su međusobne obveze proračunskih korisnika i iskazane u AOP003 i AOP020 sukladno Okružnici o sastavljanju, konsolidaciji i predaji financijskih izvještaja proračuna, proračunskih i izvanproračunskih korisnika državnog proračuna te proračunskih i izvanproračunskih korisnika proračuna jedinica lokalne i p</w:t>
      </w:r>
      <w:r>
        <w:rPr>
          <w:rFonts w:ascii="Times New Roman" w:hAnsi="Times New Roman" w:cs="Times New Roman"/>
          <w:sz w:val="24"/>
          <w:szCs w:val="24"/>
        </w:rPr>
        <w:t>odručne (regionalne) samouprave.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9918F" w14:textId="6C972094" w:rsidR="0000194A" w:rsidRPr="00526AD1" w:rsidRDefault="0000194A" w:rsidP="0000194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Otvorene međusobne obveze iznose </w:t>
      </w:r>
      <w:r>
        <w:rPr>
          <w:rFonts w:ascii="Times New Roman" w:hAnsi="Times New Roman" w:cs="Times New Roman"/>
          <w:sz w:val="24"/>
          <w:szCs w:val="24"/>
        </w:rPr>
        <w:t>1.457.096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(AOP091), u cijelosti čine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D1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526AD1">
        <w:rPr>
          <w:rFonts w:ascii="Times New Roman" w:hAnsi="Times New Roman" w:cs="Times New Roman"/>
          <w:sz w:val="24"/>
          <w:szCs w:val="24"/>
        </w:rPr>
        <w:t xml:space="preserve"> nedospjele obveze za naknadu za uređenje voda </w:t>
      </w:r>
      <w:r w:rsidR="006F5791">
        <w:rPr>
          <w:rFonts w:ascii="Times New Roman" w:hAnsi="Times New Roman" w:cs="Times New Roman"/>
          <w:sz w:val="24"/>
          <w:szCs w:val="24"/>
        </w:rPr>
        <w:t>za</w:t>
      </w:r>
      <w:r w:rsidRPr="00526AD1">
        <w:rPr>
          <w:rFonts w:ascii="Times New Roman" w:hAnsi="Times New Roman" w:cs="Times New Roman"/>
          <w:sz w:val="24"/>
          <w:szCs w:val="24"/>
        </w:rPr>
        <w:t xml:space="preserve"> stambeni i poslovni prostor što se doznačuje Hrvatskim vodama, obveze za uplatu 55% sredstava od prodaje stanova u državni proračun temeljem obračuna za prosinac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6AD1">
        <w:rPr>
          <w:rFonts w:ascii="Times New Roman" w:hAnsi="Times New Roman" w:cs="Times New Roman"/>
          <w:sz w:val="24"/>
          <w:szCs w:val="24"/>
        </w:rPr>
        <w:t>. godine, povrate u državni proračun za neutrošena decentralizirana sredstva te obvezu za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neutrošene vlastite i namjenske prihode/primitke proračunskih korisnika uplaćene u proračun.</w:t>
      </w:r>
    </w:p>
    <w:p w14:paraId="62115B7F" w14:textId="7CC9CAE4" w:rsidR="00CB178D" w:rsidRDefault="00CB178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99A37" w14:textId="77777777" w:rsidR="006F5791" w:rsidRDefault="006F57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B70208" w14:textId="77777777" w:rsidR="00BE5B55" w:rsidRPr="00526AD1" w:rsidRDefault="00BE5B55" w:rsidP="00CB178D">
      <w:pPr>
        <w:pStyle w:val="Style2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pacing w:line="276" w:lineRule="auto"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lastRenderedPageBreak/>
        <w:t>Obrazac BIL</w:t>
      </w:r>
      <w:r w:rsidR="00D35160" w:rsidRPr="00526AD1">
        <w:rPr>
          <w:rFonts w:ascii="Times New Roman" w:hAnsi="Times New Roman" w:cs="Times New Roman"/>
          <w:b/>
        </w:rPr>
        <w:t xml:space="preserve"> </w:t>
      </w:r>
      <w:r w:rsidR="003A7E83" w:rsidRPr="00526AD1">
        <w:rPr>
          <w:rFonts w:ascii="Times New Roman" w:hAnsi="Times New Roman" w:cs="Times New Roman"/>
          <w:b/>
        </w:rPr>
        <w:t>-</w:t>
      </w:r>
      <w:r w:rsidRPr="00526AD1">
        <w:rPr>
          <w:rFonts w:ascii="Times New Roman" w:hAnsi="Times New Roman" w:cs="Times New Roman"/>
          <w:b/>
        </w:rPr>
        <w:t xml:space="preserve"> Bilanca</w:t>
      </w:r>
      <w:r w:rsidR="00667AB8" w:rsidRPr="00526AD1">
        <w:rPr>
          <w:rFonts w:ascii="Times New Roman" w:hAnsi="Times New Roman" w:cs="Times New Roman"/>
          <w:b/>
        </w:rPr>
        <w:t xml:space="preserve"> </w:t>
      </w:r>
    </w:p>
    <w:p w14:paraId="7E4A7E26" w14:textId="77777777" w:rsidR="00677245" w:rsidRDefault="00677245" w:rsidP="00843A8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AD68114" w14:textId="27C6DCC9" w:rsidR="002C6BFA" w:rsidRDefault="002C6BFA" w:rsidP="00843A8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 w:rsidR="004D3C9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6</w:t>
      </w:r>
    </w:p>
    <w:p w14:paraId="61984D36" w14:textId="77777777" w:rsidR="00BE5B55" w:rsidRDefault="00BE5B55" w:rsidP="00F616CF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Nefinancijska imovina</w:t>
      </w:r>
    </w:p>
    <w:p w14:paraId="2AD70C2D" w14:textId="77777777" w:rsidR="00677245" w:rsidRDefault="00677245" w:rsidP="00F616CF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685"/>
        <w:gridCol w:w="567"/>
        <w:gridCol w:w="1276"/>
        <w:gridCol w:w="1276"/>
        <w:gridCol w:w="709"/>
        <w:gridCol w:w="1382"/>
      </w:tblGrid>
      <w:tr w:rsidR="00677245" w:rsidRPr="00677245" w14:paraId="35FFE108" w14:textId="77777777" w:rsidTr="00E9020E">
        <w:trPr>
          <w:trHeight w:val="405"/>
          <w:jc w:val="center"/>
        </w:trPr>
        <w:tc>
          <w:tcPr>
            <w:tcW w:w="864" w:type="dxa"/>
            <w:vMerge w:val="restart"/>
            <w:shd w:val="clear" w:color="auto" w:fill="DBE5F1" w:themeFill="accent1" w:themeFillTint="33"/>
            <w:vAlign w:val="center"/>
            <w:hideMark/>
          </w:tcPr>
          <w:p w14:paraId="16FAE1FB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685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1BC2689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  <w:hideMark/>
          </w:tcPr>
          <w:p w14:paraId="1A1F3322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  <w:hideMark/>
          </w:tcPr>
          <w:p w14:paraId="39F95F44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Stanje </w:t>
            </w: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 siječnja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  <w:hideMark/>
          </w:tcPr>
          <w:p w14:paraId="2EC88B39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                    31. prosinca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  <w:hideMark/>
          </w:tcPr>
          <w:p w14:paraId="5E91C32D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 (5/4)</w:t>
            </w:r>
          </w:p>
        </w:tc>
        <w:tc>
          <w:tcPr>
            <w:tcW w:w="1382" w:type="dxa"/>
            <w:vMerge w:val="restart"/>
            <w:shd w:val="clear" w:color="auto" w:fill="DBE5F1" w:themeFill="accent1" w:themeFillTint="33"/>
            <w:vAlign w:val="center"/>
            <w:hideMark/>
          </w:tcPr>
          <w:p w14:paraId="18F97B67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</w:tr>
      <w:tr w:rsidR="00677245" w:rsidRPr="00677245" w14:paraId="29F150C2" w14:textId="77777777" w:rsidTr="00E9020E">
        <w:trPr>
          <w:trHeight w:val="309"/>
          <w:jc w:val="center"/>
        </w:trPr>
        <w:tc>
          <w:tcPr>
            <w:tcW w:w="864" w:type="dxa"/>
            <w:vMerge/>
            <w:shd w:val="clear" w:color="auto" w:fill="DBE5F1" w:themeFill="accent1" w:themeFillTint="33"/>
            <w:vAlign w:val="center"/>
            <w:hideMark/>
          </w:tcPr>
          <w:p w14:paraId="3468B5BE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  <w:vAlign w:val="center"/>
            <w:hideMark/>
          </w:tcPr>
          <w:p w14:paraId="3010F897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  <w:hideMark/>
          </w:tcPr>
          <w:p w14:paraId="161D8609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05ABBE32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28AC3D1C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  <w:hideMark/>
          </w:tcPr>
          <w:p w14:paraId="72B136CE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2" w:type="dxa"/>
            <w:vMerge/>
            <w:shd w:val="clear" w:color="auto" w:fill="DBE5F1" w:themeFill="accent1" w:themeFillTint="33"/>
            <w:vAlign w:val="center"/>
            <w:hideMark/>
          </w:tcPr>
          <w:p w14:paraId="139082A9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77245" w:rsidRPr="00677245" w14:paraId="18F605D0" w14:textId="77777777" w:rsidTr="00E9020E">
        <w:trPr>
          <w:trHeight w:val="119"/>
          <w:jc w:val="center"/>
        </w:trPr>
        <w:tc>
          <w:tcPr>
            <w:tcW w:w="864" w:type="dxa"/>
            <w:shd w:val="clear" w:color="auto" w:fill="B8CCE4" w:themeFill="accent1" w:themeFillTint="66"/>
            <w:vAlign w:val="bottom"/>
            <w:hideMark/>
          </w:tcPr>
          <w:p w14:paraId="29B3E145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85" w:type="dxa"/>
            <w:shd w:val="clear" w:color="auto" w:fill="B8CCE4" w:themeFill="accent1" w:themeFillTint="66"/>
            <w:noWrap/>
            <w:vAlign w:val="bottom"/>
            <w:hideMark/>
          </w:tcPr>
          <w:p w14:paraId="74D5CFC8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noWrap/>
            <w:vAlign w:val="bottom"/>
            <w:hideMark/>
          </w:tcPr>
          <w:p w14:paraId="499122F1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B8CCE4" w:themeFill="accent1" w:themeFillTint="66"/>
            <w:noWrap/>
            <w:vAlign w:val="bottom"/>
            <w:hideMark/>
          </w:tcPr>
          <w:p w14:paraId="5FF657FB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shd w:val="clear" w:color="auto" w:fill="B8CCE4" w:themeFill="accent1" w:themeFillTint="66"/>
            <w:vAlign w:val="bottom"/>
            <w:hideMark/>
          </w:tcPr>
          <w:p w14:paraId="089A2F9F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  <w:vAlign w:val="bottom"/>
            <w:hideMark/>
          </w:tcPr>
          <w:p w14:paraId="1E21AEC5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82" w:type="dxa"/>
            <w:shd w:val="clear" w:color="auto" w:fill="B8CCE4" w:themeFill="accent1" w:themeFillTint="66"/>
            <w:vAlign w:val="bottom"/>
            <w:hideMark/>
          </w:tcPr>
          <w:p w14:paraId="0D3A8466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677245" w:rsidRPr="00677245" w14:paraId="42039869" w14:textId="77777777" w:rsidTr="00E9020E">
        <w:trPr>
          <w:trHeight w:val="240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14:paraId="3149BE5A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518489A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Neproizvedena</w:t>
            </w:r>
            <w:proofErr w:type="spellEnd"/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dugotrajna imovina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627D8" w14:textId="77777777" w:rsidR="00677245" w:rsidRPr="00853D5A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35286" w14:textId="5CEAFD1E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6.120.441.614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91BC56" w14:textId="06E36413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5.809.484.701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33164" w14:textId="5961C517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94,9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CBAB6CD" w14:textId="2A7828A8" w:rsidR="00677245" w:rsidRPr="00677245" w:rsidRDefault="00CB178D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-310.956.913</w:t>
            </w:r>
          </w:p>
        </w:tc>
      </w:tr>
      <w:tr w:rsidR="00677245" w:rsidRPr="00677245" w14:paraId="1D74371F" w14:textId="77777777" w:rsidTr="00E9020E">
        <w:trPr>
          <w:trHeight w:val="361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14:paraId="1EFAC7FE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5D71891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Proizvedena dugotrajna imovina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63C7A" w14:textId="77777777" w:rsidR="00677245" w:rsidRPr="00853D5A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B114C" w14:textId="45B9D043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643.591.699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38FEA" w14:textId="12226AD5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633.448.201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24CEDD" w14:textId="44550F58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98,4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720B95E" w14:textId="792018DC" w:rsidR="00677245" w:rsidRPr="00677245" w:rsidRDefault="00CB178D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-10.143.498</w:t>
            </w:r>
          </w:p>
        </w:tc>
      </w:tr>
      <w:tr w:rsidR="00677245" w:rsidRPr="00677245" w14:paraId="090B35A4" w14:textId="77777777" w:rsidTr="00E9020E">
        <w:trPr>
          <w:trHeight w:val="268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14:paraId="0E73704A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DA77A0E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Plemeniti metali i ostale pohranjene vrijednosti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26D9D" w14:textId="77777777" w:rsidR="00677245" w:rsidRPr="00853D5A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3E3B3" w14:textId="06D58793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2.111.904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B2FE54" w14:textId="13CDF72B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2.111.904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3AE1C" w14:textId="0FFAE52C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ACB6C6C" w14:textId="16C405D2" w:rsidR="00677245" w:rsidRPr="00677245" w:rsidRDefault="00CB178D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677245" w:rsidRPr="00677245" w14:paraId="66D151F6" w14:textId="77777777" w:rsidTr="00E9020E">
        <w:trPr>
          <w:trHeight w:val="271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14:paraId="0E159638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D309A50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Dugotrajna nefinancijska imovina u pripremi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CE333" w14:textId="77777777" w:rsidR="00677245" w:rsidRPr="00853D5A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C50A59" w14:textId="0131CBFB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28.382.005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AC4B0" w14:textId="7B6CB642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29.392.621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84AF0" w14:textId="6C69BE1C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4EF991A" w14:textId="6E104E9E" w:rsidR="00677245" w:rsidRPr="00677245" w:rsidRDefault="00CB178D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1.010.616</w:t>
            </w:r>
          </w:p>
        </w:tc>
      </w:tr>
      <w:tr w:rsidR="00677245" w:rsidRPr="00677245" w14:paraId="6B6202E5" w14:textId="77777777" w:rsidTr="00E9020E">
        <w:trPr>
          <w:trHeight w:val="406"/>
          <w:jc w:val="center"/>
        </w:trPr>
        <w:tc>
          <w:tcPr>
            <w:tcW w:w="864" w:type="dxa"/>
            <w:shd w:val="clear" w:color="auto" w:fill="DBE5F1" w:themeFill="accent1" w:themeFillTint="33"/>
            <w:vAlign w:val="center"/>
            <w:hideMark/>
          </w:tcPr>
          <w:p w14:paraId="07422A34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  <w:hideMark/>
          </w:tcPr>
          <w:p w14:paraId="1059CC95" w14:textId="77777777" w:rsidR="00677245" w:rsidRPr="00677245" w:rsidRDefault="00677245" w:rsidP="00D1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Nefinancijska imovina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  <w:hideMark/>
          </w:tcPr>
          <w:p w14:paraId="600A32BD" w14:textId="77777777" w:rsidR="00677245" w:rsidRPr="00677245" w:rsidRDefault="00677245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</w:t>
            </w: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14:paraId="024968DC" w14:textId="7CF5E41F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6.794.527.222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14:paraId="55487E7C" w14:textId="1703192E" w:rsidR="00677245" w:rsidRPr="00677245" w:rsidRDefault="00CB178D" w:rsidP="00D1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6.474.437.427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</w:tcPr>
          <w:p w14:paraId="59294E96" w14:textId="72DFFC93" w:rsidR="00677245" w:rsidRPr="00677245" w:rsidRDefault="00CB178D" w:rsidP="00D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95,3</w:t>
            </w:r>
          </w:p>
        </w:tc>
        <w:tc>
          <w:tcPr>
            <w:tcW w:w="1382" w:type="dxa"/>
            <w:shd w:val="clear" w:color="auto" w:fill="DBE5F1" w:themeFill="accent1" w:themeFillTint="33"/>
            <w:noWrap/>
            <w:vAlign w:val="center"/>
          </w:tcPr>
          <w:p w14:paraId="20B8C4C8" w14:textId="621812BE" w:rsidR="00677245" w:rsidRPr="00677245" w:rsidRDefault="00CB178D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-320.089.795</w:t>
            </w:r>
          </w:p>
        </w:tc>
      </w:tr>
    </w:tbl>
    <w:p w14:paraId="2B248EFD" w14:textId="77777777" w:rsidR="00677245" w:rsidRDefault="0067724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348E4A17" w14:textId="062F0B61" w:rsidR="002C6BFA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 w:rsidR="004D3C94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7</w:t>
      </w:r>
    </w:p>
    <w:p w14:paraId="609F5179" w14:textId="1D0F0DFE" w:rsidR="003E5EE9" w:rsidRDefault="00CB178D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Uređaji, strojevi i oprema za ostale namjene (AOP021) </w:t>
      </w:r>
      <w:r w:rsidR="007C07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iznosi 23.791.693 kn i u odnosu na 2019. godinu bilježi porast zbog </w:t>
      </w:r>
      <w:r w:rsidR="007C07EE">
        <w:rPr>
          <w:rFonts w:ascii="Times New Roman" w:hAnsi="Times New Roman" w:cs="Times New Roman"/>
        </w:rPr>
        <w:t xml:space="preserve">primljene opreme od Fonda za zaštitu okoliša </w:t>
      </w:r>
      <w:r>
        <w:rPr>
          <w:rFonts w:ascii="Times New Roman" w:hAnsi="Times New Roman" w:cs="Times New Roman"/>
        </w:rPr>
        <w:t xml:space="preserve">za selektivno prikupljanje otpada, </w:t>
      </w:r>
      <w:proofErr w:type="spellStart"/>
      <w:r>
        <w:rPr>
          <w:rFonts w:ascii="Times New Roman" w:hAnsi="Times New Roman" w:cs="Times New Roman"/>
        </w:rPr>
        <w:t>komposteri</w:t>
      </w:r>
      <w:proofErr w:type="spellEnd"/>
      <w:r w:rsidR="006E39D4" w:rsidRPr="00526AD1">
        <w:rPr>
          <w:rFonts w:ascii="Times New Roman" w:hAnsi="Times New Roman" w:cs="Times New Roman"/>
        </w:rPr>
        <w:t xml:space="preserve">. </w:t>
      </w:r>
    </w:p>
    <w:p w14:paraId="6428FCE2" w14:textId="77777777" w:rsidR="00AA672A" w:rsidRDefault="00AA672A" w:rsidP="00CB178D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14:paraId="497D5CEC" w14:textId="4A1AAC1E" w:rsidR="00CB178D" w:rsidRDefault="00AA672A" w:rsidP="00CB178D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AA672A">
        <w:rPr>
          <w:rFonts w:ascii="Times New Roman" w:hAnsi="Times New Roman" w:cs="Times New Roman"/>
          <w:b/>
          <w:bCs/>
        </w:rPr>
        <w:t>B</w:t>
      </w:r>
      <w:r w:rsidR="00CB178D" w:rsidRPr="00E1746C">
        <w:rPr>
          <w:rFonts w:ascii="Times New Roman" w:hAnsi="Times New Roman" w:cs="Times New Roman"/>
          <w:b/>
        </w:rPr>
        <w:t xml:space="preserve">ILJEŠKA br. </w:t>
      </w:r>
      <w:r w:rsidR="00CB178D">
        <w:rPr>
          <w:rFonts w:ascii="Times New Roman" w:hAnsi="Times New Roman" w:cs="Times New Roman"/>
          <w:b/>
        </w:rPr>
        <w:t>6</w:t>
      </w:r>
      <w:r w:rsidR="006F5791">
        <w:rPr>
          <w:rFonts w:ascii="Times New Roman" w:hAnsi="Times New Roman" w:cs="Times New Roman"/>
          <w:b/>
        </w:rPr>
        <w:t>8</w:t>
      </w:r>
    </w:p>
    <w:p w14:paraId="7D580053" w14:textId="30CA8E5B" w:rsidR="008B4DEF" w:rsidRPr="007C07EE" w:rsidRDefault="007C07EE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7C07EE">
        <w:rPr>
          <w:rFonts w:ascii="Times New Roman" w:hAnsi="Times New Roman" w:cs="Times New Roman"/>
          <w:bCs/>
        </w:rPr>
        <w:t>Prijevozna sredstva u pomorskom i riječnom prometu</w:t>
      </w:r>
      <w:r>
        <w:rPr>
          <w:rFonts w:ascii="Times New Roman" w:hAnsi="Times New Roman" w:cs="Times New Roman"/>
          <w:bCs/>
        </w:rPr>
        <w:t xml:space="preserve"> (AOP027)</w:t>
      </w:r>
      <w:r w:rsidRPr="007C07EE">
        <w:rPr>
          <w:rFonts w:ascii="Times New Roman" w:hAnsi="Times New Roman" w:cs="Times New Roman"/>
          <w:bCs/>
        </w:rPr>
        <w:t xml:space="preserve"> - iznose 570.00 kn i čine dvije brodice dobivene ostavinskim rješenjem</w:t>
      </w:r>
      <w:r w:rsidR="006F5791">
        <w:rPr>
          <w:rFonts w:ascii="Times New Roman" w:hAnsi="Times New Roman" w:cs="Times New Roman"/>
          <w:bCs/>
        </w:rPr>
        <w:t>.</w:t>
      </w:r>
    </w:p>
    <w:p w14:paraId="7D573970" w14:textId="13DF69A4" w:rsidR="007C07EE" w:rsidRDefault="007C07EE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550D3AF" w14:textId="46066B0D" w:rsidR="007C07EE" w:rsidRDefault="007C07EE" w:rsidP="007C07E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 w:rsidR="006F5791">
        <w:rPr>
          <w:rFonts w:ascii="Times New Roman" w:hAnsi="Times New Roman" w:cs="Times New Roman"/>
          <w:b/>
        </w:rPr>
        <w:t>69</w:t>
      </w:r>
    </w:p>
    <w:p w14:paraId="7CE487A0" w14:textId="1E46B504" w:rsidR="007C07EE" w:rsidRPr="007C07EE" w:rsidRDefault="007C07EE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7C07EE">
        <w:rPr>
          <w:rFonts w:ascii="Times New Roman" w:hAnsi="Times New Roman" w:cs="Times New Roman"/>
          <w:bCs/>
        </w:rPr>
        <w:t xml:space="preserve">Umjetnička djela (AOP032) </w:t>
      </w:r>
      <w:r>
        <w:rPr>
          <w:rFonts w:ascii="Times New Roman" w:hAnsi="Times New Roman" w:cs="Times New Roman"/>
          <w:bCs/>
        </w:rPr>
        <w:t>-</w:t>
      </w:r>
      <w:r w:rsidRPr="007C07E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iznose 325.000 kn i bilježe uvećanje zbog preuzetih</w:t>
      </w:r>
      <w:r w:rsidR="002A470D">
        <w:rPr>
          <w:rFonts w:ascii="Times New Roman" w:hAnsi="Times New Roman" w:cs="Times New Roman"/>
          <w:bCs/>
        </w:rPr>
        <w:t xml:space="preserve"> odnosno knjiženih</w:t>
      </w:r>
      <w:r>
        <w:rPr>
          <w:rFonts w:ascii="Times New Roman" w:hAnsi="Times New Roman" w:cs="Times New Roman"/>
          <w:bCs/>
        </w:rPr>
        <w:t xml:space="preserve"> fotografija </w:t>
      </w:r>
      <w:r w:rsidR="002A470D">
        <w:rPr>
          <w:rFonts w:ascii="Times New Roman" w:hAnsi="Times New Roman" w:cs="Times New Roman"/>
          <w:bCs/>
        </w:rPr>
        <w:t xml:space="preserve">A. </w:t>
      </w:r>
      <w:proofErr w:type="spellStart"/>
      <w:r>
        <w:rPr>
          <w:rFonts w:ascii="Times New Roman" w:hAnsi="Times New Roman" w:cs="Times New Roman"/>
          <w:bCs/>
        </w:rPr>
        <w:t>Orel</w:t>
      </w:r>
      <w:r w:rsidR="002A470D"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>, plaćenih u prethodnim razdobljima.</w:t>
      </w:r>
    </w:p>
    <w:p w14:paraId="729DF1C7" w14:textId="77777777" w:rsidR="007C07EE" w:rsidRDefault="007C07EE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125CB24E" w14:textId="296FC8C5" w:rsidR="00EB2FC4" w:rsidRDefault="00EB2FC4" w:rsidP="00EB2FC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9020E">
        <w:rPr>
          <w:rFonts w:ascii="Times New Roman" w:hAnsi="Times New Roman" w:cs="Times New Roman"/>
          <w:b/>
        </w:rPr>
        <w:t xml:space="preserve">BILJEŠKA br. </w:t>
      </w:r>
      <w:r w:rsidR="00C24AF8">
        <w:rPr>
          <w:rFonts w:ascii="Times New Roman" w:hAnsi="Times New Roman" w:cs="Times New Roman"/>
          <w:b/>
        </w:rPr>
        <w:t>7</w:t>
      </w:r>
      <w:r w:rsidR="006F5791">
        <w:rPr>
          <w:rFonts w:ascii="Times New Roman" w:hAnsi="Times New Roman" w:cs="Times New Roman"/>
          <w:b/>
        </w:rPr>
        <w:t>0</w:t>
      </w:r>
    </w:p>
    <w:p w14:paraId="09312112" w14:textId="6A13F6DD" w:rsidR="00EB2FC4" w:rsidRPr="002A470D" w:rsidRDefault="002A470D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70D">
        <w:rPr>
          <w:rFonts w:ascii="Times New Roman" w:hAnsi="Times New Roman" w:cs="Times New Roman"/>
          <w:b/>
          <w:color w:val="000000"/>
          <w:sz w:val="24"/>
          <w:szCs w:val="24"/>
        </w:rPr>
        <w:t>Financijska imovina</w:t>
      </w:r>
    </w:p>
    <w:p w14:paraId="576B4316" w14:textId="77777777" w:rsidR="005F1326" w:rsidRPr="00526AD1" w:rsidRDefault="005F1326" w:rsidP="005F1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341"/>
        <w:gridCol w:w="554"/>
        <w:gridCol w:w="1116"/>
        <w:gridCol w:w="1116"/>
        <w:gridCol w:w="706"/>
        <w:gridCol w:w="1016"/>
      </w:tblGrid>
      <w:tr w:rsidR="00E9020E" w:rsidRPr="00F76849" w14:paraId="6FEABFBA" w14:textId="77777777" w:rsidTr="00E9020E">
        <w:trPr>
          <w:trHeight w:val="550"/>
          <w:jc w:val="center"/>
        </w:trPr>
        <w:tc>
          <w:tcPr>
            <w:tcW w:w="790" w:type="dxa"/>
            <w:shd w:val="clear" w:color="auto" w:fill="DBE5F1" w:themeFill="accent1" w:themeFillTint="33"/>
            <w:vAlign w:val="center"/>
            <w:hideMark/>
          </w:tcPr>
          <w:p w14:paraId="48F984C6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4341" w:type="dxa"/>
            <w:shd w:val="clear" w:color="auto" w:fill="DBE5F1" w:themeFill="accent1" w:themeFillTint="33"/>
            <w:noWrap/>
            <w:vAlign w:val="center"/>
            <w:hideMark/>
          </w:tcPr>
          <w:p w14:paraId="27677B58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54" w:type="dxa"/>
            <w:shd w:val="clear" w:color="auto" w:fill="DBE5F1" w:themeFill="accent1" w:themeFillTint="33"/>
            <w:noWrap/>
            <w:vAlign w:val="center"/>
            <w:hideMark/>
          </w:tcPr>
          <w:p w14:paraId="47F3A986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  <w:hideMark/>
          </w:tcPr>
          <w:p w14:paraId="69BB4940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1. siječnja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  <w:hideMark/>
          </w:tcPr>
          <w:p w14:paraId="50F618B5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31. prosinca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  <w:hideMark/>
          </w:tcPr>
          <w:p w14:paraId="10FB1135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  <w:p w14:paraId="0C1EA648" w14:textId="0ACFD1F5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(5/4)</w:t>
            </w:r>
          </w:p>
        </w:tc>
        <w:tc>
          <w:tcPr>
            <w:tcW w:w="1016" w:type="dxa"/>
            <w:shd w:val="clear" w:color="auto" w:fill="DBE5F1" w:themeFill="accent1" w:themeFillTint="33"/>
            <w:vAlign w:val="center"/>
            <w:hideMark/>
          </w:tcPr>
          <w:p w14:paraId="0EDDD96C" w14:textId="77777777" w:rsidR="00E9020E" w:rsidRPr="00F76849" w:rsidRDefault="00E9020E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677245" w:rsidRPr="00F76849" w14:paraId="02D848A3" w14:textId="77777777" w:rsidTr="00E9020E">
        <w:trPr>
          <w:trHeight w:val="166"/>
          <w:jc w:val="center"/>
        </w:trPr>
        <w:tc>
          <w:tcPr>
            <w:tcW w:w="790" w:type="dxa"/>
            <w:shd w:val="clear" w:color="auto" w:fill="B8CCE4" w:themeFill="accent1" w:themeFillTint="66"/>
            <w:vAlign w:val="center"/>
            <w:hideMark/>
          </w:tcPr>
          <w:p w14:paraId="2C0E3C56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341" w:type="dxa"/>
            <w:shd w:val="clear" w:color="auto" w:fill="B8CCE4" w:themeFill="accent1" w:themeFillTint="66"/>
            <w:noWrap/>
            <w:vAlign w:val="center"/>
            <w:hideMark/>
          </w:tcPr>
          <w:p w14:paraId="392D8017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dxa"/>
            <w:shd w:val="clear" w:color="auto" w:fill="B8CCE4" w:themeFill="accent1" w:themeFillTint="66"/>
            <w:noWrap/>
            <w:vAlign w:val="center"/>
            <w:hideMark/>
          </w:tcPr>
          <w:p w14:paraId="2197CBD2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16" w:type="dxa"/>
            <w:shd w:val="clear" w:color="auto" w:fill="B8CCE4" w:themeFill="accent1" w:themeFillTint="66"/>
            <w:noWrap/>
            <w:vAlign w:val="center"/>
            <w:hideMark/>
          </w:tcPr>
          <w:p w14:paraId="57730C7B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16" w:type="dxa"/>
            <w:shd w:val="clear" w:color="auto" w:fill="B8CCE4" w:themeFill="accent1" w:themeFillTint="66"/>
            <w:vAlign w:val="center"/>
            <w:hideMark/>
          </w:tcPr>
          <w:p w14:paraId="73B2B8AD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6" w:type="dxa"/>
            <w:shd w:val="clear" w:color="auto" w:fill="B8CCE4" w:themeFill="accent1" w:themeFillTint="66"/>
            <w:vAlign w:val="center"/>
            <w:hideMark/>
          </w:tcPr>
          <w:p w14:paraId="2A63B791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16" w:type="dxa"/>
            <w:shd w:val="clear" w:color="auto" w:fill="B8CCE4" w:themeFill="accent1" w:themeFillTint="66"/>
            <w:vAlign w:val="center"/>
            <w:hideMark/>
          </w:tcPr>
          <w:p w14:paraId="4E85ECBF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677245" w:rsidRPr="00F76849" w14:paraId="24B5E7F8" w14:textId="77777777" w:rsidTr="00E9020E">
        <w:trPr>
          <w:trHeight w:val="198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3E67423F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1A654B19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Novac u banci i blagajni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AFED141" w14:textId="77777777" w:rsidR="00677245" w:rsidRPr="00F76849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77245"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AE75EA" w14:textId="634D42E7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68.558.811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EE80E7" w14:textId="759A63DF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45.325.099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7D3F129" w14:textId="146CE6C5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66,1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8D7AA88" w14:textId="7829A63C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-23.233.712</w:t>
            </w:r>
          </w:p>
        </w:tc>
      </w:tr>
      <w:tr w:rsidR="00677245" w:rsidRPr="00F76849" w14:paraId="7F6A855D" w14:textId="77777777" w:rsidTr="00E9020E">
        <w:trPr>
          <w:trHeight w:val="42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7190D049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5B936D64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Depoziti, </w:t>
            </w:r>
            <w:proofErr w:type="spellStart"/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jamčevni</w:t>
            </w:r>
            <w:proofErr w:type="spellEnd"/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polozi</w:t>
            </w:r>
            <w:proofErr w:type="spellEnd"/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i potraživanja od zaposlenih te za više plaćene poreze i ostalo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1D86C52" w14:textId="77777777" w:rsidR="00677245" w:rsidRPr="00F76849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77245"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C05B36" w14:textId="6BCD247F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229.674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77DCCA" w14:textId="48678739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845.662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D5E17BC" w14:textId="1CE8827A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368,2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DC165C7" w14:textId="6ED931F4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615.988</w:t>
            </w:r>
          </w:p>
        </w:tc>
      </w:tr>
      <w:tr w:rsidR="00677245" w:rsidRPr="00F76849" w14:paraId="6348D065" w14:textId="77777777" w:rsidTr="00E9020E">
        <w:trPr>
          <w:trHeight w:val="267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348B4D94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5F2BE5EE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Dionice i udjeli u glavnici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220BA06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8D3480" w14:textId="21B2BAF5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235.316.917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23CE71" w14:textId="5BA74A80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235.678.717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8B3AAE1" w14:textId="2004EF3C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100,2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FAF4DCE" w14:textId="36F473AC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361.800</w:t>
            </w:r>
          </w:p>
        </w:tc>
      </w:tr>
      <w:tr w:rsidR="00677245" w:rsidRPr="00F76849" w14:paraId="2E83F47E" w14:textId="77777777" w:rsidTr="00F76849">
        <w:trPr>
          <w:trHeight w:val="235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7B6F967E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02ED5DE2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Potraživanja za prihode poslovanja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7374F30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E5C519" w14:textId="523BD111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41.575.293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C726B3" w14:textId="1369D161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52.075.629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F2479F8" w14:textId="41A94BDE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125,3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567E9DF" w14:textId="35D27162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10.500.336</w:t>
            </w:r>
          </w:p>
        </w:tc>
      </w:tr>
      <w:tr w:rsidR="00677245" w:rsidRPr="00F76849" w14:paraId="6BF854A1" w14:textId="77777777" w:rsidTr="00E9020E">
        <w:trPr>
          <w:trHeight w:val="305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17474F95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25C4B762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Potraživanja od prodaje nefinancijske imovine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6BC038C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E0B646" w14:textId="483F40BA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7.313.653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BD7FE9" w14:textId="332AA846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5.056.037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8E0D773" w14:textId="77E794F5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69,1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4B62D65" w14:textId="10E80B3E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-2.257.616</w:t>
            </w:r>
          </w:p>
        </w:tc>
      </w:tr>
      <w:tr w:rsidR="00677245" w:rsidRPr="00F76849" w14:paraId="637CE98F" w14:textId="77777777" w:rsidTr="00F76849">
        <w:trPr>
          <w:trHeight w:val="257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14:paraId="30D395A2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14:paraId="4020261E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C632491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7E9614" w14:textId="5BBEBBF9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2.127.076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508170" w14:textId="3156D21A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2.230.170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4828F6A" w14:textId="154A5EB3" w:rsidR="00677245" w:rsidRPr="00F76849" w:rsidRDefault="00E9020E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104,8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FC4945F" w14:textId="27131DC0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103.094</w:t>
            </w:r>
          </w:p>
        </w:tc>
      </w:tr>
      <w:tr w:rsidR="00677245" w:rsidRPr="00F76849" w14:paraId="0EDF99D6" w14:textId="77777777" w:rsidTr="00E9020E">
        <w:trPr>
          <w:trHeight w:val="315"/>
          <w:jc w:val="center"/>
        </w:trPr>
        <w:tc>
          <w:tcPr>
            <w:tcW w:w="790" w:type="dxa"/>
            <w:shd w:val="clear" w:color="auto" w:fill="DBE5F1" w:themeFill="accent1" w:themeFillTint="33"/>
            <w:vAlign w:val="center"/>
            <w:hideMark/>
          </w:tcPr>
          <w:p w14:paraId="4A190643" w14:textId="77777777" w:rsidR="00677245" w:rsidRPr="00F76849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341" w:type="dxa"/>
            <w:shd w:val="clear" w:color="auto" w:fill="DBE5F1" w:themeFill="accent1" w:themeFillTint="33"/>
            <w:vAlign w:val="center"/>
            <w:hideMark/>
          </w:tcPr>
          <w:p w14:paraId="3D122716" w14:textId="77777777" w:rsidR="00677245" w:rsidRPr="00F76849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Financijska imovina </w:t>
            </w:r>
          </w:p>
        </w:tc>
        <w:tc>
          <w:tcPr>
            <w:tcW w:w="554" w:type="dxa"/>
            <w:shd w:val="clear" w:color="auto" w:fill="DBE5F1" w:themeFill="accent1" w:themeFillTint="33"/>
            <w:vAlign w:val="center"/>
            <w:hideMark/>
          </w:tcPr>
          <w:p w14:paraId="7C723C4C" w14:textId="77777777" w:rsidR="00677245" w:rsidRPr="00F76849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77245" w:rsidRPr="00F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116" w:type="dxa"/>
            <w:shd w:val="clear" w:color="auto" w:fill="DBE5F1" w:themeFill="accent1" w:themeFillTint="33"/>
            <w:noWrap/>
            <w:vAlign w:val="center"/>
          </w:tcPr>
          <w:p w14:paraId="4580307C" w14:textId="1E41AED2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355.121.424</w:t>
            </w:r>
          </w:p>
        </w:tc>
        <w:tc>
          <w:tcPr>
            <w:tcW w:w="1116" w:type="dxa"/>
            <w:shd w:val="clear" w:color="auto" w:fill="DBE5F1" w:themeFill="accent1" w:themeFillTint="33"/>
            <w:noWrap/>
            <w:vAlign w:val="center"/>
          </w:tcPr>
          <w:p w14:paraId="61D0EF12" w14:textId="7B7BB935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341.211.314</w:t>
            </w:r>
          </w:p>
        </w:tc>
        <w:tc>
          <w:tcPr>
            <w:tcW w:w="706" w:type="dxa"/>
            <w:shd w:val="clear" w:color="auto" w:fill="DBE5F1" w:themeFill="accent1" w:themeFillTint="33"/>
            <w:noWrap/>
            <w:vAlign w:val="center"/>
          </w:tcPr>
          <w:p w14:paraId="27706034" w14:textId="0ED10B27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96,1</w:t>
            </w:r>
          </w:p>
        </w:tc>
        <w:tc>
          <w:tcPr>
            <w:tcW w:w="1016" w:type="dxa"/>
            <w:shd w:val="clear" w:color="auto" w:fill="DBE5F1" w:themeFill="accent1" w:themeFillTint="33"/>
            <w:noWrap/>
            <w:vAlign w:val="center"/>
          </w:tcPr>
          <w:p w14:paraId="1D277C7D" w14:textId="6E19F669" w:rsidR="00677245" w:rsidRPr="00F76849" w:rsidRDefault="00F76849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-13.910.110</w:t>
            </w:r>
          </w:p>
        </w:tc>
      </w:tr>
    </w:tbl>
    <w:p w14:paraId="331D52BA" w14:textId="77777777" w:rsidR="00CA0C87" w:rsidRDefault="00CA0C87" w:rsidP="005254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5D06F8" w14:textId="02796497" w:rsidR="00E9020E" w:rsidRDefault="00E9020E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614A2B7" w14:textId="60B30040" w:rsidR="00C24AF8" w:rsidRDefault="00C24AF8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4E1D89CE" w14:textId="77777777" w:rsidR="00C24AF8" w:rsidRDefault="00C24AF8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36C35D85" w14:textId="07ED9627" w:rsidR="00657A6C" w:rsidRDefault="00657A6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lastRenderedPageBreak/>
        <w:t xml:space="preserve">BILJEŠKA br. </w:t>
      </w:r>
      <w:r w:rsidR="00C24AF8">
        <w:rPr>
          <w:rFonts w:ascii="Times New Roman" w:hAnsi="Times New Roman" w:cs="Times New Roman"/>
          <w:b/>
        </w:rPr>
        <w:t>7</w:t>
      </w:r>
      <w:r w:rsidR="006F5791">
        <w:rPr>
          <w:rFonts w:ascii="Times New Roman" w:hAnsi="Times New Roman" w:cs="Times New Roman"/>
          <w:b/>
        </w:rPr>
        <w:t>1</w:t>
      </w:r>
    </w:p>
    <w:p w14:paraId="6F680D09" w14:textId="366DD510" w:rsidR="00F76849" w:rsidRDefault="00F7684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F76849">
        <w:rPr>
          <w:rFonts w:ascii="Times New Roman" w:hAnsi="Times New Roman" w:cs="Times New Roman"/>
          <w:bCs/>
        </w:rPr>
        <w:t>Potraživanja za više plaćene poreze i doprinose (AOP079) - iznose 2.809 kn</w:t>
      </w:r>
      <w:r>
        <w:rPr>
          <w:rFonts w:ascii="Times New Roman" w:hAnsi="Times New Roman" w:cs="Times New Roman"/>
          <w:bCs/>
        </w:rPr>
        <w:t xml:space="preserve"> i čine potraživanja za naknadno priznatu ozljedu na radu zaposlenika.</w:t>
      </w:r>
    </w:p>
    <w:p w14:paraId="2E938B73" w14:textId="6D597CF0" w:rsidR="00F76849" w:rsidRDefault="00F7684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14:paraId="4915525A" w14:textId="3AB628AB" w:rsidR="00F76849" w:rsidRDefault="00F76849" w:rsidP="00F7684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>
        <w:rPr>
          <w:rFonts w:ascii="Times New Roman" w:hAnsi="Times New Roman" w:cs="Times New Roman"/>
          <w:b/>
        </w:rPr>
        <w:t>7</w:t>
      </w:r>
      <w:r w:rsidR="006F5791">
        <w:rPr>
          <w:rFonts w:ascii="Times New Roman" w:hAnsi="Times New Roman" w:cs="Times New Roman"/>
          <w:b/>
        </w:rPr>
        <w:t>2</w:t>
      </w:r>
    </w:p>
    <w:p w14:paraId="6DFE2823" w14:textId="1F3D127F" w:rsidR="00443A88" w:rsidRPr="00526AD1" w:rsidRDefault="00677245" w:rsidP="00525422">
      <w:pPr>
        <w:pStyle w:val="Style11"/>
        <w:widowControl/>
        <w:tabs>
          <w:tab w:val="left" w:pos="223"/>
        </w:tabs>
        <w:spacing w:line="276" w:lineRule="auto"/>
        <w:contextualSpacing/>
        <w:rPr>
          <w:rStyle w:val="FontStyle24"/>
          <w:spacing w:val="0"/>
        </w:rPr>
      </w:pPr>
      <w:r>
        <w:rPr>
          <w:rStyle w:val="FontStyle25"/>
          <w:b w:val="0"/>
          <w:spacing w:val="0"/>
        </w:rPr>
        <w:t>Ostala potraživanja (AOP080) -</w:t>
      </w:r>
      <w:r w:rsidR="00657A6C">
        <w:rPr>
          <w:rStyle w:val="FontStyle25"/>
          <w:b w:val="0"/>
          <w:spacing w:val="0"/>
        </w:rPr>
        <w:t xml:space="preserve"> iznose </w:t>
      </w:r>
      <w:r w:rsidR="00F76849">
        <w:rPr>
          <w:rStyle w:val="FontStyle25"/>
          <w:b w:val="0"/>
          <w:spacing w:val="0"/>
        </w:rPr>
        <w:t>689.869</w:t>
      </w:r>
      <w:r w:rsidR="00657A6C">
        <w:rPr>
          <w:rStyle w:val="FontStyle25"/>
          <w:b w:val="0"/>
          <w:spacing w:val="0"/>
        </w:rPr>
        <w:t xml:space="preserve"> kn, a </w:t>
      </w:r>
      <w:r w:rsidR="00443A88" w:rsidRPr="00526AD1">
        <w:rPr>
          <w:rStyle w:val="FontStyle25"/>
          <w:b w:val="0"/>
          <w:spacing w:val="0"/>
        </w:rPr>
        <w:t>čin</w:t>
      </w:r>
      <w:r w:rsidR="009848FB">
        <w:rPr>
          <w:rStyle w:val="FontStyle25"/>
          <w:b w:val="0"/>
          <w:spacing w:val="0"/>
        </w:rPr>
        <w:t>e</w:t>
      </w:r>
      <w:r w:rsidR="00657A6C">
        <w:rPr>
          <w:rStyle w:val="FontStyle25"/>
          <w:b w:val="0"/>
          <w:spacing w:val="0"/>
        </w:rPr>
        <w:t xml:space="preserve"> ih</w:t>
      </w:r>
      <w:r w:rsidR="00443A88" w:rsidRPr="00526AD1">
        <w:rPr>
          <w:rStyle w:val="FontStyle25"/>
          <w:b w:val="0"/>
          <w:spacing w:val="0"/>
        </w:rPr>
        <w:t>: potraživanja za naknade koje se refundiraju odnosno potraživanje za bolova</w:t>
      </w:r>
      <w:r w:rsidR="00443A88" w:rsidRPr="000555FA">
        <w:rPr>
          <w:rStyle w:val="FontStyle25"/>
          <w:b w:val="0"/>
          <w:spacing w:val="0"/>
        </w:rPr>
        <w:t xml:space="preserve">nje preko 42 dana i kućnu njegu od strane Hrvatskog zavoda za zdravstveno osiguranje u iznosu </w:t>
      </w:r>
      <w:r w:rsidR="00F76849" w:rsidRPr="000555FA">
        <w:rPr>
          <w:rStyle w:val="FontStyle25"/>
          <w:b w:val="0"/>
          <w:spacing w:val="0"/>
        </w:rPr>
        <w:t>43.238</w:t>
      </w:r>
      <w:r w:rsidR="00443A88" w:rsidRPr="000555FA">
        <w:rPr>
          <w:rStyle w:val="FontStyle25"/>
          <w:b w:val="0"/>
          <w:spacing w:val="0"/>
        </w:rPr>
        <w:t xml:space="preserve"> kn</w:t>
      </w:r>
      <w:r w:rsidR="00F76849" w:rsidRPr="000555FA">
        <w:rPr>
          <w:rStyle w:val="FontStyle25"/>
          <w:b w:val="0"/>
          <w:spacing w:val="0"/>
        </w:rPr>
        <w:t>,</w:t>
      </w:r>
      <w:r w:rsidR="00657A6C" w:rsidRPr="000555FA">
        <w:rPr>
          <w:rStyle w:val="FontStyle25"/>
          <w:b w:val="0"/>
          <w:spacing w:val="0"/>
        </w:rPr>
        <w:t xml:space="preserve"> </w:t>
      </w:r>
      <w:r w:rsidR="00443A88" w:rsidRPr="000555FA">
        <w:rPr>
          <w:rStyle w:val="FontStyle25"/>
          <w:b w:val="0"/>
          <w:spacing w:val="0"/>
        </w:rPr>
        <w:t>o</w:t>
      </w:r>
      <w:r w:rsidR="00443A88" w:rsidRPr="000555FA">
        <w:rPr>
          <w:rStyle w:val="FontStyle24"/>
          <w:spacing w:val="0"/>
        </w:rPr>
        <w:t xml:space="preserve">stala nespomenuta potraživanja u iznosu od </w:t>
      </w:r>
      <w:r w:rsidR="001A69B9" w:rsidRPr="000555FA">
        <w:rPr>
          <w:rStyle w:val="FontStyle24"/>
          <w:spacing w:val="0"/>
        </w:rPr>
        <w:t>71.4</w:t>
      </w:r>
      <w:r w:rsidR="00F66D21" w:rsidRPr="000555FA">
        <w:rPr>
          <w:rStyle w:val="FontStyle24"/>
          <w:spacing w:val="0"/>
        </w:rPr>
        <w:t>29</w:t>
      </w:r>
      <w:r w:rsidR="00443A88" w:rsidRPr="000555FA">
        <w:rPr>
          <w:rStyle w:val="FontStyle24"/>
          <w:spacing w:val="0"/>
        </w:rPr>
        <w:t xml:space="preserve"> kn</w:t>
      </w:r>
      <w:r w:rsidR="006B1FA3" w:rsidRPr="000555FA">
        <w:rPr>
          <w:rStyle w:val="FontStyle24"/>
          <w:spacing w:val="0"/>
        </w:rPr>
        <w:t xml:space="preserve"> </w:t>
      </w:r>
      <w:r w:rsidR="00443A88" w:rsidRPr="000555FA">
        <w:rPr>
          <w:rStyle w:val="FontStyle24"/>
          <w:spacing w:val="0"/>
        </w:rPr>
        <w:t>koj</w:t>
      </w:r>
      <w:r w:rsidR="001A69B9" w:rsidRPr="000555FA">
        <w:rPr>
          <w:rStyle w:val="FontStyle24"/>
          <w:spacing w:val="0"/>
        </w:rPr>
        <w:t>a</w:t>
      </w:r>
      <w:r w:rsidR="00443A88" w:rsidRPr="000555FA">
        <w:rPr>
          <w:rStyle w:val="FontStyle24"/>
          <w:spacing w:val="0"/>
        </w:rPr>
        <w:t xml:space="preserve"> čine potraživanja za osporavane presude za koje su sredstva skinuta sa računa Grada od strane FINA</w:t>
      </w:r>
      <w:r w:rsidR="003A7E83" w:rsidRPr="000555FA">
        <w:rPr>
          <w:rStyle w:val="FontStyle24"/>
          <w:spacing w:val="0"/>
        </w:rPr>
        <w:t>-</w:t>
      </w:r>
      <w:r w:rsidR="00443A88" w:rsidRPr="000555FA">
        <w:rPr>
          <w:rStyle w:val="FontStyle24"/>
          <w:spacing w:val="0"/>
        </w:rPr>
        <w:t xml:space="preserve">e, za više isplaćena sredstva iz proračuna po </w:t>
      </w:r>
      <w:r w:rsidR="00657A6C" w:rsidRPr="000555FA">
        <w:rPr>
          <w:rStyle w:val="FontStyle24"/>
          <w:spacing w:val="0"/>
        </w:rPr>
        <w:t xml:space="preserve">računima ili </w:t>
      </w:r>
      <w:r w:rsidR="00443A88" w:rsidRPr="000555FA">
        <w:rPr>
          <w:rStyle w:val="FontStyle24"/>
          <w:spacing w:val="0"/>
        </w:rPr>
        <w:t>programima koja nisu realizirana i sl.</w:t>
      </w:r>
      <w:r w:rsidR="00F66D21" w:rsidRPr="000555FA">
        <w:rPr>
          <w:rStyle w:val="FontStyle24"/>
          <w:spacing w:val="0"/>
        </w:rPr>
        <w:t>,</w:t>
      </w:r>
      <w:r w:rsidR="001A69B9" w:rsidRPr="000555FA">
        <w:rPr>
          <w:rStyle w:val="FontStyle24"/>
          <w:spacing w:val="0"/>
        </w:rPr>
        <w:t xml:space="preserve"> a od navedenog iznosa potraživanje 2020. godine iznosi 43.912 kn. Na povećanje ostalih nespomenutih potraživanja utjecalo je potraživanje po osnovi </w:t>
      </w:r>
      <w:r w:rsidR="00F66D21" w:rsidRPr="000555FA">
        <w:rPr>
          <w:rFonts w:ascii="Times New Roman" w:hAnsi="Times New Roman" w:cs="Times New Roman"/>
        </w:rPr>
        <w:t>provođenja projekta</w:t>
      </w:r>
      <w:r w:rsidR="005D7DEF" w:rsidRPr="000555FA">
        <w:rPr>
          <w:rFonts w:ascii="Times New Roman" w:hAnsi="Times New Roman" w:cs="Times New Roman"/>
        </w:rPr>
        <w:t xml:space="preserve"> „Pulski </w:t>
      </w:r>
      <w:proofErr w:type="spellStart"/>
      <w:r w:rsidR="005D7DEF" w:rsidRPr="000555FA">
        <w:rPr>
          <w:rFonts w:ascii="Times New Roman" w:hAnsi="Times New Roman" w:cs="Times New Roman"/>
        </w:rPr>
        <w:t>fotifikacijski</w:t>
      </w:r>
      <w:proofErr w:type="spellEnd"/>
      <w:r w:rsidR="005D7DEF" w:rsidRPr="000555FA">
        <w:rPr>
          <w:rFonts w:ascii="Times New Roman" w:hAnsi="Times New Roman" w:cs="Times New Roman"/>
        </w:rPr>
        <w:t xml:space="preserve"> sustav kao novi kulturno turistički proizvod“ </w:t>
      </w:r>
      <w:r w:rsidR="006F5791" w:rsidRPr="000555FA">
        <w:rPr>
          <w:rFonts w:ascii="Times New Roman" w:hAnsi="Times New Roman" w:cs="Times New Roman"/>
        </w:rPr>
        <w:t xml:space="preserve">za isplaćena sredstva </w:t>
      </w:r>
      <w:r w:rsidR="005D7DEF" w:rsidRPr="000555FA">
        <w:rPr>
          <w:rFonts w:ascii="Times New Roman" w:hAnsi="Times New Roman" w:cs="Times New Roman"/>
        </w:rPr>
        <w:t xml:space="preserve">partnerima na projektu </w:t>
      </w:r>
      <w:r w:rsidR="006F5791" w:rsidRPr="000555FA">
        <w:rPr>
          <w:rFonts w:ascii="Times New Roman" w:hAnsi="Times New Roman" w:cs="Times New Roman"/>
        </w:rPr>
        <w:t>temeljem Ugovora</w:t>
      </w:r>
      <w:r w:rsidR="00623063" w:rsidRPr="000555FA">
        <w:rPr>
          <w:rFonts w:ascii="Times New Roman" w:hAnsi="Times New Roman" w:cs="Times New Roman"/>
        </w:rPr>
        <w:t xml:space="preserve"> koja će biti pravdana u narednom razdoblju</w:t>
      </w:r>
      <w:r w:rsidR="00F66D21" w:rsidRPr="000555FA">
        <w:rPr>
          <w:rFonts w:ascii="Times New Roman" w:hAnsi="Times New Roman" w:cs="Times New Roman"/>
        </w:rPr>
        <w:t xml:space="preserve"> u iznosu od 575.202 kn.</w:t>
      </w:r>
    </w:p>
    <w:p w14:paraId="4A56B9BB" w14:textId="77777777" w:rsidR="00DC0226" w:rsidRDefault="00DC0226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493ADCA" w14:textId="1B467E9F" w:rsidR="00F66D21" w:rsidRPr="00526AD1" w:rsidRDefault="00F66D21" w:rsidP="00F66D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</w:t>
      </w:r>
      <w:r>
        <w:rPr>
          <w:rFonts w:ascii="Times New Roman" w:hAnsi="Times New Roman" w:cs="Times New Roman"/>
          <w:b/>
        </w:rPr>
        <w:t>. 7</w:t>
      </w:r>
      <w:r w:rsidR="00623063">
        <w:rPr>
          <w:rFonts w:ascii="Times New Roman" w:hAnsi="Times New Roman" w:cs="Times New Roman"/>
          <w:b/>
        </w:rPr>
        <w:t>3</w:t>
      </w:r>
    </w:p>
    <w:p w14:paraId="7497B138" w14:textId="334E0842" w:rsidR="00F66D21" w:rsidRPr="00F66D21" w:rsidRDefault="00F66D2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F66D21">
        <w:rPr>
          <w:rFonts w:ascii="Times New Roman" w:hAnsi="Times New Roman" w:cs="Times New Roman"/>
          <w:bCs/>
        </w:rPr>
        <w:t xml:space="preserve">Potraživanja za pomoći proračunskim korisnicima iz proračuna koji im nije nadležan (AOP150) </w:t>
      </w:r>
      <w:r w:rsidR="00843597">
        <w:rPr>
          <w:rFonts w:ascii="Times New Roman" w:hAnsi="Times New Roman" w:cs="Times New Roman"/>
          <w:bCs/>
        </w:rPr>
        <w:t>-</w:t>
      </w:r>
      <w:r w:rsidRPr="00F66D21">
        <w:rPr>
          <w:rFonts w:ascii="Times New Roman" w:hAnsi="Times New Roman" w:cs="Times New Roman"/>
          <w:bCs/>
        </w:rPr>
        <w:t>iznose 27.846 kn</w:t>
      </w:r>
      <w:r w:rsidR="00843597">
        <w:rPr>
          <w:rFonts w:ascii="Times New Roman" w:hAnsi="Times New Roman" w:cs="Times New Roman"/>
          <w:bCs/>
        </w:rPr>
        <w:t>, a čine potraživanja u iznosu od 5.388 kn za manje doznačeno za osnovno školstvo temeljem Odluke o minimalnom financijskom standardu te u iznosu od 22.458 kn zbog manje doznačenih tekućih pomoći izravnanja za decentralizirane funkcije za Javnu vatrogasnu postrojbu.</w:t>
      </w:r>
    </w:p>
    <w:p w14:paraId="35E800A5" w14:textId="77777777" w:rsidR="00F66D21" w:rsidRDefault="00F66D2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74C14D7F" w14:textId="5E1C884B" w:rsidR="00DC0226" w:rsidRDefault="00DC0226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</w:t>
      </w:r>
      <w:r w:rsidR="00F66D21">
        <w:rPr>
          <w:rFonts w:ascii="Times New Roman" w:hAnsi="Times New Roman" w:cs="Times New Roman"/>
          <w:b/>
        </w:rPr>
        <w:t>. 7</w:t>
      </w:r>
      <w:r w:rsidR="00623063">
        <w:rPr>
          <w:rFonts w:ascii="Times New Roman" w:hAnsi="Times New Roman" w:cs="Times New Roman"/>
          <w:b/>
        </w:rPr>
        <w:t>4</w:t>
      </w:r>
    </w:p>
    <w:p w14:paraId="7E29EA7B" w14:textId="11A08998" w:rsidR="00843597" w:rsidRPr="008E4C0A" w:rsidRDefault="00843597" w:rsidP="0084359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8E4C0A">
        <w:rPr>
          <w:rFonts w:ascii="Times New Roman" w:hAnsi="Times New Roman" w:cs="Times New Roman"/>
        </w:rPr>
        <w:t>Potraživanja za upravne i administrativne pristojbe, pristojbe po posebnim propisima i naknade (AOP15</w:t>
      </w:r>
      <w:r>
        <w:rPr>
          <w:rFonts w:ascii="Times New Roman" w:hAnsi="Times New Roman" w:cs="Times New Roman"/>
        </w:rPr>
        <w:t>3</w:t>
      </w:r>
      <w:r w:rsidRPr="008E4C0A">
        <w:rPr>
          <w:rFonts w:ascii="Times New Roman" w:hAnsi="Times New Roman" w:cs="Times New Roman"/>
        </w:rPr>
        <w:t xml:space="preserve">) - iznose </w:t>
      </w:r>
      <w:r>
        <w:rPr>
          <w:rFonts w:ascii="Times New Roman" w:hAnsi="Times New Roman" w:cs="Times New Roman"/>
        </w:rPr>
        <w:t>70.831.644</w:t>
      </w:r>
      <w:r w:rsidRPr="008E4C0A">
        <w:rPr>
          <w:rFonts w:ascii="Times New Roman" w:hAnsi="Times New Roman" w:cs="Times New Roman"/>
        </w:rPr>
        <w:t xml:space="preserve"> kn i za </w:t>
      </w:r>
      <w:r>
        <w:rPr>
          <w:rFonts w:ascii="Times New Roman" w:hAnsi="Times New Roman" w:cs="Times New Roman"/>
        </w:rPr>
        <w:t>17,8%</w:t>
      </w:r>
      <w:r w:rsidRPr="008E4C0A">
        <w:rPr>
          <w:rFonts w:ascii="Times New Roman" w:hAnsi="Times New Roman" w:cs="Times New Roman"/>
        </w:rPr>
        <w:t xml:space="preserve"> iznose više nego u 201</w:t>
      </w:r>
      <w:r>
        <w:rPr>
          <w:rFonts w:ascii="Times New Roman" w:hAnsi="Times New Roman" w:cs="Times New Roman"/>
        </w:rPr>
        <w:t>9</w:t>
      </w:r>
      <w:r w:rsidRPr="008E4C0A">
        <w:rPr>
          <w:rFonts w:ascii="Times New Roman" w:hAnsi="Times New Roman" w:cs="Times New Roman"/>
        </w:rPr>
        <w:t xml:space="preserve">. godini. Povećanje je iskazano kod potraživanja po osnovi komunalnog doprinosa i naknada </w:t>
      </w:r>
      <w:r>
        <w:rPr>
          <w:rFonts w:ascii="Times New Roman" w:hAnsi="Times New Roman" w:cs="Times New Roman"/>
        </w:rPr>
        <w:t xml:space="preserve">odnosno kod komunalnog doprinosa temeljem izdanih rješenja, a kod komunalne naknade zbog Izmjene zakona o komunalnom gospodarstvu temeljem kojeg se zatezne kamate dnevno obračunavaju, a sukladno Općem poreznom zakonu. </w:t>
      </w:r>
    </w:p>
    <w:p w14:paraId="43EAFF17" w14:textId="77777777" w:rsidR="00FC342B" w:rsidRDefault="00FC342B" w:rsidP="005C31F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2D481DD1" w14:textId="72E6C237" w:rsidR="005C31FE" w:rsidRDefault="005C31FE" w:rsidP="005C31F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</w:t>
      </w:r>
      <w:r>
        <w:rPr>
          <w:rFonts w:ascii="Times New Roman" w:hAnsi="Times New Roman" w:cs="Times New Roman"/>
          <w:b/>
        </w:rPr>
        <w:t>. 7</w:t>
      </w:r>
      <w:r w:rsidR="00623063">
        <w:rPr>
          <w:rFonts w:ascii="Times New Roman" w:hAnsi="Times New Roman" w:cs="Times New Roman"/>
          <w:b/>
        </w:rPr>
        <w:t>5</w:t>
      </w:r>
    </w:p>
    <w:p w14:paraId="7A0BE740" w14:textId="7447D585" w:rsidR="00FC342B" w:rsidRDefault="00FC342B" w:rsidP="00FC342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  <w:r w:rsidRPr="00A07F67">
        <w:rPr>
          <w:rFonts w:ascii="Times New Roman" w:hAnsi="Times New Roman" w:cs="Times New Roman"/>
        </w:rPr>
        <w:t xml:space="preserve">Potraživanja za kazne i upravne mjere te ostale prihode (AOP155) </w:t>
      </w:r>
      <w:r>
        <w:rPr>
          <w:rFonts w:ascii="Times New Roman" w:hAnsi="Times New Roman" w:cs="Times New Roman"/>
        </w:rPr>
        <w:t>- iznose 6.608.724 kn i za 19,0% kn su veća u odnosu na 2019. godinu zbog većeg broja izdanih te nenaplaćenih kazni za prekršaje u prometu za nepropisno parkiranje vozila.</w:t>
      </w:r>
    </w:p>
    <w:p w14:paraId="02486DF7" w14:textId="77777777" w:rsidR="00FC342B" w:rsidRDefault="00FC342B" w:rsidP="005C31F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4461ADD8" w14:textId="7B560B62" w:rsidR="00A2162C" w:rsidRDefault="00A2162C" w:rsidP="00A2162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</w:t>
      </w:r>
      <w:r>
        <w:rPr>
          <w:rFonts w:ascii="Times New Roman" w:hAnsi="Times New Roman" w:cs="Times New Roman"/>
          <w:b/>
        </w:rPr>
        <w:t>. 7</w:t>
      </w:r>
      <w:r w:rsidR="00623063">
        <w:rPr>
          <w:rFonts w:ascii="Times New Roman" w:hAnsi="Times New Roman" w:cs="Times New Roman"/>
          <w:b/>
        </w:rPr>
        <w:t>6</w:t>
      </w:r>
    </w:p>
    <w:p w14:paraId="02F5211D" w14:textId="46470A00" w:rsidR="00A2162C" w:rsidRPr="00526AD1" w:rsidRDefault="00A2162C" w:rsidP="00A2162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A2162C">
        <w:rPr>
          <w:rFonts w:ascii="Times New Roman" w:hAnsi="Times New Roman" w:cs="Times New Roman"/>
          <w:bCs/>
        </w:rPr>
        <w:t>Potraživanja od prodaje nefinancijske imovine (AOP157)</w:t>
      </w:r>
      <w:r w:rsidRPr="00526AD1">
        <w:rPr>
          <w:rFonts w:ascii="Times New Roman" w:hAnsi="Times New Roman" w:cs="Times New Roman"/>
          <w:b/>
        </w:rPr>
        <w:t xml:space="preserve"> </w:t>
      </w:r>
      <w:r w:rsidR="00857050">
        <w:rPr>
          <w:rFonts w:ascii="Times New Roman" w:hAnsi="Times New Roman" w:cs="Times New Roman"/>
          <w:b/>
        </w:rPr>
        <w:t>-</w:t>
      </w:r>
      <w:r w:rsidRPr="00526AD1">
        <w:rPr>
          <w:rFonts w:ascii="Times New Roman" w:hAnsi="Times New Roman" w:cs="Times New Roman"/>
          <w:b/>
        </w:rPr>
        <w:t xml:space="preserve"> </w:t>
      </w:r>
      <w:r w:rsidRPr="00526AD1">
        <w:rPr>
          <w:rFonts w:ascii="Times New Roman" w:hAnsi="Times New Roman" w:cs="Times New Roman"/>
        </w:rPr>
        <w:t xml:space="preserve">iznose </w:t>
      </w:r>
      <w:r>
        <w:rPr>
          <w:rFonts w:ascii="Times New Roman" w:hAnsi="Times New Roman" w:cs="Times New Roman"/>
        </w:rPr>
        <w:t>5.056.037</w:t>
      </w:r>
      <w:r w:rsidRPr="00526AD1">
        <w:rPr>
          <w:rFonts w:ascii="Times New Roman" w:hAnsi="Times New Roman" w:cs="Times New Roman"/>
        </w:rPr>
        <w:t xml:space="preserve"> kn,</w:t>
      </w:r>
      <w:r>
        <w:rPr>
          <w:rFonts w:ascii="Times New Roman" w:hAnsi="Times New Roman" w:cs="Times New Roman"/>
        </w:rPr>
        <w:t xml:space="preserve"> što je za 30,9% manje nego u 2019. godini</w:t>
      </w:r>
      <w:r w:rsidR="00857050">
        <w:rPr>
          <w:rFonts w:ascii="Times New Roman" w:hAnsi="Times New Roman" w:cs="Times New Roman"/>
        </w:rPr>
        <w:t>. Velik broj dužnika je otplatio stanove na kojima je postojalo stanarsko pravo prema unaprijed dogovorenoj obročnoj otplati cijene stana te nema novih zaduženja.</w:t>
      </w:r>
    </w:p>
    <w:p w14:paraId="57ACF1E6" w14:textId="20C8DCE6" w:rsidR="00843597" w:rsidRDefault="0084359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1BF46E4B" w14:textId="77777777" w:rsidR="00C24AF8" w:rsidRDefault="00C24AF8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7C4A457A" w14:textId="77777777" w:rsidR="00C24AF8" w:rsidRDefault="00C24AF8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7FB743B3" w14:textId="77777777" w:rsidR="00C24AF8" w:rsidRDefault="00C24AF8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727C0847" w14:textId="77777777" w:rsidR="00C24AF8" w:rsidRDefault="00C24AF8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14:paraId="2BDB9306" w14:textId="1FA020A8" w:rsidR="00BE5B55" w:rsidRDefault="00BE5B55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lastRenderedPageBreak/>
        <w:t xml:space="preserve">BILJEŠKA br. </w:t>
      </w:r>
      <w:r w:rsidR="000F20F9">
        <w:rPr>
          <w:rFonts w:ascii="Times New Roman" w:hAnsi="Times New Roman" w:cs="Times New Roman"/>
          <w:b/>
        </w:rPr>
        <w:t>7</w:t>
      </w:r>
      <w:r w:rsidR="00623063">
        <w:rPr>
          <w:rFonts w:ascii="Times New Roman" w:hAnsi="Times New Roman" w:cs="Times New Roman"/>
          <w:b/>
        </w:rPr>
        <w:t>7</w:t>
      </w:r>
      <w:r w:rsidR="00715A4F">
        <w:rPr>
          <w:rFonts w:ascii="Times New Roman" w:hAnsi="Times New Roman" w:cs="Times New Roman"/>
          <w:b/>
        </w:rPr>
        <w:t>.</w:t>
      </w:r>
    </w:p>
    <w:p w14:paraId="21A425F9" w14:textId="77777777" w:rsidR="00CA0C87" w:rsidRPr="00526AD1" w:rsidRDefault="00CA0C87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983"/>
        <w:gridCol w:w="3049"/>
        <w:gridCol w:w="595"/>
        <w:gridCol w:w="1175"/>
        <w:gridCol w:w="1302"/>
        <w:gridCol w:w="735"/>
        <w:gridCol w:w="1082"/>
      </w:tblGrid>
      <w:tr w:rsidR="00E34CD3" w:rsidRPr="00E34CD3" w14:paraId="71284599" w14:textId="77777777" w:rsidTr="00E34CD3">
        <w:trPr>
          <w:trHeight w:val="300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1517E4D" w14:textId="77777777" w:rsidR="00173D4E" w:rsidRPr="00E34CD3" w:rsidRDefault="0092089F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bookmarkStart w:id="5" w:name="OLE_LINK1" w:colFirst="1" w:colLast="6"/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Razred</w:t>
            </w:r>
            <w:r w:rsidR="00173D4E"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/ Skupina</w:t>
            </w:r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E671655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3D083DB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15F659E" w14:textId="77777777" w:rsidR="00173D4E" w:rsidRPr="00E34CD3" w:rsidRDefault="00173D4E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Stanje 1.siječnja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3CA1804" w14:textId="77777777" w:rsidR="00173D4E" w:rsidRPr="00E34CD3" w:rsidRDefault="00173D4E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Stanje </w:t>
            </w:r>
            <w:r w:rsidR="0092089F"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3</w:t>
            </w: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  <w:r w:rsidR="0092089F"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</w:t>
            </w: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rosinca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5B084571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5CE0C8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E34CD3" w:rsidRPr="00E34CD3" w14:paraId="31B254E6" w14:textId="77777777" w:rsidTr="00E34CD3">
        <w:trPr>
          <w:trHeight w:val="315"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0302D5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4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906FC8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1D33A8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53925E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22EDEC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720E6567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(5/4)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D550520" w14:textId="77777777" w:rsidR="00173D4E" w:rsidRPr="00E34CD3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bookmarkEnd w:id="5"/>
      <w:tr w:rsidR="00E34CD3" w:rsidRPr="00E34CD3" w14:paraId="390B67B6" w14:textId="77777777" w:rsidTr="00E34CD3">
        <w:trPr>
          <w:trHeight w:val="31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FBED8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91C4A" w14:textId="77777777" w:rsidR="0092089F" w:rsidRPr="00E34CD3" w:rsidRDefault="0092089F" w:rsidP="000F2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Obveze za rashode poslovanja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F2916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8018B" w14:textId="79D92FD3" w:rsidR="0092089F" w:rsidRPr="00E34CD3" w:rsidRDefault="000F20F9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29.897.523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FEF16" w14:textId="457A5E65" w:rsidR="0092089F" w:rsidRPr="00E34CD3" w:rsidRDefault="000F20F9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25.680.226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404AD" w14:textId="6DB09E19" w:rsidR="0092089F" w:rsidRPr="00E34CD3" w:rsidRDefault="000F20F9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85,9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400B1" w14:textId="0A4F88D6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-4.217.297</w:t>
            </w:r>
          </w:p>
        </w:tc>
      </w:tr>
      <w:tr w:rsidR="00E34CD3" w:rsidRPr="00E34CD3" w14:paraId="21F82855" w14:textId="77777777" w:rsidTr="00E34CD3">
        <w:trPr>
          <w:trHeight w:val="32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0C5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C43" w14:textId="77777777" w:rsidR="0092089F" w:rsidRPr="00E34CD3" w:rsidRDefault="0092089F" w:rsidP="000F2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Obveze za nabavu nefinancijske imovine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71B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BEE2" w14:textId="5808D8BE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8.102.966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C968" w14:textId="429B8172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5.630.167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6470" w14:textId="4C4E6BDB" w:rsidR="0092089F" w:rsidRPr="00E34CD3" w:rsidRDefault="00E34CD3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E55F" w14:textId="37A28FB4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-2.472.799</w:t>
            </w:r>
          </w:p>
        </w:tc>
      </w:tr>
      <w:tr w:rsidR="00E34CD3" w:rsidRPr="00E34CD3" w14:paraId="22B3A277" w14:textId="77777777" w:rsidTr="00E34CD3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EE8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5CD" w14:textId="069AD95F" w:rsidR="0092089F" w:rsidRPr="00E34CD3" w:rsidRDefault="0092089F" w:rsidP="000F2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Obveze za kredite i zajmove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C6A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7A90" w14:textId="686743BC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53.406.249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A7CC" w14:textId="0089F415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47.487.067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33DF" w14:textId="3B1DD6FB" w:rsidR="0092089F" w:rsidRPr="00E34CD3" w:rsidRDefault="00E34CD3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807" w14:textId="461A0201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-5.919.182</w:t>
            </w:r>
          </w:p>
        </w:tc>
      </w:tr>
      <w:tr w:rsidR="00E34CD3" w:rsidRPr="00E34CD3" w14:paraId="0E18E0FF" w14:textId="77777777" w:rsidTr="00E34CD3">
        <w:trPr>
          <w:trHeight w:val="31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6C74B0" w14:textId="77777777" w:rsidR="0092089F" w:rsidRPr="00E34CD3" w:rsidRDefault="0092089F" w:rsidP="0092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BC56C63" w14:textId="77777777" w:rsidR="0092089F" w:rsidRPr="00E34CD3" w:rsidRDefault="0092089F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DBF3C0" w14:textId="57F246F9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91.406.738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22C1CC" w14:textId="7EA0683D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78.797.460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71A006" w14:textId="77777777" w:rsidR="0092089F" w:rsidRPr="00E34CD3" w:rsidRDefault="00C414B3" w:rsidP="00E34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14FC1E" w14:textId="639E58E9" w:rsidR="0092089F" w:rsidRPr="00E34CD3" w:rsidRDefault="00E34CD3" w:rsidP="00E34C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-12.609.278</w:t>
            </w:r>
          </w:p>
        </w:tc>
      </w:tr>
    </w:tbl>
    <w:p w14:paraId="6B7C3ECC" w14:textId="77777777" w:rsidR="0060111E" w:rsidRPr="00526AD1" w:rsidRDefault="0060111E" w:rsidP="005F1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1FFBD" w14:textId="0E6BC7D6" w:rsidR="00D32A1F" w:rsidRPr="00526AD1" w:rsidRDefault="00AC048A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kupne obveze 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(AOP163) </w:t>
      </w:r>
      <w:r w:rsidR="003A7E83" w:rsidRPr="00526AD1">
        <w:rPr>
          <w:rFonts w:ascii="Times New Roman" w:hAnsi="Times New Roman" w:cs="Times New Roman"/>
          <w:bCs/>
          <w:sz w:val="24"/>
          <w:szCs w:val="24"/>
        </w:rPr>
        <w:t>-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bCs/>
          <w:sz w:val="24"/>
          <w:szCs w:val="24"/>
        </w:rPr>
        <w:t>78.797.460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kn i razlikuju se od stanja obveza na kraju izvještajnog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razdoblj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a</w:t>
      </w:r>
      <w:r w:rsidR="00AE37F0" w:rsidRPr="00526AD1">
        <w:rPr>
          <w:rFonts w:ascii="Times New Roman" w:hAnsi="Times New Roman" w:cs="Times New Roman"/>
          <w:bCs/>
          <w:sz w:val="24"/>
          <w:szCs w:val="24"/>
        </w:rPr>
        <w:t xml:space="preserve"> iskazanih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o obrascu O</w:t>
      </w:r>
      <w:r w:rsidR="009968CB" w:rsidRPr="00526AD1">
        <w:rPr>
          <w:rFonts w:ascii="Times New Roman" w:hAnsi="Times New Roman" w:cs="Times New Roman"/>
          <w:bCs/>
          <w:sz w:val="24"/>
          <w:szCs w:val="24"/>
        </w:rPr>
        <w:t>bveze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(AOP0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>36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) koje iznose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69.598.039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kn. </w:t>
      </w:r>
      <w:r w:rsidR="00E52947" w:rsidRPr="00526AD1">
        <w:rPr>
          <w:rFonts w:ascii="Times New Roman" w:hAnsi="Times New Roman" w:cs="Times New Roman"/>
          <w:bCs/>
          <w:sz w:val="24"/>
          <w:szCs w:val="24"/>
        </w:rPr>
        <w:t>R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azlik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>a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2C5FDC">
        <w:rPr>
          <w:rFonts w:ascii="Times New Roman" w:hAnsi="Times New Roman" w:cs="Times New Roman"/>
          <w:bCs/>
          <w:sz w:val="24"/>
          <w:szCs w:val="24"/>
        </w:rPr>
        <w:t>9.199.421</w:t>
      </w:r>
      <w:r w:rsidR="00AB2EE7" w:rsidRPr="00526AD1">
        <w:rPr>
          <w:rFonts w:ascii="Times New Roman" w:hAnsi="Times New Roman" w:cs="Times New Roman"/>
          <w:bCs/>
          <w:sz w:val="24"/>
          <w:szCs w:val="24"/>
        </w:rPr>
        <w:t xml:space="preserve"> kn odnosi se </w:t>
      </w:r>
      <w:r w:rsidR="009968CB" w:rsidRPr="00526AD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sveukupno </w:t>
      </w:r>
      <w:r w:rsidR="00293A05" w:rsidRPr="00526AD1">
        <w:rPr>
          <w:rFonts w:ascii="Times New Roman" w:hAnsi="Times New Roman" w:cs="Times New Roman"/>
          <w:bCs/>
          <w:sz w:val="24"/>
          <w:szCs w:val="24"/>
        </w:rPr>
        <w:t xml:space="preserve">iskazane 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obveze za naknade za ure</w:t>
      </w:r>
      <w:r w:rsidR="0064474D">
        <w:rPr>
          <w:rFonts w:ascii="Times New Roman" w:hAnsi="Times New Roman" w:cs="Times New Roman"/>
          <w:bCs/>
          <w:sz w:val="24"/>
          <w:szCs w:val="24"/>
        </w:rPr>
        <w:t>đenje voda za stambene prostore i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pos</w:t>
      </w:r>
      <w:r w:rsidR="00AE37F0" w:rsidRPr="00526AD1">
        <w:rPr>
          <w:rFonts w:ascii="Times New Roman" w:hAnsi="Times New Roman" w:cs="Times New Roman"/>
          <w:bCs/>
          <w:sz w:val="24"/>
          <w:szCs w:val="24"/>
        </w:rPr>
        <w:t>lovne prostore</w:t>
      </w:r>
      <w:r w:rsidR="006447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3CB13A" w14:textId="77777777" w:rsidR="005F1326" w:rsidRDefault="005F1326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5DC8B" w14:textId="032870A7"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C3DE2">
        <w:rPr>
          <w:rFonts w:ascii="Times New Roman" w:hAnsi="Times New Roman" w:cs="Times New Roman"/>
          <w:b/>
        </w:rPr>
        <w:t xml:space="preserve">BILJEŠKA br. </w:t>
      </w:r>
      <w:r w:rsidR="002C5FDC" w:rsidRPr="00BC3DE2">
        <w:rPr>
          <w:rFonts w:ascii="Times New Roman" w:hAnsi="Times New Roman" w:cs="Times New Roman"/>
          <w:b/>
        </w:rPr>
        <w:t>7</w:t>
      </w:r>
      <w:r w:rsidR="00623063">
        <w:rPr>
          <w:rFonts w:ascii="Times New Roman" w:hAnsi="Times New Roman" w:cs="Times New Roman"/>
          <w:b/>
        </w:rPr>
        <w:t>8</w:t>
      </w:r>
    </w:p>
    <w:p w14:paraId="5438CDF9" w14:textId="367E732E" w:rsidR="00715A4F" w:rsidRDefault="00293A05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64474D">
        <w:rPr>
          <w:rFonts w:ascii="Times New Roman" w:hAnsi="Times New Roman" w:cs="Times New Roman"/>
          <w:bCs/>
        </w:rPr>
        <w:t>Obveze za materijalne rashode (AOP1</w:t>
      </w:r>
      <w:r w:rsidR="002C5FDC">
        <w:rPr>
          <w:rFonts w:ascii="Times New Roman" w:hAnsi="Times New Roman" w:cs="Times New Roman"/>
          <w:bCs/>
        </w:rPr>
        <w:t>72</w:t>
      </w:r>
      <w:r w:rsidRPr="0064474D">
        <w:rPr>
          <w:rFonts w:ascii="Times New Roman" w:hAnsi="Times New Roman" w:cs="Times New Roman"/>
          <w:bCs/>
        </w:rPr>
        <w:t xml:space="preserve">) </w:t>
      </w:r>
      <w:r w:rsidR="00C414B3">
        <w:rPr>
          <w:rFonts w:ascii="Times New Roman" w:hAnsi="Times New Roman" w:cs="Times New Roman"/>
          <w:bCs/>
        </w:rPr>
        <w:t xml:space="preserve">- iznose </w:t>
      </w:r>
      <w:r w:rsidR="002C5FDC">
        <w:rPr>
          <w:rFonts w:ascii="Times New Roman" w:hAnsi="Times New Roman" w:cs="Times New Roman"/>
          <w:bCs/>
        </w:rPr>
        <w:t>7.450.760</w:t>
      </w:r>
      <w:r w:rsidRPr="0064474D">
        <w:rPr>
          <w:rFonts w:ascii="Times New Roman" w:hAnsi="Times New Roman" w:cs="Times New Roman"/>
          <w:bCs/>
        </w:rPr>
        <w:t xml:space="preserve"> kn i </w:t>
      </w:r>
      <w:r w:rsidR="00E04A36" w:rsidRPr="0064474D">
        <w:rPr>
          <w:rFonts w:ascii="Times New Roman" w:hAnsi="Times New Roman" w:cs="Times New Roman"/>
          <w:bCs/>
        </w:rPr>
        <w:t xml:space="preserve">za </w:t>
      </w:r>
      <w:r w:rsidR="002C5FDC">
        <w:rPr>
          <w:rFonts w:ascii="Times New Roman" w:hAnsi="Times New Roman" w:cs="Times New Roman"/>
          <w:bCs/>
        </w:rPr>
        <w:t>42,9</w:t>
      </w:r>
      <w:r w:rsidR="00E04A36" w:rsidRPr="0064474D">
        <w:rPr>
          <w:rFonts w:ascii="Times New Roman" w:hAnsi="Times New Roman" w:cs="Times New Roman"/>
          <w:bCs/>
        </w:rPr>
        <w:t xml:space="preserve">% </w:t>
      </w:r>
      <w:r w:rsidR="002C5FDC">
        <w:rPr>
          <w:rFonts w:ascii="Times New Roman" w:hAnsi="Times New Roman" w:cs="Times New Roman"/>
          <w:bCs/>
        </w:rPr>
        <w:t>su manje</w:t>
      </w:r>
      <w:r w:rsidR="00E04A36" w:rsidRPr="0064474D">
        <w:rPr>
          <w:rFonts w:ascii="Times New Roman" w:hAnsi="Times New Roman" w:cs="Times New Roman"/>
          <w:bCs/>
        </w:rPr>
        <w:t xml:space="preserve"> </w:t>
      </w:r>
      <w:r w:rsidRPr="0064474D">
        <w:rPr>
          <w:rFonts w:ascii="Times New Roman" w:hAnsi="Times New Roman" w:cs="Times New Roman"/>
          <w:bCs/>
        </w:rPr>
        <w:t xml:space="preserve">u odnosu na </w:t>
      </w:r>
      <w:r w:rsidR="00685BE8">
        <w:rPr>
          <w:rFonts w:ascii="Times New Roman" w:hAnsi="Times New Roman" w:cs="Times New Roman"/>
          <w:bCs/>
        </w:rPr>
        <w:t>201</w:t>
      </w:r>
      <w:r w:rsidR="002C5FDC">
        <w:rPr>
          <w:rFonts w:ascii="Times New Roman" w:hAnsi="Times New Roman" w:cs="Times New Roman"/>
          <w:bCs/>
        </w:rPr>
        <w:t>9</w:t>
      </w:r>
      <w:r w:rsidR="00685BE8">
        <w:rPr>
          <w:rFonts w:ascii="Times New Roman" w:hAnsi="Times New Roman" w:cs="Times New Roman"/>
          <w:bCs/>
        </w:rPr>
        <w:t>.</w:t>
      </w:r>
      <w:r w:rsidRPr="0064474D">
        <w:rPr>
          <w:rFonts w:ascii="Times New Roman" w:hAnsi="Times New Roman" w:cs="Times New Roman"/>
          <w:bCs/>
        </w:rPr>
        <w:t xml:space="preserve"> godinu</w:t>
      </w:r>
      <w:r w:rsidR="00C414B3">
        <w:rPr>
          <w:rFonts w:ascii="Times New Roman" w:hAnsi="Times New Roman" w:cs="Times New Roman"/>
          <w:bCs/>
        </w:rPr>
        <w:t xml:space="preserve">. </w:t>
      </w:r>
      <w:r w:rsidR="00BC3DE2">
        <w:rPr>
          <w:rFonts w:ascii="Times New Roman" w:hAnsi="Times New Roman" w:cs="Times New Roman"/>
          <w:bCs/>
        </w:rPr>
        <w:t xml:space="preserve">Uzrok smanjenju obveza za materijalne rashode jest zbog manjih </w:t>
      </w:r>
      <w:r w:rsidR="00E77A2E">
        <w:rPr>
          <w:rFonts w:ascii="Times New Roman" w:hAnsi="Times New Roman" w:cs="Times New Roman"/>
          <w:bCs/>
        </w:rPr>
        <w:t xml:space="preserve">materijalnih </w:t>
      </w:r>
      <w:r w:rsidR="00BC3DE2">
        <w:rPr>
          <w:rFonts w:ascii="Times New Roman" w:hAnsi="Times New Roman" w:cs="Times New Roman"/>
          <w:bCs/>
        </w:rPr>
        <w:t xml:space="preserve">rashoda tijekom 2020. godine uslijed nepovoljne gospodarske situacije uzrokovane </w:t>
      </w:r>
      <w:r w:rsidR="00E70FC6">
        <w:rPr>
          <w:rFonts w:ascii="Times New Roman" w:hAnsi="Times New Roman" w:cs="Times New Roman"/>
          <w:bCs/>
        </w:rPr>
        <w:t>epidemijom bolesti COVID-19</w:t>
      </w:r>
      <w:r w:rsidR="00E77A2E">
        <w:rPr>
          <w:rFonts w:ascii="Times New Roman" w:hAnsi="Times New Roman" w:cs="Times New Roman"/>
          <w:bCs/>
        </w:rPr>
        <w:t>.</w:t>
      </w:r>
    </w:p>
    <w:p w14:paraId="22429D9B" w14:textId="77777777" w:rsidR="00C414B3" w:rsidRDefault="00C414B3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14:paraId="70A4F61B" w14:textId="0B284972" w:rsidR="00AD6CD9" w:rsidRDefault="00AD6CD9" w:rsidP="00AD6CD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t xml:space="preserve">BILJEŠKA br. </w:t>
      </w:r>
      <w:r w:rsidR="00623063">
        <w:rPr>
          <w:rFonts w:ascii="Times New Roman" w:hAnsi="Times New Roman" w:cs="Times New Roman"/>
          <w:b/>
        </w:rPr>
        <w:t>79</w:t>
      </w:r>
    </w:p>
    <w:p w14:paraId="7D34A240" w14:textId="37DD14D8" w:rsidR="00E77A2E" w:rsidRDefault="00BC3DE2" w:rsidP="00E77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k</w:t>
      </w:r>
      <w:r w:rsidRPr="007D38E4">
        <w:rPr>
          <w:rFonts w:ascii="Times New Roman" w:hAnsi="Times New Roman" w:cs="Times New Roman"/>
          <w:sz w:val="24"/>
          <w:szCs w:val="24"/>
        </w:rPr>
        <w:t xml:space="preserve">amate </w:t>
      </w:r>
      <w:r w:rsidR="00BD5712">
        <w:rPr>
          <w:rFonts w:ascii="Times New Roman" w:hAnsi="Times New Roman" w:cs="Times New Roman"/>
          <w:sz w:val="24"/>
          <w:szCs w:val="24"/>
        </w:rPr>
        <w:t xml:space="preserve">na </w:t>
      </w:r>
      <w:r w:rsidRPr="007D38E4">
        <w:rPr>
          <w:rFonts w:ascii="Times New Roman" w:hAnsi="Times New Roman" w:cs="Times New Roman"/>
          <w:sz w:val="24"/>
          <w:szCs w:val="24"/>
        </w:rPr>
        <w:t>primljene kredite i zajmove (AOP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7D38E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 xml:space="preserve">iznose 80.062 kn, smanjene su </w:t>
      </w:r>
      <w:r w:rsidRPr="007D38E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22,3</w:t>
      </w:r>
      <w:r w:rsidRPr="007D38E4">
        <w:rPr>
          <w:rFonts w:ascii="Times New Roman" w:hAnsi="Times New Roman" w:cs="Times New Roman"/>
          <w:sz w:val="24"/>
          <w:szCs w:val="24"/>
        </w:rPr>
        <w:t>% iz razloga što su otplatom smanjene glavnice kredita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samim time i obveza za kamate po kreditima</w:t>
      </w:r>
      <w:r w:rsidR="00E77A2E" w:rsidRPr="00E77A2E">
        <w:rPr>
          <w:rFonts w:ascii="Times New Roman" w:hAnsi="Times New Roman" w:cs="Times New Roman"/>
          <w:sz w:val="24"/>
          <w:szCs w:val="24"/>
        </w:rPr>
        <w:t xml:space="preserve"> </w:t>
      </w:r>
      <w:r w:rsidR="00E77A2E">
        <w:rPr>
          <w:rFonts w:ascii="Times New Roman" w:hAnsi="Times New Roman" w:cs="Times New Roman"/>
          <w:sz w:val="24"/>
          <w:szCs w:val="24"/>
        </w:rPr>
        <w:t>te je smanjena kamatna stopa po jednom kreditu.</w:t>
      </w:r>
    </w:p>
    <w:p w14:paraId="540B3FFC" w14:textId="77777777" w:rsidR="00BC3DE2" w:rsidRDefault="00BC3DE2" w:rsidP="00BC3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291EB" w14:textId="310C35ED" w:rsidR="00BC3DE2" w:rsidRPr="008E0FA0" w:rsidRDefault="00BC3DE2" w:rsidP="00BC3D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B0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C24A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46E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98BD0DE" w14:textId="26EEA0CA" w:rsidR="00BC3DE2" w:rsidRPr="000D6B35" w:rsidRDefault="00BC3DE2" w:rsidP="00BC3DE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6B35">
        <w:rPr>
          <w:rFonts w:ascii="Times New Roman" w:hAnsi="Times New Roman" w:cs="Times New Roman"/>
          <w:bCs/>
          <w:sz w:val="24"/>
          <w:szCs w:val="24"/>
        </w:rPr>
        <w:t xml:space="preserve">Obveze za ostale financijske rashode (AOP176) </w:t>
      </w:r>
      <w:r w:rsidRPr="000D6B35">
        <w:rPr>
          <w:rFonts w:ascii="Times New Roman" w:hAnsi="Times New Roman" w:cs="Times New Roman"/>
          <w:sz w:val="24"/>
          <w:szCs w:val="24"/>
        </w:rPr>
        <w:t xml:space="preserve">- iznose 857.141 kn i rast </w:t>
      </w:r>
      <w:r w:rsidR="00C42BB5" w:rsidRPr="000D6B35">
        <w:rPr>
          <w:rFonts w:ascii="Times New Roman" w:hAnsi="Times New Roman" w:cs="Times New Roman"/>
          <w:sz w:val="24"/>
          <w:szCs w:val="24"/>
        </w:rPr>
        <w:t xml:space="preserve">je evidentiran </w:t>
      </w:r>
      <w:r w:rsidRPr="000D6B35">
        <w:rPr>
          <w:rFonts w:ascii="Times New Roman" w:hAnsi="Times New Roman" w:cs="Times New Roman"/>
          <w:sz w:val="24"/>
          <w:szCs w:val="24"/>
        </w:rPr>
        <w:t xml:space="preserve">zbog </w:t>
      </w:r>
      <w:r w:rsidR="00C42BB5" w:rsidRPr="000D6B35">
        <w:rPr>
          <w:rFonts w:ascii="Times New Roman" w:hAnsi="Times New Roman" w:cs="Times New Roman"/>
          <w:sz w:val="24"/>
          <w:szCs w:val="24"/>
        </w:rPr>
        <w:t xml:space="preserve">zaduženja </w:t>
      </w:r>
      <w:r w:rsidRPr="000D6B35">
        <w:rPr>
          <w:rFonts w:ascii="Times New Roman" w:hAnsi="Times New Roman" w:cs="Times New Roman"/>
          <w:sz w:val="24"/>
          <w:szCs w:val="24"/>
        </w:rPr>
        <w:t xml:space="preserve">zateznih kamata sukladno </w:t>
      </w:r>
      <w:r w:rsidRPr="000D6B35">
        <w:rPr>
          <w:rFonts w:ascii="Times New Roman" w:hAnsi="Times New Roman" w:cs="Times New Roman"/>
          <w:noProof/>
          <w:sz w:val="24"/>
          <w:szCs w:val="24"/>
        </w:rPr>
        <w:t>presudi za uređenje nogostupa ispred Arene.</w:t>
      </w:r>
    </w:p>
    <w:p w14:paraId="20322393" w14:textId="77777777" w:rsidR="00AD6CD9" w:rsidRDefault="00AD6CD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14:paraId="635DCE89" w14:textId="361F9EB6"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 xml:space="preserve">BILJEŠKA br. </w:t>
      </w:r>
      <w:r w:rsidR="00BD5712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1</w:t>
      </w:r>
    </w:p>
    <w:p w14:paraId="65A0283A" w14:textId="20A0A0F6" w:rsidR="00F411C4" w:rsidRDefault="00F411C4" w:rsidP="0052542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Ostale tekuće obveze (AOP17</w:t>
      </w:r>
      <w:r w:rsidR="00BD5712">
        <w:rPr>
          <w:rFonts w:ascii="Times New Roman" w:hAnsi="Times New Roman" w:cs="Times New Roman"/>
          <w:sz w:val="24"/>
          <w:szCs w:val="24"/>
        </w:rPr>
        <w:t>8</w:t>
      </w:r>
      <w:r w:rsidRPr="00526AD1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BD5712">
        <w:rPr>
          <w:rFonts w:ascii="Times New Roman" w:hAnsi="Times New Roman" w:cs="Times New Roman"/>
          <w:sz w:val="24"/>
          <w:szCs w:val="24"/>
        </w:rPr>
        <w:t>191.029</w:t>
      </w:r>
      <w:r w:rsidR="00836C99">
        <w:rPr>
          <w:rFonts w:ascii="Times New Roman" w:hAnsi="Times New Roman" w:cs="Times New Roman"/>
          <w:sz w:val="24"/>
          <w:szCs w:val="24"/>
        </w:rPr>
        <w:t xml:space="preserve"> kn, </w:t>
      </w:r>
      <w:r w:rsidRPr="00526AD1">
        <w:rPr>
          <w:rFonts w:ascii="Times New Roman" w:hAnsi="Times New Roman" w:cs="Times New Roman"/>
          <w:sz w:val="24"/>
          <w:szCs w:val="24"/>
        </w:rPr>
        <w:t>a čine ih obveze za porez na dodanu vrijednost</w:t>
      </w:r>
      <w:r w:rsidR="00883357" w:rsidRPr="00526AD1">
        <w:rPr>
          <w:rFonts w:ascii="Times New Roman" w:hAnsi="Times New Roman" w:cs="Times New Roman"/>
          <w:sz w:val="24"/>
          <w:szCs w:val="24"/>
        </w:rPr>
        <w:t xml:space="preserve"> za prosinac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883357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, obveze za jamčevine, obveze za uplatu 55% sredstava od prodaje stanova u državni proračun temeljem obračuna za prosinac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godine, povrate u državni proračun za neutrošena decentralizirana sredstva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do 31.12.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, 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obveze za naplaćene tuđe prihode, naknada za uređenje voda, </w:t>
      </w:r>
      <w:r w:rsidRPr="00526AD1">
        <w:rPr>
          <w:rFonts w:ascii="Times New Roman" w:hAnsi="Times New Roman" w:cs="Times New Roman"/>
          <w:sz w:val="24"/>
          <w:szCs w:val="24"/>
        </w:rPr>
        <w:t>obveze za EU predujmove te za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neutrošene prihode proračunskih korisnika.</w:t>
      </w:r>
    </w:p>
    <w:p w14:paraId="4C3418FA" w14:textId="77777777" w:rsidR="00EB2FC4" w:rsidRDefault="009968CB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Naknada za uređenje voda prihod je Hrvatskih voda,</w:t>
      </w:r>
      <w:r w:rsidRPr="00526AD1">
        <w:rPr>
          <w:rFonts w:ascii="Times New Roman" w:hAnsi="Times New Roman" w:cs="Times New Roman"/>
        </w:rPr>
        <w:t xml:space="preserve"> dok z</w:t>
      </w:r>
      <w:r w:rsidRPr="00526AD1">
        <w:rPr>
          <w:rStyle w:val="FontStyle24"/>
          <w:spacing w:val="0"/>
        </w:rPr>
        <w:t xml:space="preserve">a poslove koje obavlja u ime Hrvatskih </w:t>
      </w:r>
      <w:r w:rsidR="0064474D">
        <w:rPr>
          <w:rStyle w:val="FontStyle24"/>
          <w:spacing w:val="0"/>
        </w:rPr>
        <w:t>voda, Gradu pripada naknada od 10</w:t>
      </w:r>
      <w:r w:rsidRPr="00526AD1">
        <w:rPr>
          <w:rStyle w:val="FontStyle24"/>
          <w:spacing w:val="0"/>
        </w:rPr>
        <w:t xml:space="preserve">% na iznos Hrvatskim vodama uplaćene naknade za uređenje voda. </w:t>
      </w:r>
    </w:p>
    <w:p w14:paraId="05AF1BD8" w14:textId="77777777" w:rsidR="00F411C4" w:rsidRDefault="009968CB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Jedinica lokalne samouprave doznačuje naplaćene iznose naknade za uređenje voda na uplatne račune Hrvatskih voda.</w:t>
      </w:r>
      <w:r w:rsidR="00BD72B4" w:rsidRPr="00526AD1">
        <w:rPr>
          <w:rStyle w:val="FontStyle24"/>
          <w:spacing w:val="0"/>
        </w:rPr>
        <w:t xml:space="preserve"> </w:t>
      </w:r>
      <w:r w:rsidRPr="00526AD1">
        <w:rPr>
          <w:rStyle w:val="FontStyle24"/>
          <w:spacing w:val="0"/>
        </w:rPr>
        <w:t>Jedinica lokalne samouprave naplaćuje naknadu za uređenje voda putem uplatnica za komunalnu naknadu, uz koje zasebno iskazuje iznos, obračunske elemente i način obračuna naknade za uređenje voda.</w:t>
      </w:r>
    </w:p>
    <w:p w14:paraId="132DBE23" w14:textId="2450EB44"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lastRenderedPageBreak/>
        <w:t xml:space="preserve">BILJEŠKA br. </w:t>
      </w:r>
      <w:r w:rsidR="00BD5712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2</w:t>
      </w:r>
    </w:p>
    <w:p w14:paraId="7D5744B9" w14:textId="0FFD9991" w:rsidR="00836C99" w:rsidRDefault="00836C99" w:rsidP="00BD5712">
      <w:pPr>
        <w:autoSpaceDE w:val="0"/>
        <w:autoSpaceDN w:val="0"/>
        <w:adjustRightInd w:val="0"/>
        <w:spacing w:after="0"/>
        <w:contextualSpacing/>
        <w:jc w:val="both"/>
        <w:rPr>
          <w:rStyle w:val="FontStyle24"/>
          <w:spacing w:val="0"/>
        </w:rPr>
      </w:pPr>
      <w:r w:rsidRPr="00BD5712">
        <w:rPr>
          <w:rFonts w:ascii="Times New Roman" w:hAnsi="Times New Roman" w:cs="Times New Roman"/>
          <w:sz w:val="24"/>
          <w:szCs w:val="24"/>
        </w:rPr>
        <w:t>Obveze za nabavu nefinancijske imovine (AOP</w:t>
      </w:r>
      <w:r w:rsidR="00BD5712">
        <w:rPr>
          <w:rFonts w:ascii="Times New Roman" w:hAnsi="Times New Roman" w:cs="Times New Roman"/>
          <w:sz w:val="24"/>
          <w:szCs w:val="24"/>
        </w:rPr>
        <w:t>181</w:t>
      </w:r>
      <w:r w:rsidRPr="00BD5712">
        <w:rPr>
          <w:rFonts w:ascii="Times New Roman" w:hAnsi="Times New Roman" w:cs="Times New Roman"/>
          <w:sz w:val="24"/>
          <w:szCs w:val="24"/>
        </w:rPr>
        <w:t>) -</w:t>
      </w:r>
      <w:r w:rsidRPr="00526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D5712">
        <w:rPr>
          <w:rFonts w:ascii="Times New Roman" w:hAnsi="Times New Roman" w:cs="Times New Roman"/>
          <w:bCs/>
          <w:sz w:val="24"/>
          <w:szCs w:val="24"/>
        </w:rPr>
        <w:t>5.630.167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 i za </w:t>
      </w:r>
      <w:r w:rsidR="00BD5712">
        <w:rPr>
          <w:rFonts w:ascii="Times New Roman" w:hAnsi="Times New Roman" w:cs="Times New Roman"/>
          <w:bCs/>
          <w:sz w:val="24"/>
          <w:szCs w:val="24"/>
        </w:rPr>
        <w:t>30,5</w:t>
      </w:r>
      <w:r w:rsidRPr="00526AD1">
        <w:rPr>
          <w:rFonts w:ascii="Times New Roman" w:hAnsi="Times New Roman" w:cs="Times New Roman"/>
          <w:bCs/>
          <w:sz w:val="24"/>
          <w:szCs w:val="24"/>
        </w:rPr>
        <w:t>% su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CD9">
        <w:rPr>
          <w:rFonts w:ascii="Times New Roman" w:hAnsi="Times New Roman" w:cs="Times New Roman"/>
          <w:bCs/>
          <w:sz w:val="24"/>
          <w:szCs w:val="24"/>
        </w:rPr>
        <w:t>manje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nego </w:t>
      </w:r>
      <w:r w:rsidR="00685BE8">
        <w:rPr>
          <w:rFonts w:ascii="Times New Roman" w:hAnsi="Times New Roman" w:cs="Times New Roman"/>
          <w:bCs/>
          <w:sz w:val="24"/>
          <w:szCs w:val="24"/>
        </w:rPr>
        <w:t>201</w:t>
      </w:r>
      <w:r w:rsidR="00BD5712">
        <w:rPr>
          <w:rFonts w:ascii="Times New Roman" w:hAnsi="Times New Roman" w:cs="Times New Roman"/>
          <w:bCs/>
          <w:sz w:val="24"/>
          <w:szCs w:val="24"/>
        </w:rPr>
        <w:t>9</w:t>
      </w:r>
      <w:r w:rsidR="00685BE8">
        <w:rPr>
          <w:rFonts w:ascii="Times New Roman" w:hAnsi="Times New Roman" w:cs="Times New Roman"/>
          <w:bCs/>
          <w:sz w:val="24"/>
          <w:szCs w:val="24"/>
        </w:rPr>
        <w:t>.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godine u istom izvještajnom razdoblju</w:t>
      </w:r>
      <w:r w:rsidR="00BD5712">
        <w:rPr>
          <w:rFonts w:ascii="Times New Roman" w:hAnsi="Times New Roman" w:cs="Times New Roman"/>
          <w:color w:val="000000"/>
          <w:sz w:val="24"/>
          <w:szCs w:val="24"/>
        </w:rPr>
        <w:t xml:space="preserve"> zbog većeg iznosa podmirenih obveza tijekom 2020. godine.</w:t>
      </w:r>
    </w:p>
    <w:p w14:paraId="17F46000" w14:textId="77777777" w:rsidR="00CA0C87" w:rsidRDefault="00CA0C8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15139DF8" w14:textId="71B9658C" w:rsidR="00836C99" w:rsidRDefault="00836C99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AD6CD9">
        <w:rPr>
          <w:rFonts w:ascii="Times New Roman" w:hAnsi="Times New Roman" w:cs="Times New Roman"/>
          <w:b/>
        </w:rPr>
        <w:t xml:space="preserve">BILJEŠKA br. </w:t>
      </w:r>
      <w:r w:rsidR="00BD5712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3</w:t>
      </w:r>
    </w:p>
    <w:p w14:paraId="0E9C525C" w14:textId="7A6645EB" w:rsidR="0065284A" w:rsidRDefault="00836C99" w:rsidP="00CA0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712">
        <w:rPr>
          <w:rFonts w:ascii="Times New Roman" w:hAnsi="Times New Roman" w:cs="Times New Roman"/>
          <w:sz w:val="24"/>
          <w:szCs w:val="24"/>
        </w:rPr>
        <w:t>Obveze za kredite i zajmove (AOP</w:t>
      </w:r>
      <w:r w:rsidR="00BD5712">
        <w:rPr>
          <w:rFonts w:ascii="Times New Roman" w:hAnsi="Times New Roman" w:cs="Times New Roman"/>
          <w:sz w:val="24"/>
          <w:szCs w:val="24"/>
        </w:rPr>
        <w:t>207</w:t>
      </w:r>
      <w:r w:rsidRPr="00BD5712">
        <w:rPr>
          <w:rFonts w:ascii="Times New Roman" w:hAnsi="Times New Roman" w:cs="Times New Roman"/>
          <w:sz w:val="24"/>
          <w:szCs w:val="24"/>
        </w:rPr>
        <w:t>) -</w:t>
      </w:r>
      <w:r w:rsidRPr="00526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D5712">
        <w:rPr>
          <w:rFonts w:ascii="Times New Roman" w:hAnsi="Times New Roman" w:cs="Times New Roman"/>
          <w:bCs/>
          <w:sz w:val="24"/>
          <w:szCs w:val="24"/>
        </w:rPr>
        <w:t>47.487.067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 xml:space="preserve"> i za</w:t>
      </w:r>
      <w:r w:rsidR="00AD6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4E4">
        <w:rPr>
          <w:rFonts w:ascii="Times New Roman" w:hAnsi="Times New Roman" w:cs="Times New Roman"/>
          <w:bCs/>
          <w:sz w:val="24"/>
          <w:szCs w:val="24"/>
        </w:rPr>
        <w:t>11.1</w:t>
      </w:r>
      <w:r w:rsidR="00AD6CD9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CD9">
        <w:rPr>
          <w:rFonts w:ascii="Times New Roman" w:hAnsi="Times New Roman" w:cs="Times New Roman"/>
          <w:bCs/>
          <w:sz w:val="24"/>
          <w:szCs w:val="24"/>
        </w:rPr>
        <w:t>su manje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nego 201</w:t>
      </w:r>
      <w:r w:rsidR="00C42BB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6CD9">
        <w:rPr>
          <w:rFonts w:ascii="Times New Roman" w:hAnsi="Times New Roman" w:cs="Times New Roman"/>
          <w:bCs/>
          <w:sz w:val="24"/>
          <w:szCs w:val="24"/>
        </w:rPr>
        <w:t xml:space="preserve">godine iz razloga što se u </w:t>
      </w:r>
      <w:r w:rsidR="003C20C6" w:rsidRPr="00AD6CD9">
        <w:rPr>
          <w:rFonts w:ascii="Times New Roman" w:hAnsi="Times New Roman" w:cs="Times New Roman"/>
          <w:bCs/>
          <w:sz w:val="24"/>
          <w:szCs w:val="24"/>
        </w:rPr>
        <w:t>20</w:t>
      </w:r>
      <w:r w:rsidR="002A64E4">
        <w:rPr>
          <w:rFonts w:ascii="Times New Roman" w:hAnsi="Times New Roman" w:cs="Times New Roman"/>
          <w:bCs/>
          <w:sz w:val="24"/>
          <w:szCs w:val="24"/>
        </w:rPr>
        <w:t>20</w:t>
      </w:r>
      <w:r w:rsidR="003C20C6" w:rsidRPr="00AD6CD9">
        <w:rPr>
          <w:rFonts w:ascii="Times New Roman" w:hAnsi="Times New Roman" w:cs="Times New Roman"/>
          <w:bCs/>
          <w:sz w:val="24"/>
          <w:szCs w:val="24"/>
        </w:rPr>
        <w:t>.</w:t>
      </w:r>
      <w:r w:rsidRPr="00AD6CD9">
        <w:rPr>
          <w:rFonts w:ascii="Times New Roman" w:hAnsi="Times New Roman" w:cs="Times New Roman"/>
          <w:bCs/>
          <w:sz w:val="24"/>
          <w:szCs w:val="24"/>
        </w:rPr>
        <w:t xml:space="preserve"> godini </w:t>
      </w:r>
      <w:r w:rsidR="00AD6CD9">
        <w:rPr>
          <w:rFonts w:ascii="Times New Roman" w:hAnsi="Times New Roman" w:cs="Times New Roman"/>
          <w:bCs/>
          <w:sz w:val="24"/>
          <w:szCs w:val="24"/>
        </w:rPr>
        <w:t xml:space="preserve">otplatilo </w:t>
      </w:r>
      <w:r w:rsidR="002A64E4">
        <w:rPr>
          <w:rFonts w:ascii="Times New Roman" w:hAnsi="Times New Roman" w:cs="Times New Roman"/>
          <w:bCs/>
          <w:sz w:val="24"/>
          <w:szCs w:val="24"/>
        </w:rPr>
        <w:t>3.777.796</w:t>
      </w:r>
      <w:r w:rsidR="00AD6CD9">
        <w:rPr>
          <w:rFonts w:ascii="Times New Roman" w:hAnsi="Times New Roman" w:cs="Times New Roman"/>
          <w:bCs/>
          <w:sz w:val="24"/>
          <w:szCs w:val="24"/>
        </w:rPr>
        <w:t xml:space="preserve"> kn glavnice kredita te vratio zajam u iznosu od 2.650.000 kn.</w:t>
      </w:r>
    </w:p>
    <w:p w14:paraId="1E10495F" w14:textId="77777777" w:rsidR="00836C99" w:rsidRDefault="00836C99" w:rsidP="00CA0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Obveze</w:t>
      </w:r>
      <w:r w:rsidR="0084303D">
        <w:rPr>
          <w:rFonts w:ascii="Times New Roman" w:hAnsi="Times New Roman" w:cs="Times New Roman"/>
          <w:bCs/>
          <w:sz w:val="24"/>
          <w:szCs w:val="24"/>
        </w:rPr>
        <w:t xml:space="preserve"> su nedospjele,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>odnose se na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1DB92F5" w14:textId="2036BF5A" w:rsidR="00836C99" w:rsidRDefault="00836C99" w:rsidP="000F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C99">
        <w:rPr>
          <w:rFonts w:ascii="Times New Roman" w:hAnsi="Times New Roman" w:cs="Times New Roman"/>
          <w:bCs/>
          <w:sz w:val="24"/>
          <w:szCs w:val="24"/>
        </w:rPr>
        <w:t xml:space="preserve">zaduženje kredita za OŠ Veli Vrh I faza u iznosu od </w:t>
      </w:r>
      <w:r w:rsidR="002A64E4">
        <w:rPr>
          <w:rFonts w:ascii="Times New Roman" w:hAnsi="Times New Roman" w:cs="Times New Roman"/>
          <w:bCs/>
          <w:sz w:val="24"/>
          <w:szCs w:val="24"/>
        </w:rPr>
        <w:t>16.213.799</w:t>
      </w:r>
      <w:r w:rsidRPr="00836C99">
        <w:rPr>
          <w:rFonts w:ascii="Times New Roman" w:hAnsi="Times New Roman" w:cs="Times New Roman"/>
          <w:bCs/>
          <w:sz w:val="24"/>
          <w:szCs w:val="24"/>
        </w:rPr>
        <w:t xml:space="preserve"> kn i II faza u iznosu od </w:t>
      </w:r>
      <w:r w:rsidR="002A64E4">
        <w:rPr>
          <w:rFonts w:ascii="Times New Roman" w:hAnsi="Times New Roman" w:cs="Times New Roman"/>
          <w:bCs/>
          <w:sz w:val="24"/>
          <w:szCs w:val="24"/>
        </w:rPr>
        <w:t>20.723.268</w:t>
      </w:r>
      <w:r w:rsidRPr="00836C99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FA1ABDB" w14:textId="02E4CE24" w:rsidR="00836C99" w:rsidRPr="00836C99" w:rsidRDefault="00836C99" w:rsidP="000F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zaduženje za financijski zajam</w:t>
      </w:r>
      <w:r w:rsidRPr="00836C99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za financiranje izgradnje kružnog toka uz prateću komunalnu infrastrukturu na cesti Prekomorskih brigada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A64E4">
        <w:rPr>
          <w:rFonts w:ascii="Times New Roman" w:hAnsi="Times New Roman" w:cs="Times New Roman"/>
          <w:sz w:val="24"/>
          <w:szCs w:val="24"/>
        </w:rPr>
        <w:t>10.550.000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484AA4EF" w14:textId="77777777" w:rsidR="00836C99" w:rsidRPr="00836C99" w:rsidRDefault="00836C99" w:rsidP="000916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63D63" w14:textId="063AFA08" w:rsidR="00836C99" w:rsidRDefault="00836C99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832F1A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4</w:t>
      </w:r>
    </w:p>
    <w:p w14:paraId="4FE09E08" w14:textId="047ED50D" w:rsidR="00091621" w:rsidRPr="00177F63" w:rsidRDefault="00177F63" w:rsidP="00952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F1A">
        <w:rPr>
          <w:rFonts w:ascii="Times New Roman" w:hAnsi="Times New Roman" w:cs="Times New Roman"/>
          <w:bCs/>
          <w:sz w:val="24"/>
          <w:szCs w:val="24"/>
        </w:rPr>
        <w:t>Izvanbilančni</w:t>
      </w:r>
      <w:proofErr w:type="spellEnd"/>
      <w:r w:rsidRPr="00832F1A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091621" w:rsidRPr="00832F1A">
        <w:rPr>
          <w:rFonts w:ascii="Times New Roman" w:hAnsi="Times New Roman" w:cs="Times New Roman"/>
          <w:bCs/>
          <w:sz w:val="24"/>
          <w:szCs w:val="24"/>
        </w:rPr>
        <w:t>apisi (AOP2</w:t>
      </w:r>
      <w:r w:rsidR="00832F1A">
        <w:rPr>
          <w:rFonts w:ascii="Times New Roman" w:hAnsi="Times New Roman" w:cs="Times New Roman"/>
          <w:bCs/>
          <w:sz w:val="24"/>
          <w:szCs w:val="24"/>
        </w:rPr>
        <w:t>50/251</w:t>
      </w:r>
      <w:r w:rsidR="00091621" w:rsidRPr="00832F1A">
        <w:rPr>
          <w:rFonts w:ascii="Times New Roman" w:hAnsi="Times New Roman" w:cs="Times New Roman"/>
          <w:bCs/>
          <w:sz w:val="24"/>
          <w:szCs w:val="24"/>
        </w:rPr>
        <w:t>) -</w:t>
      </w:r>
      <w:r w:rsidR="00091621" w:rsidRPr="00177F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621" w:rsidRPr="00177F63">
        <w:rPr>
          <w:rFonts w:ascii="Times New Roman" w:hAnsi="Times New Roman" w:cs="Times New Roman"/>
          <w:sz w:val="24"/>
          <w:szCs w:val="24"/>
        </w:rPr>
        <w:t xml:space="preserve">Sadrže podatke koji nisu uključeni u bilančne kategorije, ali u određenim okolnostima i/ili s vremenskim pomakom iskazani podaci mogu imati značajan utjecaj na uspješnost poslovanja i vrijednost neto imovine, a iznose </w:t>
      </w:r>
      <w:r w:rsidR="00832F1A">
        <w:rPr>
          <w:rFonts w:ascii="Times New Roman" w:hAnsi="Times New Roman" w:cs="Times New Roman"/>
          <w:sz w:val="24"/>
          <w:szCs w:val="24"/>
        </w:rPr>
        <w:t>756.110.5</w:t>
      </w:r>
      <w:r w:rsidR="00A518B6">
        <w:rPr>
          <w:rFonts w:ascii="Times New Roman" w:hAnsi="Times New Roman" w:cs="Times New Roman"/>
          <w:sz w:val="24"/>
          <w:szCs w:val="24"/>
        </w:rPr>
        <w:t>33</w:t>
      </w:r>
      <w:r w:rsidR="00091621" w:rsidRPr="00177F63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771B6CBF" w14:textId="77777777" w:rsidR="0009162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F9890BB" w14:textId="718BB788" w:rsidR="0009162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832F1A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5</w:t>
      </w:r>
    </w:p>
    <w:p w14:paraId="471E32A9" w14:textId="6C61B1D6" w:rsidR="00832F1A" w:rsidRDefault="00091621" w:rsidP="00832F1A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T</w:t>
      </w:r>
      <w:r w:rsidRPr="00526AD1">
        <w:rPr>
          <w:rStyle w:val="FontStyle24"/>
          <w:spacing w:val="0"/>
        </w:rPr>
        <w:t xml:space="preserve">uđa imovina dobivena na korištenje </w:t>
      </w:r>
      <w:r>
        <w:rPr>
          <w:rStyle w:val="FontStyle24"/>
          <w:spacing w:val="0"/>
        </w:rPr>
        <w:t>- č</w:t>
      </w:r>
      <w:r w:rsidRPr="00526AD1">
        <w:rPr>
          <w:rStyle w:val="FontStyle24"/>
          <w:spacing w:val="0"/>
        </w:rPr>
        <w:t xml:space="preserve">ini imovinu koju Grad ima u najmu evidentirana je sukladno čl. 85. Pravilnika o proračunskom računovodstvu i računskom planu, a temeljem sklopljenih Ugovora između </w:t>
      </w:r>
      <w:r>
        <w:rPr>
          <w:rStyle w:val="FontStyle24"/>
          <w:spacing w:val="0"/>
        </w:rPr>
        <w:t>Grada i davaoca imovine u najam</w:t>
      </w:r>
      <w:r w:rsidR="00A518B6">
        <w:rPr>
          <w:rStyle w:val="FontStyle24"/>
          <w:spacing w:val="0"/>
        </w:rPr>
        <w:t xml:space="preserve"> u ukupnom iznosu od 14.217.889</w:t>
      </w:r>
      <w:r w:rsidR="00D60067">
        <w:rPr>
          <w:rStyle w:val="FontStyle24"/>
          <w:spacing w:val="0"/>
        </w:rPr>
        <w:t xml:space="preserve"> kn,</w:t>
      </w:r>
      <w:r w:rsidR="00832F1A">
        <w:rPr>
          <w:rStyle w:val="FontStyle24"/>
          <w:spacing w:val="0"/>
        </w:rPr>
        <w:t xml:space="preserve"> odnosno:</w:t>
      </w:r>
    </w:p>
    <w:p w14:paraId="65454F73" w14:textId="77777777" w:rsidR="00832F1A" w:rsidRDefault="00801AE3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informatička oprema</w:t>
      </w:r>
      <w:r w:rsidR="00B55522">
        <w:rPr>
          <w:rStyle w:val="FontStyle24"/>
          <w:spacing w:val="0"/>
        </w:rPr>
        <w:t>,</w:t>
      </w:r>
      <w:r w:rsidRPr="00526AD1">
        <w:rPr>
          <w:rStyle w:val="FontStyle24"/>
          <w:spacing w:val="0"/>
        </w:rPr>
        <w:t xml:space="preserve"> 200 računala i monitora, bez operativnog sustava sveukupne vrijednosti </w:t>
      </w:r>
      <w:r>
        <w:rPr>
          <w:rStyle w:val="FontStyle24"/>
          <w:spacing w:val="0"/>
        </w:rPr>
        <w:t>228.345</w:t>
      </w:r>
      <w:r w:rsidRPr="00526AD1">
        <w:rPr>
          <w:rStyle w:val="FontStyle24"/>
          <w:spacing w:val="0"/>
        </w:rPr>
        <w:t xml:space="preserve"> kn, za službene potrebe Grada</w:t>
      </w:r>
      <w:r w:rsidR="00177F63">
        <w:rPr>
          <w:rStyle w:val="FontStyle24"/>
          <w:spacing w:val="0"/>
        </w:rPr>
        <w:t xml:space="preserve"> Pule sukladno Ugovoru o najmu te najam</w:t>
      </w:r>
      <w:r w:rsidRPr="00526AD1">
        <w:rPr>
          <w:rStyle w:val="FontStyle24"/>
          <w:spacing w:val="0"/>
        </w:rPr>
        <w:t xml:space="preserve"> servera sveukupne vrijednosti 4.</w:t>
      </w:r>
      <w:r w:rsidR="00832F1A">
        <w:rPr>
          <w:rStyle w:val="FontStyle24"/>
          <w:spacing w:val="0"/>
        </w:rPr>
        <w:t>275</w:t>
      </w:r>
      <w:r w:rsidRPr="00526AD1">
        <w:rPr>
          <w:rStyle w:val="FontStyle24"/>
          <w:spacing w:val="0"/>
        </w:rPr>
        <w:t xml:space="preserve"> kn sukladno Ugovoru o najmu informatičke opreme,</w:t>
      </w:r>
      <w:r w:rsidR="00832F1A" w:rsidRPr="00832F1A">
        <w:rPr>
          <w:rStyle w:val="FontStyle24"/>
          <w:spacing w:val="0"/>
        </w:rPr>
        <w:t xml:space="preserve"> </w:t>
      </w:r>
    </w:p>
    <w:p w14:paraId="24F31F03" w14:textId="1B31EC5C" w:rsidR="00832F1A" w:rsidRPr="00526AD1" w:rsidRDefault="00832F1A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 xml:space="preserve">najam softvera - 200 kom operativnih sustava, sveukupne vrijednosti </w:t>
      </w:r>
      <w:r>
        <w:rPr>
          <w:rStyle w:val="FontStyle24"/>
          <w:spacing w:val="0"/>
        </w:rPr>
        <w:t>105.000</w:t>
      </w:r>
      <w:r w:rsidRPr="00526AD1">
        <w:rPr>
          <w:rStyle w:val="FontStyle24"/>
          <w:spacing w:val="0"/>
        </w:rPr>
        <w:t xml:space="preserve"> kn sukladno Ugovoru o najmu softvera, </w:t>
      </w:r>
    </w:p>
    <w:p w14:paraId="4C1152D4" w14:textId="64F99A05" w:rsidR="00091621" w:rsidRPr="00526AD1" w:rsidRDefault="00832F1A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7</w:t>
      </w:r>
      <w:r w:rsidR="00091621" w:rsidRPr="00526AD1">
        <w:rPr>
          <w:rStyle w:val="FontStyle24"/>
          <w:spacing w:val="0"/>
        </w:rPr>
        <w:t xml:space="preserve"> osobnih automobila sveukupne vrijednosti </w:t>
      </w:r>
      <w:r w:rsidR="00801AE3">
        <w:rPr>
          <w:rStyle w:val="FontStyle24"/>
          <w:spacing w:val="0"/>
        </w:rPr>
        <w:t>1.</w:t>
      </w:r>
      <w:r>
        <w:rPr>
          <w:rStyle w:val="FontStyle24"/>
          <w:spacing w:val="0"/>
        </w:rPr>
        <w:t>011.504</w:t>
      </w:r>
      <w:r w:rsidR="00091621" w:rsidRPr="00526AD1">
        <w:rPr>
          <w:rStyle w:val="FontStyle24"/>
          <w:spacing w:val="0"/>
        </w:rPr>
        <w:t xml:space="preserve"> kn za službene potrebe Grada Pule sukladno Ugovoru o najmu osobnih automobila, </w:t>
      </w:r>
    </w:p>
    <w:p w14:paraId="4FA35AB1" w14:textId="28ACB747" w:rsidR="00091621" w:rsidRPr="00526AD1" w:rsidRDefault="00091621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1</w:t>
      </w:r>
      <w:r w:rsidR="001F4D63">
        <w:rPr>
          <w:rStyle w:val="FontStyle24"/>
          <w:spacing w:val="0"/>
        </w:rPr>
        <w:t>6</w:t>
      </w:r>
      <w:r w:rsidRPr="00526AD1">
        <w:rPr>
          <w:rStyle w:val="FontStyle24"/>
          <w:spacing w:val="0"/>
        </w:rPr>
        <w:t xml:space="preserve"> fotokopirnih aparata sveukupne vrijednosti </w:t>
      </w:r>
      <w:r w:rsidR="00832F1A">
        <w:rPr>
          <w:rStyle w:val="FontStyle24"/>
          <w:spacing w:val="0"/>
        </w:rPr>
        <w:t>152.500</w:t>
      </w:r>
      <w:r w:rsidRPr="00526AD1">
        <w:rPr>
          <w:rStyle w:val="FontStyle24"/>
          <w:spacing w:val="0"/>
        </w:rPr>
        <w:t xml:space="preserve"> kn smještenih po upravnim tijelima, i uredima za službene potrebe Grada Pule sukladno Ugovoru o najmu,</w:t>
      </w:r>
    </w:p>
    <w:p w14:paraId="6AA7BCC5" w14:textId="77777777" w:rsidR="001F4D63" w:rsidRDefault="00091621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29 atomskih skloništa pojačane i osnovne zaštite ukupne vrijednosti 12.713.280 kn</w:t>
      </w:r>
      <w:r w:rsidR="001F4D63">
        <w:rPr>
          <w:rStyle w:val="FontStyle24"/>
          <w:spacing w:val="0"/>
        </w:rPr>
        <w:t>,</w:t>
      </w:r>
    </w:p>
    <w:p w14:paraId="19F4627E" w14:textId="154F2894" w:rsidR="00091621" w:rsidRPr="00526AD1" w:rsidRDefault="001F4D63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aparat za vodu ukupne vrijednosti 2.985 kn</w:t>
      </w:r>
      <w:r w:rsidR="00091621" w:rsidRPr="00526AD1">
        <w:rPr>
          <w:rStyle w:val="FontStyle24"/>
          <w:spacing w:val="0"/>
        </w:rPr>
        <w:t>.</w:t>
      </w:r>
    </w:p>
    <w:p w14:paraId="4F73298E" w14:textId="77777777" w:rsidR="00091621" w:rsidRDefault="00091621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p w14:paraId="04FF7670" w14:textId="41301624" w:rsidR="00801AE3" w:rsidRDefault="00801AE3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1F4D63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6</w:t>
      </w:r>
    </w:p>
    <w:p w14:paraId="65A0B1E7" w14:textId="72AAD6DC" w:rsidR="00801AE3" w:rsidRDefault="00801AE3" w:rsidP="00B55522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I</w:t>
      </w:r>
      <w:r w:rsidR="00B55522">
        <w:rPr>
          <w:rStyle w:val="FontStyle24"/>
          <w:spacing w:val="0"/>
        </w:rPr>
        <w:t>nstrumenti osiguranja plaćanja -</w:t>
      </w:r>
      <w:r>
        <w:rPr>
          <w:rStyle w:val="FontStyle24"/>
          <w:spacing w:val="0"/>
        </w:rPr>
        <w:t xml:space="preserve"> iznose </w:t>
      </w:r>
      <w:r w:rsidR="001F4D63">
        <w:rPr>
          <w:rStyle w:val="FontStyle24"/>
          <w:spacing w:val="0"/>
        </w:rPr>
        <w:t>355.614.955</w:t>
      </w:r>
      <w:r>
        <w:rPr>
          <w:rStyle w:val="FontStyle24"/>
          <w:spacing w:val="0"/>
        </w:rPr>
        <w:t xml:space="preserve"> kn, odnosno:</w:t>
      </w:r>
    </w:p>
    <w:p w14:paraId="60D5D65D" w14:textId="3288B7B7" w:rsidR="00801AE3" w:rsidRPr="002D7391" w:rsidRDefault="00801AE3" w:rsidP="000F0011">
      <w:pPr>
        <w:pStyle w:val="Style4"/>
        <w:widowControl/>
        <w:numPr>
          <w:ilvl w:val="0"/>
          <w:numId w:val="2"/>
        </w:numPr>
        <w:spacing w:line="276" w:lineRule="auto"/>
        <w:contextualSpacing/>
        <w:rPr>
          <w:rStyle w:val="FontStyle24"/>
          <w:spacing w:val="0"/>
        </w:rPr>
      </w:pPr>
      <w:r w:rsidRPr="002D7391">
        <w:rPr>
          <w:rFonts w:ascii="Times New Roman" w:hAnsi="Times New Roman" w:cs="Times New Roman"/>
        </w:rPr>
        <w:t xml:space="preserve">Izdani instrumenti osiguranja plaćanja  - </w:t>
      </w:r>
      <w:r w:rsidR="001F4D63">
        <w:rPr>
          <w:rFonts w:ascii="Times New Roman" w:hAnsi="Times New Roman" w:cs="Times New Roman"/>
        </w:rPr>
        <w:t xml:space="preserve">Grad Pula </w:t>
      </w:r>
      <w:r w:rsidRPr="002D7391">
        <w:rPr>
          <w:rStyle w:val="FontStyle24"/>
          <w:spacing w:val="0"/>
        </w:rPr>
        <w:t xml:space="preserve">sveukupno ima izdano 46 mjenica i zadužnica sveukupne vrijednosti </w:t>
      </w:r>
      <w:r w:rsidR="001F4D63">
        <w:rPr>
          <w:rStyle w:val="FontStyle24"/>
          <w:spacing w:val="0"/>
        </w:rPr>
        <w:t>111.405.000</w:t>
      </w:r>
      <w:r w:rsidRPr="002D7391">
        <w:rPr>
          <w:rStyle w:val="FontStyle24"/>
          <w:spacing w:val="0"/>
        </w:rPr>
        <w:t xml:space="preserve"> kn.</w:t>
      </w:r>
    </w:p>
    <w:p w14:paraId="068D99C3" w14:textId="5DBDF839" w:rsidR="00801AE3" w:rsidRPr="002D7391" w:rsidRDefault="00801AE3" w:rsidP="000F00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391">
        <w:rPr>
          <w:rFonts w:ascii="Times New Roman" w:hAnsi="Times New Roman" w:cs="Times New Roman"/>
          <w:sz w:val="24"/>
          <w:szCs w:val="24"/>
        </w:rPr>
        <w:t>Primljeni instrumenti osiguranja plaćanja - Grad Pula ima sveukupno zaprimljeno 2.</w:t>
      </w:r>
      <w:r w:rsidR="001F4D63">
        <w:rPr>
          <w:rFonts w:ascii="Times New Roman" w:hAnsi="Times New Roman" w:cs="Times New Roman"/>
          <w:sz w:val="24"/>
          <w:szCs w:val="24"/>
        </w:rPr>
        <w:t xml:space="preserve">371 </w:t>
      </w:r>
      <w:proofErr w:type="spellStart"/>
      <w:r w:rsidRPr="002D7391">
        <w:rPr>
          <w:rFonts w:ascii="Times New Roman" w:hAnsi="Times New Roman" w:cs="Times New Roman"/>
          <w:sz w:val="24"/>
          <w:szCs w:val="24"/>
        </w:rPr>
        <w:t>instrumenat</w:t>
      </w:r>
      <w:proofErr w:type="spellEnd"/>
      <w:r w:rsidRPr="002D7391">
        <w:rPr>
          <w:rFonts w:ascii="Times New Roman" w:hAnsi="Times New Roman" w:cs="Times New Roman"/>
          <w:sz w:val="24"/>
          <w:szCs w:val="24"/>
        </w:rPr>
        <w:t xml:space="preserve"> osiguranja plaćanja sveukupne vrijednosti  </w:t>
      </w:r>
      <w:r w:rsidR="001F4D63">
        <w:rPr>
          <w:rFonts w:ascii="Times New Roman" w:hAnsi="Times New Roman" w:cs="Times New Roman"/>
          <w:sz w:val="24"/>
          <w:szCs w:val="24"/>
        </w:rPr>
        <w:t>241.878.978</w:t>
      </w:r>
      <w:r w:rsidRPr="002D7391">
        <w:rPr>
          <w:rFonts w:ascii="Times New Roman" w:hAnsi="Times New Roman" w:cs="Times New Roman"/>
          <w:sz w:val="24"/>
          <w:szCs w:val="24"/>
        </w:rPr>
        <w:t xml:space="preserve"> kn, </w:t>
      </w:r>
    </w:p>
    <w:p w14:paraId="1F207FC0" w14:textId="41FCACA4" w:rsidR="002D7391" w:rsidRPr="002D7391" w:rsidRDefault="002D7391" w:rsidP="000F00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FontStyle24"/>
          <w:spacing w:val="0"/>
        </w:rPr>
      </w:pPr>
      <w:r w:rsidRPr="002D7391">
        <w:rPr>
          <w:rFonts w:ascii="Times New Roman" w:hAnsi="Times New Roman" w:cs="Times New Roman"/>
          <w:sz w:val="24"/>
          <w:szCs w:val="24"/>
        </w:rPr>
        <w:t>Obustava ovrhe uknjižbom založnog prava -</w:t>
      </w:r>
      <w:r w:rsidR="00177F63">
        <w:rPr>
          <w:rFonts w:ascii="Times New Roman" w:hAnsi="Times New Roman" w:cs="Times New Roman"/>
          <w:sz w:val="24"/>
          <w:szCs w:val="24"/>
        </w:rPr>
        <w:t xml:space="preserve"> </w:t>
      </w:r>
      <w:r w:rsidRPr="002D7391">
        <w:rPr>
          <w:rFonts w:ascii="Times New Roman" w:hAnsi="Times New Roman" w:cs="Times New Roman"/>
          <w:sz w:val="24"/>
          <w:szCs w:val="24"/>
        </w:rPr>
        <w:t xml:space="preserve">na stambenoj zgradi, dvorište 613m² temeljem </w:t>
      </w:r>
      <w:r w:rsidRPr="002D7391">
        <w:rPr>
          <w:rFonts w:ascii="Times New Roman" w:hAnsi="Times New Roman" w:cs="Times New Roman"/>
          <w:sz w:val="24"/>
          <w:szCs w:val="24"/>
        </w:rPr>
        <w:lastRenderedPageBreak/>
        <w:t>Rješenja Općinskog suda u Puli-Pola od 20.04.2016 godine u iznosu od 330.977 kn.</w:t>
      </w:r>
    </w:p>
    <w:p w14:paraId="3CD1BA59" w14:textId="77777777" w:rsidR="00801AE3" w:rsidRPr="002D7391" w:rsidRDefault="00177F63" w:rsidP="000F0011">
      <w:pPr>
        <w:pStyle w:val="ListParagraph"/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Zalog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na nekretnini u vlasništvu Grada u iznosu od 2.000.000 kn - u korist poslovne banke za potrebe realizacije projekta p</w:t>
      </w:r>
      <w:r w:rsidR="00EB2FC4">
        <w:rPr>
          <w:rFonts w:ascii="Times New Roman" w:hAnsi="Times New Roman" w:cs="Times New Roman"/>
          <w:sz w:val="24"/>
          <w:szCs w:val="24"/>
        </w:rPr>
        <w:t>od nazivom „</w:t>
      </w:r>
      <w:proofErr w:type="spellStart"/>
      <w:r w:rsidR="00EB2FC4">
        <w:rPr>
          <w:rFonts w:ascii="Times New Roman" w:hAnsi="Times New Roman" w:cs="Times New Roman"/>
          <w:sz w:val="24"/>
          <w:szCs w:val="24"/>
        </w:rPr>
        <w:t>Verudela</w:t>
      </w:r>
      <w:proofErr w:type="spellEnd"/>
      <w:r w:rsidR="00EB2FC4">
        <w:rPr>
          <w:rFonts w:ascii="Times New Roman" w:hAnsi="Times New Roman" w:cs="Times New Roman"/>
          <w:sz w:val="24"/>
          <w:szCs w:val="24"/>
        </w:rPr>
        <w:t xml:space="preserve"> Art Park“ -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Odluka o dozvoli upisa prava zaloga na nekretnini u vlasništvu Gra</w:t>
      </w:r>
      <w:r w:rsidR="0064474D">
        <w:rPr>
          <w:rFonts w:ascii="Times New Roman" w:hAnsi="Times New Roman" w:cs="Times New Roman"/>
          <w:sz w:val="24"/>
          <w:szCs w:val="24"/>
        </w:rPr>
        <w:t>da Pule radi osiguranja kredita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od 30. siječnja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2975076" w14:textId="77777777" w:rsidR="00CA0C87" w:rsidRPr="00801AE3" w:rsidRDefault="00CA0C87" w:rsidP="00B5552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F68A3E" w14:textId="40B5E184" w:rsidR="002D7391" w:rsidRDefault="002D7391" w:rsidP="00B555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1F4D63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7</w:t>
      </w:r>
    </w:p>
    <w:p w14:paraId="34253F2A" w14:textId="575EB5A3" w:rsidR="00DF1EAF" w:rsidRDefault="002D7391" w:rsidP="00B555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6CF">
        <w:rPr>
          <w:rFonts w:ascii="Times New Roman" w:hAnsi="Times New Roman" w:cs="Times New Roman"/>
          <w:sz w:val="24"/>
          <w:szCs w:val="24"/>
        </w:rPr>
        <w:t xml:space="preserve">Grad u </w:t>
      </w:r>
      <w:proofErr w:type="spellStart"/>
      <w:r w:rsidRPr="00F616CF">
        <w:rPr>
          <w:rFonts w:ascii="Times New Roman" w:hAnsi="Times New Roman" w:cs="Times New Roman"/>
          <w:sz w:val="24"/>
          <w:szCs w:val="24"/>
        </w:rPr>
        <w:t>izvanbilančnoj</w:t>
      </w:r>
      <w:proofErr w:type="spellEnd"/>
      <w:r w:rsidRPr="00F616CF">
        <w:rPr>
          <w:rFonts w:ascii="Times New Roman" w:hAnsi="Times New Roman" w:cs="Times New Roman"/>
          <w:sz w:val="24"/>
          <w:szCs w:val="24"/>
        </w:rPr>
        <w:t xml:space="preserve"> evidenciji vodi sudske postupke koji </w:t>
      </w:r>
      <w:r w:rsidR="00DF1EAF">
        <w:rPr>
          <w:rFonts w:ascii="Times New Roman" w:hAnsi="Times New Roman" w:cs="Times New Roman"/>
          <w:sz w:val="24"/>
          <w:szCs w:val="24"/>
        </w:rPr>
        <w:t>na dan</w:t>
      </w:r>
      <w:r w:rsidRPr="00F616CF">
        <w:rPr>
          <w:rFonts w:ascii="Times New Roman" w:hAnsi="Times New Roman" w:cs="Times New Roman"/>
          <w:sz w:val="24"/>
          <w:szCs w:val="24"/>
        </w:rPr>
        <w:t xml:space="preserve"> 31. prosinca </w:t>
      </w:r>
      <w:r w:rsidR="003C20C6">
        <w:rPr>
          <w:rFonts w:ascii="Times New Roman" w:hAnsi="Times New Roman" w:cs="Times New Roman"/>
          <w:sz w:val="24"/>
          <w:szCs w:val="24"/>
        </w:rPr>
        <w:t>20</w:t>
      </w:r>
      <w:r w:rsidR="001F4D63">
        <w:rPr>
          <w:rFonts w:ascii="Times New Roman" w:hAnsi="Times New Roman" w:cs="Times New Roman"/>
          <w:sz w:val="24"/>
          <w:szCs w:val="24"/>
        </w:rPr>
        <w:t>20</w:t>
      </w:r>
      <w:r w:rsidR="003C20C6">
        <w:rPr>
          <w:rFonts w:ascii="Times New Roman" w:hAnsi="Times New Roman" w:cs="Times New Roman"/>
          <w:sz w:val="24"/>
          <w:szCs w:val="24"/>
        </w:rPr>
        <w:t>.</w:t>
      </w:r>
      <w:r w:rsidRPr="00F616CF">
        <w:rPr>
          <w:rFonts w:ascii="Times New Roman" w:hAnsi="Times New Roman" w:cs="Times New Roman"/>
          <w:sz w:val="24"/>
          <w:szCs w:val="24"/>
        </w:rPr>
        <w:t xml:space="preserve"> godine iznose </w:t>
      </w:r>
      <w:r w:rsidR="001F4D63">
        <w:rPr>
          <w:rFonts w:ascii="Times New Roman" w:hAnsi="Times New Roman" w:cs="Times New Roman"/>
          <w:sz w:val="24"/>
          <w:szCs w:val="24"/>
        </w:rPr>
        <w:t>120.694.977</w:t>
      </w:r>
      <w:r w:rsidRPr="00F616CF">
        <w:rPr>
          <w:rFonts w:ascii="Times New Roman" w:hAnsi="Times New Roman" w:cs="Times New Roman"/>
          <w:sz w:val="24"/>
          <w:szCs w:val="24"/>
        </w:rPr>
        <w:t xml:space="preserve"> kn i bilježe sveukupno 1</w:t>
      </w:r>
      <w:r w:rsidR="00DF1EAF">
        <w:rPr>
          <w:rFonts w:ascii="Times New Roman" w:hAnsi="Times New Roman" w:cs="Times New Roman"/>
          <w:sz w:val="24"/>
          <w:szCs w:val="24"/>
        </w:rPr>
        <w:t>0</w:t>
      </w:r>
      <w:r w:rsidR="001F4D63">
        <w:rPr>
          <w:rFonts w:ascii="Times New Roman" w:hAnsi="Times New Roman" w:cs="Times New Roman"/>
          <w:sz w:val="24"/>
          <w:szCs w:val="24"/>
        </w:rPr>
        <w:t>1</w:t>
      </w:r>
      <w:r w:rsidRPr="00F616CF">
        <w:rPr>
          <w:rFonts w:ascii="Times New Roman" w:hAnsi="Times New Roman" w:cs="Times New Roman"/>
          <w:sz w:val="24"/>
          <w:szCs w:val="24"/>
        </w:rPr>
        <w:t xml:space="preserve"> postupak. Od navedenog iznosa, Grad je tužitelj u </w:t>
      </w:r>
      <w:r w:rsidR="001F4D63">
        <w:rPr>
          <w:rFonts w:ascii="Times New Roman" w:hAnsi="Times New Roman" w:cs="Times New Roman"/>
          <w:sz w:val="24"/>
          <w:szCs w:val="24"/>
        </w:rPr>
        <w:t xml:space="preserve">38 </w:t>
      </w:r>
      <w:r w:rsidRPr="00F616CF">
        <w:rPr>
          <w:rFonts w:ascii="Times New Roman" w:hAnsi="Times New Roman" w:cs="Times New Roman"/>
          <w:sz w:val="24"/>
          <w:szCs w:val="24"/>
        </w:rPr>
        <w:t xml:space="preserve">predmeta, za iznos od </w:t>
      </w:r>
      <w:r w:rsidR="001F4D63">
        <w:rPr>
          <w:rFonts w:ascii="Times New Roman" w:hAnsi="Times New Roman" w:cs="Times New Roman"/>
          <w:sz w:val="24"/>
          <w:szCs w:val="24"/>
        </w:rPr>
        <w:t>5.520.97</w:t>
      </w:r>
      <w:r w:rsidR="008246ED">
        <w:rPr>
          <w:rFonts w:ascii="Times New Roman" w:hAnsi="Times New Roman" w:cs="Times New Roman"/>
          <w:sz w:val="24"/>
          <w:szCs w:val="24"/>
        </w:rPr>
        <w:t>8</w:t>
      </w:r>
      <w:r w:rsidRPr="00F616CF">
        <w:rPr>
          <w:rFonts w:ascii="Times New Roman" w:hAnsi="Times New Roman" w:cs="Times New Roman"/>
          <w:sz w:val="24"/>
          <w:szCs w:val="24"/>
        </w:rPr>
        <w:t xml:space="preserve"> kn</w:t>
      </w:r>
      <w:r w:rsidR="0064474D">
        <w:rPr>
          <w:rFonts w:ascii="Times New Roman" w:hAnsi="Times New Roman" w:cs="Times New Roman"/>
          <w:sz w:val="24"/>
          <w:szCs w:val="24"/>
        </w:rPr>
        <w:t>, a</w:t>
      </w:r>
      <w:r w:rsidRPr="00F616CF">
        <w:rPr>
          <w:rFonts w:ascii="Times New Roman" w:hAnsi="Times New Roman" w:cs="Times New Roman"/>
          <w:sz w:val="24"/>
          <w:szCs w:val="24"/>
        </w:rPr>
        <w:t xml:space="preserve"> tuženik u </w:t>
      </w:r>
      <w:r w:rsidR="001F4D63">
        <w:rPr>
          <w:rFonts w:ascii="Times New Roman" w:hAnsi="Times New Roman" w:cs="Times New Roman"/>
          <w:sz w:val="24"/>
          <w:szCs w:val="24"/>
        </w:rPr>
        <w:t>63</w:t>
      </w:r>
      <w:r w:rsidRPr="00F616CF">
        <w:rPr>
          <w:rFonts w:ascii="Times New Roman" w:hAnsi="Times New Roman" w:cs="Times New Roman"/>
          <w:sz w:val="24"/>
          <w:szCs w:val="24"/>
        </w:rPr>
        <w:t xml:space="preserve"> predmeta u iznosu od </w:t>
      </w:r>
      <w:r w:rsidR="001F4D63">
        <w:rPr>
          <w:rFonts w:ascii="Times New Roman" w:hAnsi="Times New Roman" w:cs="Times New Roman"/>
          <w:sz w:val="24"/>
          <w:szCs w:val="24"/>
        </w:rPr>
        <w:t>115.173.999</w:t>
      </w:r>
      <w:r w:rsidR="00DF1EAF">
        <w:rPr>
          <w:rFonts w:ascii="Times New Roman" w:hAnsi="Times New Roman" w:cs="Times New Roman"/>
          <w:sz w:val="24"/>
          <w:szCs w:val="24"/>
        </w:rPr>
        <w:t xml:space="preserve"> kn (od toga </w:t>
      </w:r>
      <w:proofErr w:type="spellStart"/>
      <w:r w:rsidR="00DF1EAF">
        <w:rPr>
          <w:rFonts w:ascii="Times New Roman" w:hAnsi="Times New Roman" w:cs="Times New Roman"/>
          <w:sz w:val="24"/>
          <w:szCs w:val="24"/>
        </w:rPr>
        <w:t>protutužitelj</w:t>
      </w:r>
      <w:proofErr w:type="spellEnd"/>
      <w:r w:rsidR="00DF1EAF">
        <w:rPr>
          <w:rFonts w:ascii="Times New Roman" w:hAnsi="Times New Roman" w:cs="Times New Roman"/>
          <w:sz w:val="24"/>
          <w:szCs w:val="24"/>
        </w:rPr>
        <w:t xml:space="preserve"> u</w:t>
      </w:r>
      <w:r w:rsidR="001F4D63">
        <w:rPr>
          <w:rFonts w:ascii="Times New Roman" w:hAnsi="Times New Roman" w:cs="Times New Roman"/>
          <w:sz w:val="24"/>
          <w:szCs w:val="24"/>
        </w:rPr>
        <w:t xml:space="preserve"> 3</w:t>
      </w:r>
      <w:r w:rsidR="00DF1EAF">
        <w:rPr>
          <w:rFonts w:ascii="Times New Roman" w:hAnsi="Times New Roman" w:cs="Times New Roman"/>
          <w:sz w:val="24"/>
          <w:szCs w:val="24"/>
        </w:rPr>
        <w:t xml:space="preserve"> parnice i </w:t>
      </w:r>
      <w:proofErr w:type="spellStart"/>
      <w:r w:rsidR="00DF1EAF">
        <w:rPr>
          <w:rFonts w:ascii="Times New Roman" w:hAnsi="Times New Roman" w:cs="Times New Roman"/>
          <w:sz w:val="24"/>
          <w:szCs w:val="24"/>
        </w:rPr>
        <w:t>protutuženik</w:t>
      </w:r>
      <w:proofErr w:type="spellEnd"/>
      <w:r w:rsidR="00DF1EAF">
        <w:rPr>
          <w:rFonts w:ascii="Times New Roman" w:hAnsi="Times New Roman" w:cs="Times New Roman"/>
          <w:sz w:val="24"/>
          <w:szCs w:val="24"/>
        </w:rPr>
        <w:t xml:space="preserve"> u jednoj parnici).</w:t>
      </w:r>
      <w:r w:rsidRPr="00F61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AC7A" w14:textId="77777777" w:rsidR="00C24AF8" w:rsidRDefault="00C24AF8" w:rsidP="00B55522">
      <w:pPr>
        <w:pStyle w:val="Style20"/>
        <w:widowControl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6FFFB7A" w14:textId="1981C77C" w:rsidR="002D7391" w:rsidRDefault="007B1DC6" w:rsidP="00B55522">
      <w:pPr>
        <w:pStyle w:val="Style20"/>
        <w:widowControl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F4D63">
        <w:rPr>
          <w:rFonts w:ascii="Times New Roman" w:hAnsi="Times New Roman" w:cs="Times New Roman"/>
          <w:b/>
        </w:rPr>
        <w:t>Pregled sudskih sporova u tijeku</w:t>
      </w:r>
      <w:r w:rsidR="00B55522" w:rsidRPr="001F4D63">
        <w:rPr>
          <w:rFonts w:ascii="Times New Roman" w:hAnsi="Times New Roman" w:cs="Times New Roman"/>
          <w:b/>
        </w:rPr>
        <w:t xml:space="preserve"> -</w:t>
      </w:r>
      <w:r w:rsidR="002D7391" w:rsidRPr="001F4D63">
        <w:rPr>
          <w:rFonts w:ascii="Times New Roman" w:hAnsi="Times New Roman" w:cs="Times New Roman"/>
          <w:b/>
        </w:rPr>
        <w:t xml:space="preserve"> </w:t>
      </w:r>
      <w:r w:rsidRPr="001F4D63">
        <w:rPr>
          <w:rFonts w:ascii="Times New Roman" w:hAnsi="Times New Roman" w:cs="Times New Roman"/>
          <w:b/>
        </w:rPr>
        <w:t>stanje</w:t>
      </w:r>
      <w:r w:rsidR="002D7391" w:rsidRPr="001F4D63">
        <w:rPr>
          <w:rFonts w:ascii="Times New Roman" w:hAnsi="Times New Roman" w:cs="Times New Roman"/>
          <w:b/>
        </w:rPr>
        <w:t xml:space="preserve"> 31.12.</w:t>
      </w:r>
      <w:r w:rsidR="003C20C6" w:rsidRPr="001F4D63">
        <w:rPr>
          <w:rFonts w:ascii="Times New Roman" w:hAnsi="Times New Roman" w:cs="Times New Roman"/>
          <w:b/>
        </w:rPr>
        <w:t>20</w:t>
      </w:r>
      <w:r w:rsidR="009668BE" w:rsidRPr="001F4D63">
        <w:rPr>
          <w:rFonts w:ascii="Times New Roman" w:hAnsi="Times New Roman" w:cs="Times New Roman"/>
          <w:b/>
        </w:rPr>
        <w:t>20</w:t>
      </w:r>
      <w:r w:rsidR="003C20C6" w:rsidRPr="001F4D63">
        <w:rPr>
          <w:rFonts w:ascii="Times New Roman" w:hAnsi="Times New Roman" w:cs="Times New Roman"/>
          <w:b/>
        </w:rPr>
        <w:t>.</w:t>
      </w:r>
      <w:r w:rsidR="002D7391" w:rsidRPr="001F4D63">
        <w:rPr>
          <w:rFonts w:ascii="Times New Roman" w:hAnsi="Times New Roman" w:cs="Times New Roman"/>
          <w:b/>
        </w:rPr>
        <w:t xml:space="preserve"> godine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28"/>
        <w:gridCol w:w="1322"/>
        <w:gridCol w:w="993"/>
        <w:gridCol w:w="1560"/>
        <w:gridCol w:w="1854"/>
        <w:gridCol w:w="981"/>
        <w:gridCol w:w="1274"/>
      </w:tblGrid>
      <w:tr w:rsidR="000B7843" w:rsidRPr="000B7843" w14:paraId="0968DA8A" w14:textId="77777777" w:rsidTr="000B7843">
        <w:trPr>
          <w:trHeight w:val="30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AF46" w14:textId="3860C3F0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0B7843" w:rsidRPr="000B7843" w14:paraId="5AE19102" w14:textId="77777777" w:rsidTr="001F4D63">
        <w:trPr>
          <w:trHeight w:val="300"/>
        </w:trPr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485E6" w14:textId="73498EEC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0B7843" w:rsidRPr="000B7843" w14:paraId="513D2111" w14:textId="77777777" w:rsidTr="00173FD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84EC5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6CA88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Tužitelj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8AA08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Tuženik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3D588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Datum pokretanja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7AD64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Oznaka spora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BB02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Vrsta predmeta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215E6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Vrijednost predmeta spora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302D0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 xml:space="preserve">Mogući odljev/priljev sredstava </w:t>
            </w:r>
          </w:p>
        </w:tc>
      </w:tr>
      <w:tr w:rsidR="000B7843" w:rsidRPr="000B7843" w14:paraId="1F8BDFDF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EB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97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B4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F1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10.09.2001.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CE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P-975/01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A3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A9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195.200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BE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71481A9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54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7F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542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409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13.04.2006.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A29" w14:textId="14072ED0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P-1753/06,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551/11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C10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0660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319" w14:textId="0EC3047D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93DBE0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45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FA6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33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656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08.04.2008.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B63" w14:textId="77777777" w:rsid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P-170/07,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P-310/11, </w:t>
            </w:r>
          </w:p>
          <w:p w14:paraId="1E71477B" w14:textId="72F6FAC3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C3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59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B2B" w14:textId="30612936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9498A94" w14:textId="77777777" w:rsidTr="001F4D6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F3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85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37A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13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16. 12. 2009.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B0BB" w14:textId="26D9545C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P-2299/09, Pn-72/17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24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naknade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38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2.920.000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46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53380765" w14:textId="77777777" w:rsidTr="001F4D6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1F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E2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5B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E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12.02.2010.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39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P-2195/09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50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izdavanje 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tabularne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isprave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8A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60A" w14:textId="5A114F11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4F010648" w14:textId="77777777" w:rsidTr="001F4D6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EC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55F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8C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01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25.05.2010.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91F" w14:textId="4FBF1EF4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P-1136/10,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P-383/20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2E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746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9BA" w14:textId="28B65FFF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4A9BF4E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D7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18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A7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C7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15.10. 2010.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41A" w14:textId="77777777" w:rsid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P-871/10,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P-20/15, </w:t>
            </w:r>
          </w:p>
          <w:p w14:paraId="05BE7A3B" w14:textId="5BFEB1D8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P-352/17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EF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raskida ugovora i 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926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1.109.113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48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2022.g.</w:t>
            </w:r>
          </w:p>
        </w:tc>
      </w:tr>
      <w:tr w:rsidR="000B7843" w:rsidRPr="000B7843" w14:paraId="1BB81D4D" w14:textId="77777777" w:rsidTr="000B7843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1E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11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(protutužba)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B6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E14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15.10.2010.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BF7" w14:textId="77777777" w:rsid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P-871/10,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P-20/15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,</w:t>
            </w:r>
          </w:p>
          <w:p w14:paraId="42090F21" w14:textId="4ED4517B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P-352/17,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      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BC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raskida ugovora i 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1F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536.204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FE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početak 2022.g.</w:t>
            </w:r>
          </w:p>
        </w:tc>
      </w:tr>
      <w:tr w:rsidR="000B7843" w:rsidRPr="000B7843" w14:paraId="6DDAD0E7" w14:textId="77777777" w:rsidTr="000B784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18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F4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44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9C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12.04. 2012.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4A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P-636/12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F2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BA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1.623.980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1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2021.g.</w:t>
            </w:r>
          </w:p>
        </w:tc>
      </w:tr>
      <w:tr w:rsidR="000B7843" w:rsidRPr="000B7843" w14:paraId="195DD332" w14:textId="77777777" w:rsidTr="000B7843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4C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D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(protutužba)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1B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E48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12.04.2012.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02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P-636/12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BF5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32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1.112.531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AC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2021.g.</w:t>
            </w:r>
          </w:p>
        </w:tc>
      </w:tr>
      <w:tr w:rsidR="000B7843" w:rsidRPr="000B7843" w14:paraId="28D04F2B" w14:textId="77777777" w:rsidTr="000B7843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2F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B6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E8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D2C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04.07.2012.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416" w14:textId="77777777" w:rsid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P-1371/12,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P-92/15, </w:t>
            </w:r>
          </w:p>
          <w:p w14:paraId="21CE4183" w14:textId="5FC06B7E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P-357/20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05E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059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63F" w14:textId="0CB028E2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62CAA2C7" w14:textId="77777777" w:rsidTr="000B7843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F28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B1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B0E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3A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04.07.2012.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35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P-1659/12, P-103/15, P-100/20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A22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93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04F" w14:textId="438A307C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21F0D52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4B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34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             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AF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CF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25.07.2012.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D0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P-152/15, P-179/20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C4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predaje u posjed       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09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4D2" w14:textId="7D9573DB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A7F986D" w14:textId="77777777" w:rsidTr="000B7843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54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4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B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(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protutuženik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A1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25.07.2012.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49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P-152/15, P-179/20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04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predaje u posjed       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5B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1.014.519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3C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23663092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1F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79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11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8A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10. 01. 2013.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81B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P-1418/12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65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 (108.300,00 EUR-a)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92F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816.246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FF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5671EA06" w14:textId="77777777" w:rsidTr="000B7843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19C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8E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57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BC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28.08.2013.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74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P-674/18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CA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namirenja potraživanja iz založne stvari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50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41.294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E6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priljev-kraj 2022.g.</w:t>
            </w:r>
          </w:p>
        </w:tc>
      </w:tr>
      <w:tr w:rsidR="000B7843" w:rsidRPr="000B7843" w14:paraId="6C4FA10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02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EB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C9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87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18.11.2013.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97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P-1366/13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074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FE1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722.000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C8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05667F1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756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F5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8F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20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10.02.2014.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43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P-358/13, P-1281/17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37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BB8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E7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3CEF4451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C0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3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12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3A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06.06.2014.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D0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P-1010/14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D2A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79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E7E" w14:textId="05B9FB17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8C2C85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84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EE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C6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99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24.06.2014.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EE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P-1377/04,P-727/14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42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 i raskid ugovora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855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21.682.295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54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2021.g.</w:t>
            </w:r>
          </w:p>
        </w:tc>
      </w:tr>
      <w:tr w:rsidR="000B7843" w:rsidRPr="000B7843" w14:paraId="013BEF20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3B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233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77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3A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24.06.2014.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2FF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P-1613/14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F0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B8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E34" w14:textId="6784250F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F0F9F55" w14:textId="77777777" w:rsidTr="00C24AF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4D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C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8ED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99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18.09.2014.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9A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P-1482/14, P-268/20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A1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8A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9F4" w14:textId="2030957A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7E55A06" w14:textId="77777777" w:rsidTr="00C24AF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39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FA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09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06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29.10.2014.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82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P-1300/14, P-626/18. P-46/20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EAD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78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D7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5E8F6953" w14:textId="77777777" w:rsidTr="00C24AF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03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E9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66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8E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26.05.2015.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6C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P-2264/15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53C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predaje u posjed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73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408" w14:textId="6094D018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58EB6E0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DD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2A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3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A1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25.08.2015.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A1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P-2523/15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B9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umanjenja vrijednosti zemljišta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EB0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68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482554B4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A9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98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6C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EB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17.09.2015.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5FA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P-2678/15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C3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F72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25F" w14:textId="47490444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81A5D7F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E1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3E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28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F0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30.09.2015.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9FD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Pn-543/15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80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naknade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A2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8A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26111754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EE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68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57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B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09.12.2015.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DB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P-3198/15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935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isplata i 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01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E25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odljev - kraj 2021.g. </w:t>
            </w:r>
          </w:p>
        </w:tc>
      </w:tr>
      <w:tr w:rsidR="000B7843" w:rsidRPr="000B7843" w14:paraId="0CE65A24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98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E0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(protutužba)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9B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0C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09.12.2015.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F7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P-3198/15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DA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isplata i 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5D7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F7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odljev - kraj 2021.g. </w:t>
            </w:r>
          </w:p>
        </w:tc>
      </w:tr>
      <w:tr w:rsidR="000B7843" w:rsidRPr="000B7843" w14:paraId="3C786222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A5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FF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35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B1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16.12.2015.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B3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P-1595/15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1D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ništetnosti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847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216.811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3E1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4424839A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16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181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C3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31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16.03.2016.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88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P-598/16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81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52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79D" w14:textId="71621302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parnični 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tošak</w:t>
            </w:r>
            <w:proofErr w:type="spellEnd"/>
          </w:p>
        </w:tc>
      </w:tr>
      <w:tr w:rsidR="000B7843" w:rsidRPr="000B7843" w14:paraId="65E0CB1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32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CBD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9EB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27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06.04.2016.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282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P-1194/16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94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BC0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E14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5B28DC8D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82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59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42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8A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02.05.2016.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EE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P-400/16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DF2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zaključenja  ugovora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628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A58" w14:textId="39BA7260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776AD04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D5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79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7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i dr.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F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23.05.2016.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0DC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P-273/16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92F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5E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8.214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F0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25E57F58" w14:textId="77777777" w:rsidTr="000B7843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D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3A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D2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E3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29.06.2016.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1B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P-193/16, P-567/20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05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68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A7D" w14:textId="07574296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986926C" w14:textId="77777777" w:rsidTr="000B784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15F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1A5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5D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5A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E1E" w14:textId="77777777" w:rsid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P-982/05, P-208/17, </w:t>
            </w:r>
          </w:p>
          <w:p w14:paraId="3D48FF0B" w14:textId="7F4A2D58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P-1437/18, P-780/19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0E6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utvrđenja prava 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vlasništa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0B8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165.000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8C0" w14:textId="1D1DA42E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261160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DA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3A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4F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A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2E3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Pn-227/16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98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BA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163.750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A7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priljev-kraj 2021.g.</w:t>
            </w:r>
          </w:p>
        </w:tc>
      </w:tr>
      <w:tr w:rsidR="000B7843" w:rsidRPr="000B7843" w14:paraId="312522F9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287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99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20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09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22.08.2016.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B4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P-1083/16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F4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BC2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2B4" w14:textId="78F0077F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21BA6B6" w14:textId="77777777" w:rsidTr="000B784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B0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4D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237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7C9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13.09.2016.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B4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Povrv-328/16,              Povrv-226/20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7C2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76D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15.389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55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priljev-kraj 2021.g.</w:t>
            </w:r>
          </w:p>
        </w:tc>
      </w:tr>
      <w:tr w:rsidR="000B7843" w:rsidRPr="000B7843" w14:paraId="649BC15C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65D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AFA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170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37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13.09.2016.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AD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P-276/16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2F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A45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3D8" w14:textId="18624FCE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0FB5A9A0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50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3B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17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1E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19.09.2016.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20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P-1215/16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E10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otklanjanje nedostataka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8A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143.000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AFB" w14:textId="1E12E91B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7ACDAB5" w14:textId="77777777" w:rsidTr="000B784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BD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FB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A5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718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03.10.2016.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EC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P-1297/16, P-316/19, P-131/20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B3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C1A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84.058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33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2021.g.</w:t>
            </w:r>
          </w:p>
        </w:tc>
      </w:tr>
      <w:tr w:rsidR="000B7843" w:rsidRPr="000B7843" w14:paraId="6D6495B2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74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3AF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E6D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EE9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06.03.2017.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10C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Pn-72/17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1D1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utvrđivanje postojanje tražbine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604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2.264.525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A96" w14:textId="577BE9A5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4D1B2A4" w14:textId="77777777" w:rsidTr="000B7843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B94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12E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563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892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18.05.2017.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587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P-1246/17, P-257/19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B44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. prava vlasništva i predaja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187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0C4" w14:textId="11369CB3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93BB71C" w14:textId="77777777" w:rsidTr="000B7843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3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D83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143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526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03.07.2017.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E30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Pn-191/17, Pn-77/19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A19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1496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79.456.033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A15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2022.g.</w:t>
            </w:r>
          </w:p>
        </w:tc>
      </w:tr>
      <w:tr w:rsidR="000B7843" w:rsidRPr="000B7843" w14:paraId="3954FCF9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B5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9F7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23A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7BC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10.07.2017.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97C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P-869/17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706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utvrđenje prava vlasništva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D61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74D" w14:textId="0DDCC284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429B45F6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AC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CB8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9B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F74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04.09.2017.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30E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P-1240/17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37B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9EE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D1A" w14:textId="634753CE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7EAE098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E3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609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Fizičke osobe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F6B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9CD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06.09.2017.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627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Pn-224/17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229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B1E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538.200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E5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7B4CE505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4B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0AB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B16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886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25.09.2017.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91B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P-1792/17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FF3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B44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11E" w14:textId="01436EA4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4353EC0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A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491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B96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4C0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17.10.2017.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925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Povrv-357/17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25D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C4E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82.150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7A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priljev-kraj 2021.g.</w:t>
            </w:r>
          </w:p>
        </w:tc>
      </w:tr>
      <w:tr w:rsidR="000B7843" w:rsidRPr="000B7843" w14:paraId="237A62B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20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64B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F3A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2D1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546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Pn-357/17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8C4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naknade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44F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AF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4C1D7439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F2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A39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FD6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2EF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18.12.2017.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655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P-1583/18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898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FDF8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059" w14:textId="5A0B7F95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E66DBE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9E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23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90D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E9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15.01.2018.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41A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P-1753/17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EE6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služnosti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6CE8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6C8" w14:textId="237D78B1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F6C32B1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18E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D8F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932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435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19.03.2018.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243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P-1081/18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F94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C65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EF5" w14:textId="573CD470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675F506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0E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5FE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174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BEC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26.03.2018.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DD2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P-615/18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89C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F0C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AA7" w14:textId="72536B61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3B270D8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9A8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BA0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A27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6A7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17.05.2018.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7DF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Povrv-335/18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B29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263A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57.317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5D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4D6E64C7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B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614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EB3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107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04.06.2018.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BEB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P-982/18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568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A5D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149.000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46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odljev-početak 2022.g.</w:t>
            </w:r>
          </w:p>
        </w:tc>
      </w:tr>
      <w:tr w:rsidR="000B7843" w:rsidRPr="000B7843" w14:paraId="39579660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05D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03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14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BA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02.07.2018.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087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P-1324/18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E95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predaje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B77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418" w14:textId="370F9E86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CD4C9F7" w14:textId="77777777" w:rsidTr="000B7843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98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DC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8A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9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04.07.2018.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17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Povrv-311/18,                       P-706/18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AB0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E81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AE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priljev-početak 2022.g.</w:t>
            </w:r>
          </w:p>
        </w:tc>
      </w:tr>
      <w:tr w:rsidR="000B7843" w:rsidRPr="000B7843" w14:paraId="7C0912F9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C1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C4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3A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23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09.07.2018.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DDC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P-784/18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1F7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DBD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E67" w14:textId="7F9355A1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532870B" w14:textId="77777777" w:rsidTr="00C24AF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51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7C6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BFE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F7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27.07.2018.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2FC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P-1325/18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81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47A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838" w14:textId="563470A6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820C2F1" w14:textId="77777777" w:rsidTr="00C24AF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DA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1C2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04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DD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13.08.2018.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43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Povrv-462/18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61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EAA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82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odljev-kraj 2021.g. </w:t>
            </w:r>
          </w:p>
        </w:tc>
      </w:tr>
      <w:tr w:rsidR="000B7843" w:rsidRPr="000B7843" w14:paraId="0BA6D6F8" w14:textId="77777777" w:rsidTr="00C24AF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6A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63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D7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20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C58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20.08.2018.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CF9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Pr-59/18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EF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04E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EC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0D5B34DB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E4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16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52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82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03.09.2018.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612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Pn-219/18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9C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801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D2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668519C6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9A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EE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93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22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22.10.2018.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CC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P-1568/18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F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utvrđenje i 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vraćenje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4A1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F57" w14:textId="0A389CD8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732D22F1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3C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5E0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AA0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CD2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15.02.2019.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E9C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Povrv-16/19,                 Povrv-431/19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7342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E912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39.483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46E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priljev-kraj 2022.g.</w:t>
            </w:r>
          </w:p>
        </w:tc>
      </w:tr>
      <w:tr w:rsidR="000B7843" w:rsidRPr="000B7843" w14:paraId="74935A2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56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B89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78F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 i dr.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6C7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06.03.2019.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3D4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P-1744/18,P-1477/17, P-2000/19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355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ispravak pogrešnog upisa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2A1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9162" w14:textId="63B43C0E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7E2EA154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810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068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E46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ECD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08.03.2019.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524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P-219/19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EA4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44AA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0CC4" w14:textId="461CA777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508BA9B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37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87B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DDD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35F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03.05.2019.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814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Pn-35/19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4E6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198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7FA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32F60E67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98B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48A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044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160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16.05.2019.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A6A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P-880/19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E5E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predaje u posjed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C66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7F29" w14:textId="50AE4E10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B2DA495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C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1DB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EFF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6FF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11.06.2019.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D23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P-1610/19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6BC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AFB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E3C4" w14:textId="6EBFCAB9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314F9D4F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B7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9B3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54C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BD3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04.07.2019.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068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P-545/19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51B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AA1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6C47" w14:textId="463806ED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974A71D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E6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8C6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FF1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087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08.07.2019.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FD5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Povrv-299/19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0EA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10D6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C39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2021.g.</w:t>
            </w:r>
          </w:p>
        </w:tc>
      </w:tr>
      <w:tr w:rsidR="000B7843" w:rsidRPr="000B7843" w14:paraId="48D7799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D7E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A6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0B4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8F9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09.08.2019.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89E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Ps-6/19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0CC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predaja u posjed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02E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C12C" w14:textId="1FD080D2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CE89212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AE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687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345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B89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19.08.2019.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0BB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P-1592/19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690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ispravak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28AF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6DB4" w14:textId="75F3E005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0189E1C6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3C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F8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A72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413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13.09.2019.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776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P-1660/19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981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brisanja i 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414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575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38DB43E7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B8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150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DB75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835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11.10.2019.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BD6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Pn-144/19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958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6FB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9D0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2CB74597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C27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4F5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472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742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23.10.2019.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309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P-560/19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F9F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proglašenje ovrhe nedopuštenom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BFD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39EF" w14:textId="43CBA187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5B79053D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7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396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E35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0A1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31.10.2019.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69F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Pn-161/19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4A1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6B1D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579.798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FCB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0645611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79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DA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C00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091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08.11.2019.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3EB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P-1819/19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515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71E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72E" w14:textId="167DC101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pranični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trošak</w:t>
            </w:r>
          </w:p>
        </w:tc>
      </w:tr>
      <w:tr w:rsidR="000B7843" w:rsidRPr="000B7843" w14:paraId="0B94FEB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39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3BD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EE6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38A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13.12.2019.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D4C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Pn-192/19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B10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5879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E8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671025C7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E0E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1F5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DD9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i 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F91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13.12.2019.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B30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P-1901/19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254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naknada štete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F9C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DB4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odljev-kraj 2021.g.</w:t>
            </w:r>
          </w:p>
        </w:tc>
      </w:tr>
      <w:tr w:rsidR="000B7843" w:rsidRPr="000B7843" w14:paraId="37AB89B8" w14:textId="77777777" w:rsidTr="000B7843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2F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A8F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CA0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CD1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05.02.2020.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C6463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P-79/20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07F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ništetnosti ugovora i pobijanje dužnikovih pravnih radnji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3C04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C9A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2022.g.</w:t>
            </w:r>
          </w:p>
        </w:tc>
      </w:tr>
      <w:tr w:rsidR="000B7843" w:rsidRPr="000B7843" w14:paraId="46A322C6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C5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05E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7EC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68D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07.02.2020.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BDF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P-1983/19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94B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proglašenje ovrhe nedopuštenom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AA84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2CD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2021.g.</w:t>
            </w:r>
          </w:p>
        </w:tc>
      </w:tr>
      <w:tr w:rsidR="000B7843" w:rsidRPr="000B7843" w14:paraId="41A970F9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AB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075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139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400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07.02.2020.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158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P-1851/19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B27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utvrđenje prava stvarne služnosti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4573D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0B0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2021.g.</w:t>
            </w:r>
          </w:p>
        </w:tc>
      </w:tr>
      <w:tr w:rsidR="000B7843" w:rsidRPr="000B7843" w14:paraId="3457DF7F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15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9B2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F04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522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10.03.2020.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2F6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P-175/20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6EA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A880E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22.500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724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priljev-početak 2022.g.</w:t>
            </w:r>
          </w:p>
        </w:tc>
      </w:tr>
      <w:tr w:rsidR="000B7843" w:rsidRPr="000B7843" w14:paraId="785A73D6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7B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536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B08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09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23.04.2020.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EC7D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Povrv-322/19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462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06910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1.135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604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početak 2022.g.</w:t>
            </w:r>
          </w:p>
        </w:tc>
      </w:tr>
      <w:tr w:rsidR="000B7843" w:rsidRPr="000B7843" w14:paraId="34D55AA4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15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7F2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08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08E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29.05.2020.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53C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P-304/20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A1E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stvarno-pravo vlasništva nekretnine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EB2C16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0EF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2022.g.</w:t>
            </w:r>
          </w:p>
        </w:tc>
      </w:tr>
      <w:tr w:rsidR="000B7843" w:rsidRPr="000B7843" w14:paraId="49E60CE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1A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59A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9F9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D6C5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01.06.2020.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3F1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P-323/20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765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proglašenje ovrhe nedopuštenom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06E32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73C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početak 2022.g.</w:t>
            </w:r>
          </w:p>
        </w:tc>
      </w:tr>
      <w:tr w:rsidR="000B7843" w:rsidRPr="000B7843" w14:paraId="254A4041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16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D9B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B6B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Grad Pula-Pola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782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02.06.2020.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1071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P-309/20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13E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utvrđenja prava </w:t>
            </w: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valsništva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9D916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F0DE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2022.g.</w:t>
            </w:r>
          </w:p>
        </w:tc>
      </w:tr>
      <w:tr w:rsidR="000B7843" w:rsidRPr="000B7843" w14:paraId="76FE1D61" w14:textId="77777777" w:rsidTr="000B7843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BA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DEC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E58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Pravna osoba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2D5A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03.07.2020.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C28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P-424/20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A51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utvrđenje osporene tražbine u postupku predstečajne nagodbe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D945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0B7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2021.g.</w:t>
            </w:r>
          </w:p>
        </w:tc>
      </w:tr>
      <w:tr w:rsidR="000B7843" w:rsidRPr="000B7843" w14:paraId="5A3A565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3F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C83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9A4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8DC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03.07.2020.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F788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P-424/20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151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i dr.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EB47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D24C" w14:textId="2F1A13FE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pranični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trošak</w:t>
            </w:r>
          </w:p>
        </w:tc>
      </w:tr>
      <w:tr w:rsidR="000B7843" w:rsidRPr="000B7843" w14:paraId="40EF946F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D2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DEC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Fizičke osobe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840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1DE4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31.08.2020.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9EC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P-531/20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0D4F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služnosti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563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062C" w14:textId="4DC58F5F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proofErr w:type="spellStart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pranični</w:t>
            </w:r>
            <w:proofErr w:type="spellEnd"/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trošak</w:t>
            </w:r>
          </w:p>
        </w:tc>
      </w:tr>
      <w:tr w:rsidR="000B7843" w:rsidRPr="000B7843" w14:paraId="1D7515D0" w14:textId="77777777" w:rsidTr="000B784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6F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F12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93E6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CED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31.08.2020.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25A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P-409/20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DC3E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proglašenja nedopuštene pljenidbe i prijenosa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2244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42.091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2F0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početak 2022.g.</w:t>
            </w:r>
          </w:p>
        </w:tc>
      </w:tr>
      <w:tr w:rsidR="000B7843" w:rsidRPr="000B7843" w14:paraId="35BB464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B5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DDC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EC3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DA6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31.08.2020.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E595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P-465/20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4D22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proglašenja ovrhe nedopuštenom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008B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C39E" w14:textId="0E0C06BC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1525FEC5" w14:textId="77777777" w:rsidTr="000B7843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53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36C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79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734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13.11.2020.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DE5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P-491/20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6346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proglašenja nedopuštene pljenidbe i prijenosa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67D1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18.256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2A3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početak 2022.g.</w:t>
            </w:r>
          </w:p>
        </w:tc>
      </w:tr>
      <w:tr w:rsidR="000B7843" w:rsidRPr="000B7843" w14:paraId="6F016361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01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D8D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35FC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B1A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22.11.2020.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3AD7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P-710/20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4EE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E27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85.443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734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odljev - kraj 2022.g.</w:t>
            </w:r>
          </w:p>
        </w:tc>
      </w:tr>
      <w:tr w:rsidR="000B7843" w:rsidRPr="000B7843" w14:paraId="57395E43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D9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05B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FAA0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387F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09.12.2020.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FA21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P-738/20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C2B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E023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5E7A" w14:textId="6D7D6545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27C0A4BE" w14:textId="77777777" w:rsidTr="000B784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89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3F8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EBFF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856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09.12.2020.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A71A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P-585/20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57B4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46444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504E" w14:textId="4D2B2BB6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7972F3AE" w14:textId="77777777" w:rsidTr="00C24AF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FC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25CA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9312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Fizička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E77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18.12.2020.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967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Povrv-414/20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7C6B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isplate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F442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4437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priljev - kraj 2022.g.</w:t>
            </w:r>
          </w:p>
        </w:tc>
      </w:tr>
      <w:tr w:rsidR="000B7843" w:rsidRPr="000B7843" w14:paraId="0EE13AE0" w14:textId="77777777" w:rsidTr="00C24AF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429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ACBD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Fizička osoba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B251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 Pula-Pola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973B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890C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P-731/20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90A9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utvrđenja prava vlasništva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949C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101F" w14:textId="7AF96C88" w:rsidR="000B7843" w:rsidRPr="000B7843" w:rsidRDefault="008246ED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parnični trošak</w:t>
            </w:r>
          </w:p>
        </w:tc>
      </w:tr>
      <w:tr w:rsidR="000B7843" w:rsidRPr="000B7843" w14:paraId="4FB9132A" w14:textId="77777777" w:rsidTr="00173FDD">
        <w:trPr>
          <w:trHeight w:val="300"/>
        </w:trPr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9C4D08" w14:textId="77777777" w:rsidR="000B7843" w:rsidRPr="000B7843" w:rsidRDefault="000B7843" w:rsidP="000B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UKUPNO OD 01.01.2001.-31.12.2020.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4442BD0" w14:textId="77777777" w:rsidR="000B7843" w:rsidRPr="000B7843" w:rsidRDefault="000B7843" w:rsidP="000B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120.694.977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518070" w14:textId="77777777" w:rsidR="000B7843" w:rsidRPr="000B7843" w:rsidRDefault="000B7843" w:rsidP="000B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0B78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</w:tr>
    </w:tbl>
    <w:p w14:paraId="32BC4599" w14:textId="418332AE" w:rsidR="00173FDD" w:rsidRDefault="008B4DEF" w:rsidP="00173FDD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lastRenderedPageBreak/>
        <w:t xml:space="preserve">BILJEŠKA br. </w:t>
      </w:r>
      <w:r w:rsidR="00173FDD">
        <w:rPr>
          <w:rFonts w:ascii="Times New Roman" w:hAnsi="Times New Roman" w:cs="Times New Roman"/>
          <w:b/>
        </w:rPr>
        <w:t>8</w:t>
      </w:r>
      <w:r w:rsidR="008246ED">
        <w:rPr>
          <w:rFonts w:ascii="Times New Roman" w:hAnsi="Times New Roman" w:cs="Times New Roman"/>
          <w:b/>
        </w:rPr>
        <w:t>8</w:t>
      </w:r>
    </w:p>
    <w:p w14:paraId="5909DA8D" w14:textId="5EFA64D6" w:rsidR="002D7391" w:rsidRDefault="008B4DEF" w:rsidP="00173FDD">
      <w:pPr>
        <w:pStyle w:val="Style20"/>
        <w:widowControl/>
        <w:spacing w:line="276" w:lineRule="auto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 xml:space="preserve">Ostali </w:t>
      </w:r>
      <w:proofErr w:type="spellStart"/>
      <w:r>
        <w:rPr>
          <w:rStyle w:val="FontStyle24"/>
          <w:spacing w:val="0"/>
        </w:rPr>
        <w:t>izvanbilančni</w:t>
      </w:r>
      <w:proofErr w:type="spellEnd"/>
      <w:r>
        <w:rPr>
          <w:rStyle w:val="FontStyle24"/>
          <w:spacing w:val="0"/>
        </w:rPr>
        <w:t xml:space="preserve"> zapisi - </w:t>
      </w:r>
      <w:r w:rsidRPr="00526AD1">
        <w:rPr>
          <w:rStyle w:val="FontStyle24"/>
          <w:spacing w:val="0"/>
        </w:rPr>
        <w:t xml:space="preserve">dane suglasnosti u iznosu od </w:t>
      </w:r>
      <w:r w:rsidR="00173FDD">
        <w:rPr>
          <w:rStyle w:val="FontStyle24"/>
          <w:spacing w:val="0"/>
        </w:rPr>
        <w:t>265.582.712</w:t>
      </w:r>
      <w:r w:rsidRPr="00526AD1">
        <w:rPr>
          <w:rStyle w:val="FontStyle24"/>
          <w:spacing w:val="0"/>
        </w:rPr>
        <w:t xml:space="preserve"> kn prema tablici koja slijedi:</w:t>
      </w:r>
    </w:p>
    <w:p w14:paraId="5C5DDCAC" w14:textId="77777777" w:rsidR="00EB2FC4" w:rsidRDefault="00EB2FC4">
      <w:pPr>
        <w:spacing w:after="0"/>
        <w:jc w:val="both"/>
        <w:rPr>
          <w:rStyle w:val="FontStyle24"/>
          <w:rFonts w:eastAsia="Times New Roman"/>
          <w:spacing w:val="0"/>
          <w:lang w:eastAsia="hr-H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594"/>
        <w:gridCol w:w="956"/>
        <w:gridCol w:w="5811"/>
        <w:gridCol w:w="1854"/>
      </w:tblGrid>
      <w:tr w:rsidR="00173FDD" w:rsidRPr="00173FDD" w14:paraId="35345B56" w14:textId="77777777" w:rsidTr="008246ED">
        <w:trPr>
          <w:trHeight w:val="79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21F7DA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RED. BR.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2E5490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RAČUN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6F0783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KORISNIKA SUGLASNOSTI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7FCEFC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GLAVNICA ZA OTPLATU NA DAN 31.12.2020.</w:t>
            </w:r>
          </w:p>
        </w:tc>
      </w:tr>
      <w:tr w:rsidR="00173FDD" w:rsidRPr="00173FDD" w14:paraId="6BB796D6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B827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75B4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99191013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4371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-suglasnost-PLINARA d.o.o.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4A13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72.833.333</w:t>
            </w:r>
          </w:p>
        </w:tc>
      </w:tr>
      <w:tr w:rsidR="00173FDD" w:rsidRPr="00173FDD" w14:paraId="1EBE8C95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8B12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3125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18CE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-suglasnost-VODOVOD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71CC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4.964.185</w:t>
            </w:r>
          </w:p>
        </w:tc>
      </w:tr>
      <w:tr w:rsidR="00173FDD" w:rsidRPr="00173FDD" w14:paraId="355C9B33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212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A05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8579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-suglasnost-PULA SPORT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3CEA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12.003.287</w:t>
            </w:r>
          </w:p>
        </w:tc>
      </w:tr>
      <w:tr w:rsidR="00173FDD" w:rsidRPr="00173FDD" w14:paraId="5F902792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C43A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B099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BB04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-suglasnost-PULA SPORT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75B4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7.166.042</w:t>
            </w:r>
          </w:p>
        </w:tc>
      </w:tr>
      <w:tr w:rsidR="00173FDD" w:rsidRPr="00173FDD" w14:paraId="00DB7F77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A2F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75D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3FE7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-suglasnost-PRAGRANDE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67F1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7.488.440</w:t>
            </w:r>
          </w:p>
        </w:tc>
      </w:tr>
      <w:tr w:rsidR="00173FDD" w:rsidRPr="00173FDD" w14:paraId="20AC4DC3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B5E5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ED6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4BA7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-suglasnosti-PLINARA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45E0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50.535.139</w:t>
            </w:r>
          </w:p>
        </w:tc>
      </w:tr>
      <w:tr w:rsidR="00173FDD" w:rsidRPr="00173FDD" w14:paraId="77D9F63B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F23A" w14:textId="03D09DBA" w:rsidR="00173FDD" w:rsidRPr="00173FDD" w:rsidRDefault="008246E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6E6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880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-suglasnost-LUKA PULA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0342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2.230.171</w:t>
            </w:r>
          </w:p>
        </w:tc>
      </w:tr>
      <w:tr w:rsidR="00173FDD" w:rsidRPr="00173FDD" w14:paraId="11CC70A9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2DEA" w14:textId="22C87BC0" w:rsidR="00173FDD" w:rsidRPr="00173FDD" w:rsidRDefault="008246E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6D35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6631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-suglasnost-PULAPROMET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3AC5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12.555.055</w:t>
            </w:r>
          </w:p>
        </w:tc>
      </w:tr>
      <w:tr w:rsidR="00173FDD" w:rsidRPr="00173FDD" w14:paraId="11E11F1E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B5BE" w14:textId="1ABCEEF3" w:rsidR="00173FDD" w:rsidRPr="00173FDD" w:rsidRDefault="008246E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3CA0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90AE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-suglasnost-PULA SPORT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32C9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59.854.167</w:t>
            </w:r>
          </w:p>
        </w:tc>
      </w:tr>
      <w:tr w:rsidR="00173FDD" w:rsidRPr="00173FDD" w14:paraId="29F1B96E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6A10" w14:textId="5208D409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82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A913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FC1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-suglasnost-MONTE GIRO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37DB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5.304.180</w:t>
            </w:r>
          </w:p>
        </w:tc>
      </w:tr>
      <w:tr w:rsidR="00173FDD" w:rsidRPr="00173FDD" w14:paraId="03B1230B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87F4" w14:textId="2709BEA5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82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710F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28FD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-suglasnost-LUKA PULA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31E6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293.125</w:t>
            </w:r>
          </w:p>
        </w:tc>
      </w:tr>
      <w:tr w:rsidR="00173FDD" w:rsidRPr="00173FDD" w14:paraId="311178B6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1258" w14:textId="213131A3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82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A065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2825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-suglasnost-PLINARA 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EB08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5.133.333</w:t>
            </w:r>
          </w:p>
        </w:tc>
      </w:tr>
      <w:tr w:rsidR="00173FDD" w:rsidRPr="00173FDD" w14:paraId="3D8A2FA5" w14:textId="77777777" w:rsidTr="008246ED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99B0" w14:textId="6EA59DA1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82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7EC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C168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-suglasnost-KAŠTIJUN d.o.o.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A977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7.181.505</w:t>
            </w:r>
          </w:p>
        </w:tc>
      </w:tr>
      <w:tr w:rsidR="00173FDD" w:rsidRPr="00173FDD" w14:paraId="695A7A55" w14:textId="77777777" w:rsidTr="008246ED">
        <w:trPr>
          <w:trHeight w:val="28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98B1" w14:textId="553B336C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82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0A4" w14:textId="77777777" w:rsidR="00173FDD" w:rsidRPr="00173FDD" w:rsidRDefault="00173FDD" w:rsidP="0017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99191029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49B" w14:textId="77777777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Izvanbilan.zapisi</w:t>
            </w:r>
            <w:proofErr w:type="spellEnd"/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-suglasnost-VATROGASNA ZAJEDNICA ISTARSKE ŽUPANIJE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9734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18.040.750</w:t>
            </w:r>
          </w:p>
        </w:tc>
      </w:tr>
      <w:tr w:rsidR="00173FDD" w:rsidRPr="00173FDD" w14:paraId="366643A7" w14:textId="77777777" w:rsidTr="008246ED">
        <w:trPr>
          <w:trHeight w:val="300"/>
          <w:jc w:val="center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F1403EB" w14:textId="641B82F0" w:rsidR="00173FDD" w:rsidRPr="00173FDD" w:rsidRDefault="00173FDD" w:rsidP="00173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DE71D92" w14:textId="77777777" w:rsidR="00173FDD" w:rsidRPr="00173FDD" w:rsidRDefault="00173FDD" w:rsidP="0017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265.582.712</w:t>
            </w:r>
          </w:p>
        </w:tc>
      </w:tr>
    </w:tbl>
    <w:p w14:paraId="17E79E89" w14:textId="77777777" w:rsidR="00EB2FC4" w:rsidRDefault="00EB2FC4">
      <w:pPr>
        <w:spacing w:after="0"/>
        <w:jc w:val="both"/>
        <w:rPr>
          <w:rStyle w:val="FontStyle24"/>
          <w:rFonts w:eastAsia="Times New Roman"/>
          <w:spacing w:val="0"/>
          <w:lang w:eastAsia="hr-HR"/>
        </w:rPr>
      </w:pPr>
    </w:p>
    <w:p w14:paraId="655C50E5" w14:textId="77777777" w:rsidR="00AA23A9" w:rsidRPr="00836C99" w:rsidRDefault="00AA23A9" w:rsidP="0095249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858B4" w14:textId="77777777" w:rsidR="00AA23A9" w:rsidRDefault="00AA23A9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FC05D" w14:textId="77777777" w:rsidR="00434C5B" w:rsidRDefault="000549BB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Bilješke sastavila: </w:t>
      </w:r>
      <w:r w:rsidR="00434C5B">
        <w:rPr>
          <w:rFonts w:ascii="Times New Roman" w:hAnsi="Times New Roman" w:cs="Times New Roman"/>
          <w:bCs/>
          <w:sz w:val="24"/>
          <w:szCs w:val="24"/>
        </w:rPr>
        <w:tab/>
      </w:r>
    </w:p>
    <w:p w14:paraId="61D39ADB" w14:textId="77777777" w:rsidR="000549BB" w:rsidRDefault="000549BB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Katja Škopac Koroman</w:t>
      </w:r>
    </w:p>
    <w:p w14:paraId="0DE8B321" w14:textId="77777777" w:rsidR="00434C5B" w:rsidRDefault="00434C5B" w:rsidP="00434C5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Voditelj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pododsjeka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knjigovodstvo</w:t>
      </w:r>
    </w:p>
    <w:p w14:paraId="332CBE39" w14:textId="77777777" w:rsidR="00BE5B55" w:rsidRDefault="00BE5B55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568A6440" w14:textId="77777777" w:rsidR="00853D5A" w:rsidRDefault="00853D5A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14:paraId="0484D1FC" w14:textId="5ABE69C0" w:rsidR="000549BB" w:rsidRDefault="00173FDD" w:rsidP="000549BB">
      <w:pPr>
        <w:pStyle w:val="Style20"/>
        <w:widowControl/>
        <w:spacing w:line="276" w:lineRule="auto"/>
        <w:ind w:firstLine="623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PROČELNICA</w:t>
      </w:r>
    </w:p>
    <w:p w14:paraId="76785F4D" w14:textId="77777777" w:rsidR="000549BB" w:rsidRPr="00526AD1" w:rsidRDefault="000549BB" w:rsidP="000549BB">
      <w:pPr>
        <w:pStyle w:val="Style20"/>
        <w:widowControl/>
        <w:spacing w:line="276" w:lineRule="auto"/>
        <w:ind w:firstLine="623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Vesna </w:t>
      </w:r>
      <w:proofErr w:type="spellStart"/>
      <w:r>
        <w:rPr>
          <w:rFonts w:ascii="Times New Roman" w:hAnsi="Times New Roman" w:cs="Times New Roman"/>
          <w:b/>
        </w:rPr>
        <w:t>Sajić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mag.oec</w:t>
      </w:r>
      <w:proofErr w:type="spellEnd"/>
    </w:p>
    <w:sectPr w:rsidR="000549BB" w:rsidRPr="00526AD1" w:rsidSect="00A02CC6">
      <w:footerReference w:type="default" r:id="rId9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BA267" w14:textId="77777777" w:rsidR="0063011F" w:rsidRDefault="0063011F" w:rsidP="00E23CA1">
      <w:pPr>
        <w:spacing w:after="0" w:line="240" w:lineRule="auto"/>
      </w:pPr>
      <w:r>
        <w:separator/>
      </w:r>
    </w:p>
  </w:endnote>
  <w:endnote w:type="continuationSeparator" w:id="0">
    <w:p w14:paraId="26BAB012" w14:textId="77777777" w:rsidR="0063011F" w:rsidRDefault="0063011F" w:rsidP="00E2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3330"/>
      <w:docPartObj>
        <w:docPartGallery w:val="Page Numbers (Bottom of Page)"/>
        <w:docPartUnique/>
      </w:docPartObj>
    </w:sdtPr>
    <w:sdtEndPr/>
    <w:sdtContent>
      <w:p w14:paraId="455DA30B" w14:textId="77777777" w:rsidR="002B1AE8" w:rsidRDefault="002B1AE8">
        <w:pPr>
          <w:pStyle w:val="Footer"/>
          <w:jc w:val="right"/>
        </w:pPr>
      </w:p>
      <w:p w14:paraId="3444BE07" w14:textId="77777777" w:rsidR="002B1AE8" w:rsidRDefault="002B1AE8">
        <w:pPr>
          <w:pStyle w:val="Footer"/>
          <w:jc w:val="right"/>
        </w:pPr>
      </w:p>
      <w:p w14:paraId="4C3AF500" w14:textId="77777777" w:rsidR="002B1AE8" w:rsidRDefault="002B1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CD5CE68" w14:textId="77777777" w:rsidR="002B1AE8" w:rsidRDefault="002B1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B9C02" w14:textId="77777777" w:rsidR="0063011F" w:rsidRDefault="0063011F" w:rsidP="00E23CA1">
      <w:pPr>
        <w:spacing w:after="0" w:line="240" w:lineRule="auto"/>
      </w:pPr>
      <w:r>
        <w:separator/>
      </w:r>
    </w:p>
  </w:footnote>
  <w:footnote w:type="continuationSeparator" w:id="0">
    <w:p w14:paraId="5D1F6677" w14:textId="77777777" w:rsidR="0063011F" w:rsidRDefault="0063011F" w:rsidP="00E2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5002"/>
    <w:multiLevelType w:val="hybridMultilevel"/>
    <w:tmpl w:val="AA7CC0D4"/>
    <w:lvl w:ilvl="0" w:tplc="987A0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1D8D"/>
    <w:multiLevelType w:val="hybridMultilevel"/>
    <w:tmpl w:val="AE6CE29A"/>
    <w:lvl w:ilvl="0" w:tplc="8A50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03CB"/>
    <w:multiLevelType w:val="hybridMultilevel"/>
    <w:tmpl w:val="BA3298D0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17A3"/>
    <w:multiLevelType w:val="hybridMultilevel"/>
    <w:tmpl w:val="9CE6BDDE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B"/>
    <w:rsid w:val="0000194A"/>
    <w:rsid w:val="000025CD"/>
    <w:rsid w:val="00005D3A"/>
    <w:rsid w:val="00006B6B"/>
    <w:rsid w:val="00006EAD"/>
    <w:rsid w:val="00007163"/>
    <w:rsid w:val="00017660"/>
    <w:rsid w:val="000178CC"/>
    <w:rsid w:val="0002235F"/>
    <w:rsid w:val="000228CE"/>
    <w:rsid w:val="00023001"/>
    <w:rsid w:val="0002320C"/>
    <w:rsid w:val="00025EAD"/>
    <w:rsid w:val="000322DC"/>
    <w:rsid w:val="000429D8"/>
    <w:rsid w:val="00043B46"/>
    <w:rsid w:val="000455B8"/>
    <w:rsid w:val="0005070F"/>
    <w:rsid w:val="000530DC"/>
    <w:rsid w:val="00053AAD"/>
    <w:rsid w:val="000547C0"/>
    <w:rsid w:val="000549BB"/>
    <w:rsid w:val="000555FA"/>
    <w:rsid w:val="0005683A"/>
    <w:rsid w:val="0006046D"/>
    <w:rsid w:val="00070CED"/>
    <w:rsid w:val="00074038"/>
    <w:rsid w:val="00083BE0"/>
    <w:rsid w:val="00091621"/>
    <w:rsid w:val="0009763E"/>
    <w:rsid w:val="000A06C3"/>
    <w:rsid w:val="000A34ED"/>
    <w:rsid w:val="000B1C8D"/>
    <w:rsid w:val="000B285D"/>
    <w:rsid w:val="000B3ECF"/>
    <w:rsid w:val="000B7843"/>
    <w:rsid w:val="000C3181"/>
    <w:rsid w:val="000C4C64"/>
    <w:rsid w:val="000D3B42"/>
    <w:rsid w:val="000D44B2"/>
    <w:rsid w:val="000D6B35"/>
    <w:rsid w:val="000E4453"/>
    <w:rsid w:val="000F0011"/>
    <w:rsid w:val="000F170C"/>
    <w:rsid w:val="000F1B18"/>
    <w:rsid w:val="000F20F9"/>
    <w:rsid w:val="000F2D3C"/>
    <w:rsid w:val="00100FC0"/>
    <w:rsid w:val="00102DDE"/>
    <w:rsid w:val="00103949"/>
    <w:rsid w:val="00104166"/>
    <w:rsid w:val="00106046"/>
    <w:rsid w:val="00113E99"/>
    <w:rsid w:val="00122AB0"/>
    <w:rsid w:val="00123470"/>
    <w:rsid w:val="00125AB2"/>
    <w:rsid w:val="00131530"/>
    <w:rsid w:val="00133388"/>
    <w:rsid w:val="00136983"/>
    <w:rsid w:val="00144F72"/>
    <w:rsid w:val="001512F5"/>
    <w:rsid w:val="001529B9"/>
    <w:rsid w:val="00154B89"/>
    <w:rsid w:val="0015614F"/>
    <w:rsid w:val="00157DE8"/>
    <w:rsid w:val="001604A8"/>
    <w:rsid w:val="00161CC3"/>
    <w:rsid w:val="00163EBB"/>
    <w:rsid w:val="00164792"/>
    <w:rsid w:val="00165BE4"/>
    <w:rsid w:val="00166BA5"/>
    <w:rsid w:val="001674F3"/>
    <w:rsid w:val="00170360"/>
    <w:rsid w:val="001715D7"/>
    <w:rsid w:val="00171C18"/>
    <w:rsid w:val="00173D4E"/>
    <w:rsid w:val="00173FDD"/>
    <w:rsid w:val="001747A6"/>
    <w:rsid w:val="00174DBB"/>
    <w:rsid w:val="00177D6A"/>
    <w:rsid w:val="00177F63"/>
    <w:rsid w:val="00183B3A"/>
    <w:rsid w:val="0018557A"/>
    <w:rsid w:val="001948C7"/>
    <w:rsid w:val="0019498B"/>
    <w:rsid w:val="001A115F"/>
    <w:rsid w:val="001A69B9"/>
    <w:rsid w:val="001B0A83"/>
    <w:rsid w:val="001B42E1"/>
    <w:rsid w:val="001C1520"/>
    <w:rsid w:val="001C6DC8"/>
    <w:rsid w:val="001D103D"/>
    <w:rsid w:val="001D1E7E"/>
    <w:rsid w:val="001E0CF5"/>
    <w:rsid w:val="001E12E2"/>
    <w:rsid w:val="001E552B"/>
    <w:rsid w:val="001E621A"/>
    <w:rsid w:val="001E6C16"/>
    <w:rsid w:val="001E7827"/>
    <w:rsid w:val="001F0F67"/>
    <w:rsid w:val="001F2731"/>
    <w:rsid w:val="001F4D63"/>
    <w:rsid w:val="001F52F2"/>
    <w:rsid w:val="001F5B6E"/>
    <w:rsid w:val="001F6033"/>
    <w:rsid w:val="00201BE5"/>
    <w:rsid w:val="002047CA"/>
    <w:rsid w:val="002067CC"/>
    <w:rsid w:val="00210D72"/>
    <w:rsid w:val="00217633"/>
    <w:rsid w:val="00220DFB"/>
    <w:rsid w:val="00221600"/>
    <w:rsid w:val="0022283D"/>
    <w:rsid w:val="002312C1"/>
    <w:rsid w:val="00232423"/>
    <w:rsid w:val="00234282"/>
    <w:rsid w:val="00234DDC"/>
    <w:rsid w:val="002367ED"/>
    <w:rsid w:val="00242028"/>
    <w:rsid w:val="002442FF"/>
    <w:rsid w:val="00245059"/>
    <w:rsid w:val="00245ACD"/>
    <w:rsid w:val="00245B14"/>
    <w:rsid w:val="00246904"/>
    <w:rsid w:val="00250AD8"/>
    <w:rsid w:val="0025390A"/>
    <w:rsid w:val="00254A2A"/>
    <w:rsid w:val="00262144"/>
    <w:rsid w:val="00262168"/>
    <w:rsid w:val="002655D3"/>
    <w:rsid w:val="00265AE5"/>
    <w:rsid w:val="002674FF"/>
    <w:rsid w:val="00272127"/>
    <w:rsid w:val="00273A0C"/>
    <w:rsid w:val="002816E9"/>
    <w:rsid w:val="002820E0"/>
    <w:rsid w:val="00286736"/>
    <w:rsid w:val="00293A05"/>
    <w:rsid w:val="00297A04"/>
    <w:rsid w:val="002A0817"/>
    <w:rsid w:val="002A470D"/>
    <w:rsid w:val="002A5374"/>
    <w:rsid w:val="002A64E4"/>
    <w:rsid w:val="002B1AE8"/>
    <w:rsid w:val="002B62CC"/>
    <w:rsid w:val="002C182D"/>
    <w:rsid w:val="002C335C"/>
    <w:rsid w:val="002C4B12"/>
    <w:rsid w:val="002C4C18"/>
    <w:rsid w:val="002C5FDC"/>
    <w:rsid w:val="002C6BFA"/>
    <w:rsid w:val="002D2E26"/>
    <w:rsid w:val="002D7391"/>
    <w:rsid w:val="002E0202"/>
    <w:rsid w:val="002E05C1"/>
    <w:rsid w:val="002E2106"/>
    <w:rsid w:val="002E619D"/>
    <w:rsid w:val="002E6C4D"/>
    <w:rsid w:val="002E6CCD"/>
    <w:rsid w:val="002F49A8"/>
    <w:rsid w:val="002F67D0"/>
    <w:rsid w:val="002F6DC1"/>
    <w:rsid w:val="002F6F95"/>
    <w:rsid w:val="00301F2A"/>
    <w:rsid w:val="00303020"/>
    <w:rsid w:val="00304998"/>
    <w:rsid w:val="00305241"/>
    <w:rsid w:val="00305374"/>
    <w:rsid w:val="003100E4"/>
    <w:rsid w:val="003215AE"/>
    <w:rsid w:val="00323937"/>
    <w:rsid w:val="00326C87"/>
    <w:rsid w:val="0033664B"/>
    <w:rsid w:val="0034009D"/>
    <w:rsid w:val="00342E4E"/>
    <w:rsid w:val="003501D6"/>
    <w:rsid w:val="0035527A"/>
    <w:rsid w:val="003563CB"/>
    <w:rsid w:val="00361568"/>
    <w:rsid w:val="0036164A"/>
    <w:rsid w:val="00365C02"/>
    <w:rsid w:val="0036674A"/>
    <w:rsid w:val="003710F0"/>
    <w:rsid w:val="00374471"/>
    <w:rsid w:val="00375D4A"/>
    <w:rsid w:val="00381D3A"/>
    <w:rsid w:val="003851D7"/>
    <w:rsid w:val="00392A71"/>
    <w:rsid w:val="00397AF6"/>
    <w:rsid w:val="00397DB4"/>
    <w:rsid w:val="003A1188"/>
    <w:rsid w:val="003A1963"/>
    <w:rsid w:val="003A6FC1"/>
    <w:rsid w:val="003A7BA0"/>
    <w:rsid w:val="003A7DF0"/>
    <w:rsid w:val="003A7E83"/>
    <w:rsid w:val="003B535A"/>
    <w:rsid w:val="003C1304"/>
    <w:rsid w:val="003C20C6"/>
    <w:rsid w:val="003C2A07"/>
    <w:rsid w:val="003C50CC"/>
    <w:rsid w:val="003C5B07"/>
    <w:rsid w:val="003D1852"/>
    <w:rsid w:val="003D473E"/>
    <w:rsid w:val="003E0CAA"/>
    <w:rsid w:val="003E3B6D"/>
    <w:rsid w:val="003E4E15"/>
    <w:rsid w:val="003E5EE9"/>
    <w:rsid w:val="003E734A"/>
    <w:rsid w:val="003E7630"/>
    <w:rsid w:val="003F01F2"/>
    <w:rsid w:val="003F1B27"/>
    <w:rsid w:val="003F2845"/>
    <w:rsid w:val="00402A62"/>
    <w:rsid w:val="004059A7"/>
    <w:rsid w:val="004064FE"/>
    <w:rsid w:val="00410CB1"/>
    <w:rsid w:val="00413FE1"/>
    <w:rsid w:val="00417BE5"/>
    <w:rsid w:val="00422954"/>
    <w:rsid w:val="00424514"/>
    <w:rsid w:val="00426D9F"/>
    <w:rsid w:val="00426DFE"/>
    <w:rsid w:val="00427233"/>
    <w:rsid w:val="00432C5C"/>
    <w:rsid w:val="00433087"/>
    <w:rsid w:val="00433545"/>
    <w:rsid w:val="00434C5B"/>
    <w:rsid w:val="00435A19"/>
    <w:rsid w:val="004425CD"/>
    <w:rsid w:val="00442E31"/>
    <w:rsid w:val="00443A88"/>
    <w:rsid w:val="00444909"/>
    <w:rsid w:val="00450587"/>
    <w:rsid w:val="004524A0"/>
    <w:rsid w:val="004604F8"/>
    <w:rsid w:val="0046231D"/>
    <w:rsid w:val="004638DD"/>
    <w:rsid w:val="004675A3"/>
    <w:rsid w:val="00470E14"/>
    <w:rsid w:val="00473C17"/>
    <w:rsid w:val="0047407A"/>
    <w:rsid w:val="00482DEB"/>
    <w:rsid w:val="0048681D"/>
    <w:rsid w:val="00492607"/>
    <w:rsid w:val="00494A63"/>
    <w:rsid w:val="00495562"/>
    <w:rsid w:val="00497899"/>
    <w:rsid w:val="004A1EB9"/>
    <w:rsid w:val="004A2799"/>
    <w:rsid w:val="004B02F9"/>
    <w:rsid w:val="004B28F6"/>
    <w:rsid w:val="004B2F78"/>
    <w:rsid w:val="004B68A7"/>
    <w:rsid w:val="004C073B"/>
    <w:rsid w:val="004C22BC"/>
    <w:rsid w:val="004C3F55"/>
    <w:rsid w:val="004D09CB"/>
    <w:rsid w:val="004D125B"/>
    <w:rsid w:val="004D1D02"/>
    <w:rsid w:val="004D2E59"/>
    <w:rsid w:val="004D3C94"/>
    <w:rsid w:val="004D4FB2"/>
    <w:rsid w:val="004D5E2A"/>
    <w:rsid w:val="004E0535"/>
    <w:rsid w:val="004E1D4B"/>
    <w:rsid w:val="004E633F"/>
    <w:rsid w:val="004E7F7C"/>
    <w:rsid w:val="004F144F"/>
    <w:rsid w:val="004F2097"/>
    <w:rsid w:val="004F276D"/>
    <w:rsid w:val="004F4E58"/>
    <w:rsid w:val="004F735E"/>
    <w:rsid w:val="005103FB"/>
    <w:rsid w:val="00515457"/>
    <w:rsid w:val="00520016"/>
    <w:rsid w:val="00521461"/>
    <w:rsid w:val="00522907"/>
    <w:rsid w:val="00522FE4"/>
    <w:rsid w:val="005236D1"/>
    <w:rsid w:val="00525422"/>
    <w:rsid w:val="00525C15"/>
    <w:rsid w:val="00526AD1"/>
    <w:rsid w:val="0053048D"/>
    <w:rsid w:val="005311E1"/>
    <w:rsid w:val="005352F7"/>
    <w:rsid w:val="00541A2F"/>
    <w:rsid w:val="00542AE2"/>
    <w:rsid w:val="00543597"/>
    <w:rsid w:val="00552D62"/>
    <w:rsid w:val="00553BA1"/>
    <w:rsid w:val="00556965"/>
    <w:rsid w:val="005569C7"/>
    <w:rsid w:val="00567A20"/>
    <w:rsid w:val="00576279"/>
    <w:rsid w:val="00576340"/>
    <w:rsid w:val="0058193A"/>
    <w:rsid w:val="005843AE"/>
    <w:rsid w:val="00584D29"/>
    <w:rsid w:val="005856FC"/>
    <w:rsid w:val="005901AC"/>
    <w:rsid w:val="0059121F"/>
    <w:rsid w:val="005977DB"/>
    <w:rsid w:val="005A0A2A"/>
    <w:rsid w:val="005A0C69"/>
    <w:rsid w:val="005B050D"/>
    <w:rsid w:val="005B6372"/>
    <w:rsid w:val="005C31FE"/>
    <w:rsid w:val="005C42E5"/>
    <w:rsid w:val="005C48BA"/>
    <w:rsid w:val="005C4C66"/>
    <w:rsid w:val="005C5A8C"/>
    <w:rsid w:val="005C69B0"/>
    <w:rsid w:val="005C700A"/>
    <w:rsid w:val="005D4E58"/>
    <w:rsid w:val="005D7DEF"/>
    <w:rsid w:val="005E29B3"/>
    <w:rsid w:val="005E4362"/>
    <w:rsid w:val="005E5881"/>
    <w:rsid w:val="005E6641"/>
    <w:rsid w:val="005F04B8"/>
    <w:rsid w:val="005F1326"/>
    <w:rsid w:val="0060111E"/>
    <w:rsid w:val="006017E0"/>
    <w:rsid w:val="00602441"/>
    <w:rsid w:val="006075CA"/>
    <w:rsid w:val="006114AE"/>
    <w:rsid w:val="00611C6D"/>
    <w:rsid w:val="00612018"/>
    <w:rsid w:val="006129A4"/>
    <w:rsid w:val="00615836"/>
    <w:rsid w:val="0062083B"/>
    <w:rsid w:val="00623063"/>
    <w:rsid w:val="006242F9"/>
    <w:rsid w:val="006253F9"/>
    <w:rsid w:val="00626A60"/>
    <w:rsid w:val="0063011F"/>
    <w:rsid w:val="0064474D"/>
    <w:rsid w:val="0065233F"/>
    <w:rsid w:val="0065284A"/>
    <w:rsid w:val="00657A6C"/>
    <w:rsid w:val="00665346"/>
    <w:rsid w:val="0066624E"/>
    <w:rsid w:val="00667AB8"/>
    <w:rsid w:val="0067292E"/>
    <w:rsid w:val="00677245"/>
    <w:rsid w:val="00681BB6"/>
    <w:rsid w:val="0068272D"/>
    <w:rsid w:val="00685BE8"/>
    <w:rsid w:val="00685E07"/>
    <w:rsid w:val="00691A15"/>
    <w:rsid w:val="006A3871"/>
    <w:rsid w:val="006A577E"/>
    <w:rsid w:val="006A5A9B"/>
    <w:rsid w:val="006B0546"/>
    <w:rsid w:val="006B1FA3"/>
    <w:rsid w:val="006B2506"/>
    <w:rsid w:val="006B64AC"/>
    <w:rsid w:val="006B7EC7"/>
    <w:rsid w:val="006D0006"/>
    <w:rsid w:val="006E39D4"/>
    <w:rsid w:val="006E4B3F"/>
    <w:rsid w:val="006E6931"/>
    <w:rsid w:val="006F0863"/>
    <w:rsid w:val="006F5791"/>
    <w:rsid w:val="00700C63"/>
    <w:rsid w:val="00712019"/>
    <w:rsid w:val="00712A4C"/>
    <w:rsid w:val="00713B4D"/>
    <w:rsid w:val="00715A4F"/>
    <w:rsid w:val="00721E11"/>
    <w:rsid w:val="00723D54"/>
    <w:rsid w:val="007248F5"/>
    <w:rsid w:val="00726557"/>
    <w:rsid w:val="007302E2"/>
    <w:rsid w:val="00743410"/>
    <w:rsid w:val="0074349D"/>
    <w:rsid w:val="00744C26"/>
    <w:rsid w:val="00747629"/>
    <w:rsid w:val="007520D7"/>
    <w:rsid w:val="007616C2"/>
    <w:rsid w:val="00765A2A"/>
    <w:rsid w:val="00772724"/>
    <w:rsid w:val="00774146"/>
    <w:rsid w:val="00774F6F"/>
    <w:rsid w:val="00780FD9"/>
    <w:rsid w:val="00784E86"/>
    <w:rsid w:val="00785CE8"/>
    <w:rsid w:val="00787798"/>
    <w:rsid w:val="0079190E"/>
    <w:rsid w:val="00792FA9"/>
    <w:rsid w:val="0079453B"/>
    <w:rsid w:val="00795827"/>
    <w:rsid w:val="007A06D7"/>
    <w:rsid w:val="007A0AFB"/>
    <w:rsid w:val="007A14A8"/>
    <w:rsid w:val="007A1836"/>
    <w:rsid w:val="007A6BEE"/>
    <w:rsid w:val="007B1DC6"/>
    <w:rsid w:val="007B41F5"/>
    <w:rsid w:val="007B6D18"/>
    <w:rsid w:val="007C0199"/>
    <w:rsid w:val="007C07EE"/>
    <w:rsid w:val="007C2A48"/>
    <w:rsid w:val="007C5EE1"/>
    <w:rsid w:val="007D33DC"/>
    <w:rsid w:val="007D38E4"/>
    <w:rsid w:val="007D4485"/>
    <w:rsid w:val="007D4F80"/>
    <w:rsid w:val="007D66D7"/>
    <w:rsid w:val="007E5C9B"/>
    <w:rsid w:val="007E7819"/>
    <w:rsid w:val="007F05DC"/>
    <w:rsid w:val="007F0ED1"/>
    <w:rsid w:val="007F52F8"/>
    <w:rsid w:val="00800B52"/>
    <w:rsid w:val="00801AE3"/>
    <w:rsid w:val="0080254F"/>
    <w:rsid w:val="00802B19"/>
    <w:rsid w:val="00803D2E"/>
    <w:rsid w:val="00806C7B"/>
    <w:rsid w:val="00812D2C"/>
    <w:rsid w:val="00814614"/>
    <w:rsid w:val="0082098F"/>
    <w:rsid w:val="00821A12"/>
    <w:rsid w:val="008224CF"/>
    <w:rsid w:val="008233F5"/>
    <w:rsid w:val="008246ED"/>
    <w:rsid w:val="0082510C"/>
    <w:rsid w:val="00827FDE"/>
    <w:rsid w:val="00832F1A"/>
    <w:rsid w:val="00834065"/>
    <w:rsid w:val="008345EC"/>
    <w:rsid w:val="00836C99"/>
    <w:rsid w:val="00837542"/>
    <w:rsid w:val="0084303D"/>
    <w:rsid w:val="00843597"/>
    <w:rsid w:val="00843A85"/>
    <w:rsid w:val="0085320D"/>
    <w:rsid w:val="00853D07"/>
    <w:rsid w:val="00853D5A"/>
    <w:rsid w:val="00857050"/>
    <w:rsid w:val="00862993"/>
    <w:rsid w:val="008645A0"/>
    <w:rsid w:val="008702F1"/>
    <w:rsid w:val="00873B00"/>
    <w:rsid w:val="00883357"/>
    <w:rsid w:val="00884BBB"/>
    <w:rsid w:val="00885419"/>
    <w:rsid w:val="00887D17"/>
    <w:rsid w:val="008902FB"/>
    <w:rsid w:val="00890977"/>
    <w:rsid w:val="00890CD5"/>
    <w:rsid w:val="008911CE"/>
    <w:rsid w:val="00891F84"/>
    <w:rsid w:val="008931E9"/>
    <w:rsid w:val="008A1359"/>
    <w:rsid w:val="008A286A"/>
    <w:rsid w:val="008A3970"/>
    <w:rsid w:val="008A75B0"/>
    <w:rsid w:val="008A7B3E"/>
    <w:rsid w:val="008A7B3F"/>
    <w:rsid w:val="008B0FF2"/>
    <w:rsid w:val="008B182B"/>
    <w:rsid w:val="008B4DEF"/>
    <w:rsid w:val="008C1355"/>
    <w:rsid w:val="008C15DE"/>
    <w:rsid w:val="008C5303"/>
    <w:rsid w:val="008D6DCE"/>
    <w:rsid w:val="008E0FA0"/>
    <w:rsid w:val="008E2329"/>
    <w:rsid w:val="008E34A7"/>
    <w:rsid w:val="008E4C0A"/>
    <w:rsid w:val="008F0708"/>
    <w:rsid w:val="008F12C8"/>
    <w:rsid w:val="00904ACD"/>
    <w:rsid w:val="00905C21"/>
    <w:rsid w:val="0090774C"/>
    <w:rsid w:val="009114C5"/>
    <w:rsid w:val="009144A5"/>
    <w:rsid w:val="00914E11"/>
    <w:rsid w:val="00915D68"/>
    <w:rsid w:val="00916EB1"/>
    <w:rsid w:val="0092089F"/>
    <w:rsid w:val="00921012"/>
    <w:rsid w:val="00921CFB"/>
    <w:rsid w:val="00931F84"/>
    <w:rsid w:val="00932C82"/>
    <w:rsid w:val="00934389"/>
    <w:rsid w:val="009421CA"/>
    <w:rsid w:val="0094430F"/>
    <w:rsid w:val="0095249B"/>
    <w:rsid w:val="00953DB7"/>
    <w:rsid w:val="00957190"/>
    <w:rsid w:val="009668BE"/>
    <w:rsid w:val="00967321"/>
    <w:rsid w:val="0097219A"/>
    <w:rsid w:val="009848FB"/>
    <w:rsid w:val="00994752"/>
    <w:rsid w:val="009968CB"/>
    <w:rsid w:val="009A0505"/>
    <w:rsid w:val="009A0539"/>
    <w:rsid w:val="009A4246"/>
    <w:rsid w:val="009A4F7F"/>
    <w:rsid w:val="009A766F"/>
    <w:rsid w:val="009B0F04"/>
    <w:rsid w:val="009B210D"/>
    <w:rsid w:val="009C296F"/>
    <w:rsid w:val="009C334E"/>
    <w:rsid w:val="009C6857"/>
    <w:rsid w:val="009D17E2"/>
    <w:rsid w:val="009D51CC"/>
    <w:rsid w:val="009D5FE6"/>
    <w:rsid w:val="009D69FD"/>
    <w:rsid w:val="009F087E"/>
    <w:rsid w:val="009F0E33"/>
    <w:rsid w:val="009F5F03"/>
    <w:rsid w:val="00A02CC6"/>
    <w:rsid w:val="00A07F67"/>
    <w:rsid w:val="00A133A9"/>
    <w:rsid w:val="00A15841"/>
    <w:rsid w:val="00A16E29"/>
    <w:rsid w:val="00A16F19"/>
    <w:rsid w:val="00A16FF7"/>
    <w:rsid w:val="00A2162C"/>
    <w:rsid w:val="00A23AED"/>
    <w:rsid w:val="00A24BDB"/>
    <w:rsid w:val="00A25B8D"/>
    <w:rsid w:val="00A27384"/>
    <w:rsid w:val="00A3453D"/>
    <w:rsid w:val="00A35435"/>
    <w:rsid w:val="00A3619F"/>
    <w:rsid w:val="00A40386"/>
    <w:rsid w:val="00A41B28"/>
    <w:rsid w:val="00A4222A"/>
    <w:rsid w:val="00A42669"/>
    <w:rsid w:val="00A42A89"/>
    <w:rsid w:val="00A47292"/>
    <w:rsid w:val="00A4766D"/>
    <w:rsid w:val="00A4790B"/>
    <w:rsid w:val="00A518B6"/>
    <w:rsid w:val="00A54779"/>
    <w:rsid w:val="00A557E6"/>
    <w:rsid w:val="00A571F6"/>
    <w:rsid w:val="00A64480"/>
    <w:rsid w:val="00A67B24"/>
    <w:rsid w:val="00A71598"/>
    <w:rsid w:val="00A73369"/>
    <w:rsid w:val="00A7715A"/>
    <w:rsid w:val="00A8029F"/>
    <w:rsid w:val="00A82C0E"/>
    <w:rsid w:val="00A82D22"/>
    <w:rsid w:val="00A82ECE"/>
    <w:rsid w:val="00A85569"/>
    <w:rsid w:val="00A94443"/>
    <w:rsid w:val="00A94E04"/>
    <w:rsid w:val="00AA053D"/>
    <w:rsid w:val="00AA23A9"/>
    <w:rsid w:val="00AA2BC3"/>
    <w:rsid w:val="00AA3325"/>
    <w:rsid w:val="00AA672A"/>
    <w:rsid w:val="00AB1AE9"/>
    <w:rsid w:val="00AB2C83"/>
    <w:rsid w:val="00AB2EE7"/>
    <w:rsid w:val="00AB3ABE"/>
    <w:rsid w:val="00AC048A"/>
    <w:rsid w:val="00AC19F8"/>
    <w:rsid w:val="00AC2A5D"/>
    <w:rsid w:val="00AC751B"/>
    <w:rsid w:val="00AD4724"/>
    <w:rsid w:val="00AD6369"/>
    <w:rsid w:val="00AD6CD9"/>
    <w:rsid w:val="00AD7CBB"/>
    <w:rsid w:val="00AD7F9F"/>
    <w:rsid w:val="00AE1C62"/>
    <w:rsid w:val="00AE37F0"/>
    <w:rsid w:val="00AE56B1"/>
    <w:rsid w:val="00AE5C38"/>
    <w:rsid w:val="00AE6BD6"/>
    <w:rsid w:val="00AF4F5A"/>
    <w:rsid w:val="00AF6455"/>
    <w:rsid w:val="00AF6E2E"/>
    <w:rsid w:val="00B01774"/>
    <w:rsid w:val="00B06F19"/>
    <w:rsid w:val="00B071C9"/>
    <w:rsid w:val="00B110E1"/>
    <w:rsid w:val="00B11D67"/>
    <w:rsid w:val="00B138E2"/>
    <w:rsid w:val="00B20005"/>
    <w:rsid w:val="00B22A12"/>
    <w:rsid w:val="00B22A85"/>
    <w:rsid w:val="00B30B94"/>
    <w:rsid w:val="00B34598"/>
    <w:rsid w:val="00B367E2"/>
    <w:rsid w:val="00B40484"/>
    <w:rsid w:val="00B46D37"/>
    <w:rsid w:val="00B52178"/>
    <w:rsid w:val="00B55522"/>
    <w:rsid w:val="00B60640"/>
    <w:rsid w:val="00B66A2B"/>
    <w:rsid w:val="00B70C4F"/>
    <w:rsid w:val="00B77415"/>
    <w:rsid w:val="00B77796"/>
    <w:rsid w:val="00B80669"/>
    <w:rsid w:val="00B832B8"/>
    <w:rsid w:val="00B93E3E"/>
    <w:rsid w:val="00B9440E"/>
    <w:rsid w:val="00B96AB7"/>
    <w:rsid w:val="00B97DBB"/>
    <w:rsid w:val="00BA1103"/>
    <w:rsid w:val="00BA1DAA"/>
    <w:rsid w:val="00BA53C4"/>
    <w:rsid w:val="00BA5DA5"/>
    <w:rsid w:val="00BA7019"/>
    <w:rsid w:val="00BB4848"/>
    <w:rsid w:val="00BB799A"/>
    <w:rsid w:val="00BC3606"/>
    <w:rsid w:val="00BC3DE2"/>
    <w:rsid w:val="00BC4083"/>
    <w:rsid w:val="00BC58A1"/>
    <w:rsid w:val="00BD0132"/>
    <w:rsid w:val="00BD0631"/>
    <w:rsid w:val="00BD0DBD"/>
    <w:rsid w:val="00BD13E2"/>
    <w:rsid w:val="00BD46CE"/>
    <w:rsid w:val="00BD5712"/>
    <w:rsid w:val="00BD72B4"/>
    <w:rsid w:val="00BE11CF"/>
    <w:rsid w:val="00BE1F67"/>
    <w:rsid w:val="00BE2E27"/>
    <w:rsid w:val="00BE5B55"/>
    <w:rsid w:val="00BF4942"/>
    <w:rsid w:val="00C016A7"/>
    <w:rsid w:val="00C03F14"/>
    <w:rsid w:val="00C10F91"/>
    <w:rsid w:val="00C117CA"/>
    <w:rsid w:val="00C155D5"/>
    <w:rsid w:val="00C161BE"/>
    <w:rsid w:val="00C16811"/>
    <w:rsid w:val="00C17002"/>
    <w:rsid w:val="00C17F50"/>
    <w:rsid w:val="00C20872"/>
    <w:rsid w:val="00C21CEF"/>
    <w:rsid w:val="00C24AF8"/>
    <w:rsid w:val="00C32020"/>
    <w:rsid w:val="00C32A17"/>
    <w:rsid w:val="00C34CE8"/>
    <w:rsid w:val="00C35F80"/>
    <w:rsid w:val="00C414B3"/>
    <w:rsid w:val="00C42BB5"/>
    <w:rsid w:val="00C43333"/>
    <w:rsid w:val="00C43F1F"/>
    <w:rsid w:val="00C50329"/>
    <w:rsid w:val="00C55DF4"/>
    <w:rsid w:val="00C57BF3"/>
    <w:rsid w:val="00C67B4F"/>
    <w:rsid w:val="00C702D5"/>
    <w:rsid w:val="00C72071"/>
    <w:rsid w:val="00C7303C"/>
    <w:rsid w:val="00C84BFD"/>
    <w:rsid w:val="00C93ED2"/>
    <w:rsid w:val="00CA0C87"/>
    <w:rsid w:val="00CA2D78"/>
    <w:rsid w:val="00CA416A"/>
    <w:rsid w:val="00CA61D2"/>
    <w:rsid w:val="00CA75D3"/>
    <w:rsid w:val="00CB178D"/>
    <w:rsid w:val="00CB4591"/>
    <w:rsid w:val="00CC172D"/>
    <w:rsid w:val="00CE0997"/>
    <w:rsid w:val="00CE384C"/>
    <w:rsid w:val="00CF57C7"/>
    <w:rsid w:val="00CF6838"/>
    <w:rsid w:val="00CF798F"/>
    <w:rsid w:val="00D013EE"/>
    <w:rsid w:val="00D02026"/>
    <w:rsid w:val="00D026DC"/>
    <w:rsid w:val="00D11D53"/>
    <w:rsid w:val="00D1306D"/>
    <w:rsid w:val="00D13686"/>
    <w:rsid w:val="00D1426A"/>
    <w:rsid w:val="00D14635"/>
    <w:rsid w:val="00D153E2"/>
    <w:rsid w:val="00D16396"/>
    <w:rsid w:val="00D175FB"/>
    <w:rsid w:val="00D17B95"/>
    <w:rsid w:val="00D21070"/>
    <w:rsid w:val="00D21C60"/>
    <w:rsid w:val="00D24EDD"/>
    <w:rsid w:val="00D2590A"/>
    <w:rsid w:val="00D25FBF"/>
    <w:rsid w:val="00D272A0"/>
    <w:rsid w:val="00D2798C"/>
    <w:rsid w:val="00D32A1F"/>
    <w:rsid w:val="00D35160"/>
    <w:rsid w:val="00D352F2"/>
    <w:rsid w:val="00D37827"/>
    <w:rsid w:val="00D41A6F"/>
    <w:rsid w:val="00D44E24"/>
    <w:rsid w:val="00D455C9"/>
    <w:rsid w:val="00D521E4"/>
    <w:rsid w:val="00D5245F"/>
    <w:rsid w:val="00D5297A"/>
    <w:rsid w:val="00D55537"/>
    <w:rsid w:val="00D60067"/>
    <w:rsid w:val="00D60DE1"/>
    <w:rsid w:val="00D71FD2"/>
    <w:rsid w:val="00D72DC7"/>
    <w:rsid w:val="00D746BB"/>
    <w:rsid w:val="00D75FF6"/>
    <w:rsid w:val="00D857F3"/>
    <w:rsid w:val="00D865F3"/>
    <w:rsid w:val="00D86F0B"/>
    <w:rsid w:val="00D9020D"/>
    <w:rsid w:val="00D94D94"/>
    <w:rsid w:val="00D96558"/>
    <w:rsid w:val="00DA018C"/>
    <w:rsid w:val="00DA0651"/>
    <w:rsid w:val="00DA1258"/>
    <w:rsid w:val="00DA472C"/>
    <w:rsid w:val="00DA5CA0"/>
    <w:rsid w:val="00DB0111"/>
    <w:rsid w:val="00DB0B4F"/>
    <w:rsid w:val="00DB370B"/>
    <w:rsid w:val="00DC0226"/>
    <w:rsid w:val="00DC1248"/>
    <w:rsid w:val="00DC2B58"/>
    <w:rsid w:val="00DC7823"/>
    <w:rsid w:val="00DD3382"/>
    <w:rsid w:val="00DE07B1"/>
    <w:rsid w:val="00DE1BFC"/>
    <w:rsid w:val="00DE6381"/>
    <w:rsid w:val="00DE668D"/>
    <w:rsid w:val="00DF1EAF"/>
    <w:rsid w:val="00DF1F5D"/>
    <w:rsid w:val="00DF64B1"/>
    <w:rsid w:val="00E00A1F"/>
    <w:rsid w:val="00E020A6"/>
    <w:rsid w:val="00E02627"/>
    <w:rsid w:val="00E04A36"/>
    <w:rsid w:val="00E04A4A"/>
    <w:rsid w:val="00E06B16"/>
    <w:rsid w:val="00E127BF"/>
    <w:rsid w:val="00E1746C"/>
    <w:rsid w:val="00E21DA5"/>
    <w:rsid w:val="00E21F6F"/>
    <w:rsid w:val="00E23CA1"/>
    <w:rsid w:val="00E242EF"/>
    <w:rsid w:val="00E27EE6"/>
    <w:rsid w:val="00E27F55"/>
    <w:rsid w:val="00E32FFE"/>
    <w:rsid w:val="00E34CD3"/>
    <w:rsid w:val="00E36B81"/>
    <w:rsid w:val="00E45F67"/>
    <w:rsid w:val="00E52947"/>
    <w:rsid w:val="00E5440E"/>
    <w:rsid w:val="00E54791"/>
    <w:rsid w:val="00E57D15"/>
    <w:rsid w:val="00E62C30"/>
    <w:rsid w:val="00E66354"/>
    <w:rsid w:val="00E664A1"/>
    <w:rsid w:val="00E70FC6"/>
    <w:rsid w:val="00E7115A"/>
    <w:rsid w:val="00E712C6"/>
    <w:rsid w:val="00E720FA"/>
    <w:rsid w:val="00E72FEF"/>
    <w:rsid w:val="00E74294"/>
    <w:rsid w:val="00E764FE"/>
    <w:rsid w:val="00E77A2E"/>
    <w:rsid w:val="00E8255C"/>
    <w:rsid w:val="00E84A7D"/>
    <w:rsid w:val="00E84D24"/>
    <w:rsid w:val="00E84F5D"/>
    <w:rsid w:val="00E9020E"/>
    <w:rsid w:val="00E9056E"/>
    <w:rsid w:val="00E91BE4"/>
    <w:rsid w:val="00E91ECD"/>
    <w:rsid w:val="00E95A49"/>
    <w:rsid w:val="00EA10C5"/>
    <w:rsid w:val="00EA1110"/>
    <w:rsid w:val="00EB2B53"/>
    <w:rsid w:val="00EB2EFE"/>
    <w:rsid w:val="00EB2FC4"/>
    <w:rsid w:val="00EB597F"/>
    <w:rsid w:val="00EC4C5A"/>
    <w:rsid w:val="00EC5DFA"/>
    <w:rsid w:val="00ED0D6C"/>
    <w:rsid w:val="00ED311D"/>
    <w:rsid w:val="00ED6CD8"/>
    <w:rsid w:val="00EE2745"/>
    <w:rsid w:val="00EE4E0D"/>
    <w:rsid w:val="00EE64C7"/>
    <w:rsid w:val="00EE713B"/>
    <w:rsid w:val="00EF1500"/>
    <w:rsid w:val="00EF7AE2"/>
    <w:rsid w:val="00F02352"/>
    <w:rsid w:val="00F030AF"/>
    <w:rsid w:val="00F052E4"/>
    <w:rsid w:val="00F060E9"/>
    <w:rsid w:val="00F07DD7"/>
    <w:rsid w:val="00F12CD4"/>
    <w:rsid w:val="00F13114"/>
    <w:rsid w:val="00F1736B"/>
    <w:rsid w:val="00F246BE"/>
    <w:rsid w:val="00F26025"/>
    <w:rsid w:val="00F262BB"/>
    <w:rsid w:val="00F26F66"/>
    <w:rsid w:val="00F3451C"/>
    <w:rsid w:val="00F40A4A"/>
    <w:rsid w:val="00F411C4"/>
    <w:rsid w:val="00F418AA"/>
    <w:rsid w:val="00F45009"/>
    <w:rsid w:val="00F50CBF"/>
    <w:rsid w:val="00F522EC"/>
    <w:rsid w:val="00F52DDF"/>
    <w:rsid w:val="00F546B9"/>
    <w:rsid w:val="00F54ED4"/>
    <w:rsid w:val="00F616CF"/>
    <w:rsid w:val="00F6411B"/>
    <w:rsid w:val="00F65743"/>
    <w:rsid w:val="00F6680A"/>
    <w:rsid w:val="00F66D21"/>
    <w:rsid w:val="00F67CBC"/>
    <w:rsid w:val="00F747DA"/>
    <w:rsid w:val="00F76849"/>
    <w:rsid w:val="00F80ACF"/>
    <w:rsid w:val="00F80E5B"/>
    <w:rsid w:val="00F8390D"/>
    <w:rsid w:val="00F86F5E"/>
    <w:rsid w:val="00F91F1B"/>
    <w:rsid w:val="00F96137"/>
    <w:rsid w:val="00FA07ED"/>
    <w:rsid w:val="00FB6E91"/>
    <w:rsid w:val="00FB7FA3"/>
    <w:rsid w:val="00FC08EF"/>
    <w:rsid w:val="00FC10C3"/>
    <w:rsid w:val="00FC1B41"/>
    <w:rsid w:val="00FC342B"/>
    <w:rsid w:val="00FC3F8E"/>
    <w:rsid w:val="00FC4158"/>
    <w:rsid w:val="00FC6162"/>
    <w:rsid w:val="00FD0D90"/>
    <w:rsid w:val="00FD0D9A"/>
    <w:rsid w:val="00FD5E1C"/>
    <w:rsid w:val="00FE0663"/>
    <w:rsid w:val="00FE2153"/>
    <w:rsid w:val="00FF3635"/>
    <w:rsid w:val="00FF485E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DD70"/>
  <w15:docId w15:val="{4DF4DD6F-8CD0-4AB6-8E87-7DB3B1BD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BB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4D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E34A7"/>
  </w:style>
  <w:style w:type="paragraph" w:customStyle="1" w:styleId="Style20">
    <w:name w:val="Style20"/>
    <w:basedOn w:val="Normal"/>
    <w:uiPriority w:val="99"/>
    <w:rsid w:val="00174DB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22283D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24">
    <w:name w:val="Font Style24"/>
    <w:basedOn w:val="DefaultParagraphFont"/>
    <w:uiPriority w:val="99"/>
    <w:rsid w:val="0022283D"/>
    <w:rPr>
      <w:rFonts w:ascii="Times New Roman" w:hAnsi="Times New Roman" w:cs="Times New Roman"/>
      <w:spacing w:val="-10"/>
      <w:sz w:val="24"/>
      <w:szCs w:val="24"/>
    </w:rPr>
  </w:style>
  <w:style w:type="paragraph" w:customStyle="1" w:styleId="t-9-8">
    <w:name w:val="t-9-8"/>
    <w:basedOn w:val="Normal"/>
    <w:uiPriority w:val="99"/>
    <w:semiHidden/>
    <w:rsid w:val="00BC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7C5EE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7C5EE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25">
    <w:name w:val="Font Style25"/>
    <w:basedOn w:val="DefaultParagraphFont"/>
    <w:uiPriority w:val="99"/>
    <w:rsid w:val="007C5EE1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BodyTextIndent2">
    <w:name w:val="Body Text Indent 2"/>
    <w:aliases w:val="  uvlaka 2,uvlaka 2"/>
    <w:basedOn w:val="Normal"/>
    <w:link w:val="BodyTextIndent2Char"/>
    <w:rsid w:val="00BE5B5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rsid w:val="00BE5B55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E2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A1"/>
  </w:style>
  <w:style w:type="paragraph" w:styleId="Footer">
    <w:name w:val="footer"/>
    <w:basedOn w:val="Normal"/>
    <w:link w:val="FooterChar"/>
    <w:uiPriority w:val="99"/>
    <w:unhideWhenUsed/>
    <w:rsid w:val="00E2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A1"/>
  </w:style>
  <w:style w:type="paragraph" w:styleId="NoSpacing">
    <w:name w:val="No Spacing"/>
    <w:uiPriority w:val="1"/>
    <w:qFormat/>
    <w:rsid w:val="00D9020D"/>
    <w:pPr>
      <w:spacing w:line="240" w:lineRule="auto"/>
      <w:jc w:val="left"/>
    </w:pPr>
  </w:style>
  <w:style w:type="paragraph" w:customStyle="1" w:styleId="Default">
    <w:name w:val="Default"/>
    <w:rsid w:val="00144F7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al"/>
    <w:uiPriority w:val="99"/>
    <w:rsid w:val="00443A8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5A0A2A"/>
    <w:pPr>
      <w:widowControl w:val="0"/>
      <w:autoSpaceDE w:val="0"/>
      <w:autoSpaceDN w:val="0"/>
      <w:adjustRightInd w:val="0"/>
      <w:spacing w:after="0" w:line="275" w:lineRule="exact"/>
      <w:ind w:hanging="353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806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669"/>
    <w:rPr>
      <w:color w:val="800080"/>
      <w:u w:val="single"/>
    </w:rPr>
  </w:style>
  <w:style w:type="paragraph" w:customStyle="1" w:styleId="font5">
    <w:name w:val="font5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3">
    <w:name w:val="xl63"/>
    <w:basedOn w:val="Normal"/>
    <w:rsid w:val="00B806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5">
    <w:name w:val="xl65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1">
    <w:name w:val="xl71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2">
    <w:name w:val="xl7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3">
    <w:name w:val="xl73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4">
    <w:name w:val="xl74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B806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7">
    <w:name w:val="xl77"/>
    <w:basedOn w:val="Normal"/>
    <w:rsid w:val="00B8066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B80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9">
    <w:name w:val="xl79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0">
    <w:name w:val="xl80"/>
    <w:basedOn w:val="Normal"/>
    <w:rsid w:val="00B806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B8066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8">
    <w:name w:val="xl88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9">
    <w:name w:val="xl89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0">
    <w:name w:val="xl90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3">
    <w:name w:val="xl93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5">
    <w:name w:val="xl95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6">
    <w:name w:val="xl96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7">
    <w:name w:val="xl97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8">
    <w:name w:val="xl98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B806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6">
    <w:name w:val="xl10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tb-na16">
    <w:name w:val="tb-na16"/>
    <w:basedOn w:val="Normal"/>
    <w:rsid w:val="00DC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9">
    <w:name w:val="xl109"/>
    <w:basedOn w:val="Normal"/>
    <w:rsid w:val="003C20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0">
    <w:name w:val="xl110"/>
    <w:basedOn w:val="Normal"/>
    <w:rsid w:val="003C20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3C20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2">
    <w:name w:val="xl112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BCB43-B64E-455F-BC96-E027CFC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21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Škopac Koroman</dc:creator>
  <cp:lastModifiedBy>Katja Škopac Koroman</cp:lastModifiedBy>
  <cp:revision>74</cp:revision>
  <cp:lastPrinted>2021-02-15T12:07:00Z</cp:lastPrinted>
  <dcterms:created xsi:type="dcterms:W3CDTF">2021-02-03T11:16:00Z</dcterms:created>
  <dcterms:modified xsi:type="dcterms:W3CDTF">2021-02-15T12:09:00Z</dcterms:modified>
</cp:coreProperties>
</file>