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AE56" w14:textId="08CC8C00" w:rsidR="005A4CEC" w:rsidRDefault="005A4CEC" w:rsidP="00DA30AA">
      <w:pPr>
        <w:shd w:val="clear" w:color="auto" w:fill="FFFFFF"/>
        <w:spacing w:after="750" w:line="864" w:lineRule="atLeast"/>
        <w:outlineLvl w:val="0"/>
        <w:rPr>
          <w:noProof/>
        </w:rPr>
      </w:pPr>
      <w:r>
        <w:rPr>
          <w:noProof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4EBF5837" wp14:editId="167BE2F6">
            <wp:extent cx="1848257" cy="14478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72" cy="147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8814" w14:textId="4181CCAF" w:rsidR="004351FF" w:rsidRDefault="00416E8B" w:rsidP="004351FF">
      <w:pPr>
        <w:shd w:val="clear" w:color="auto" w:fill="FFFFFF"/>
        <w:spacing w:after="750" w:line="864" w:lineRule="atLeast"/>
        <w:jc w:val="center"/>
        <w:outlineLvl w:val="0"/>
        <w:rPr>
          <w:rFonts w:eastAsia="Times New Roman" w:cstheme="minorHAnsi"/>
          <w:color w:val="98A521"/>
          <w:kern w:val="36"/>
          <w:sz w:val="48"/>
          <w:szCs w:val="48"/>
          <w:lang w:eastAsia="hr-HR"/>
        </w:rPr>
      </w:pPr>
      <w:r>
        <w:rPr>
          <w:noProof/>
        </w:rPr>
        <w:drawing>
          <wp:inline distT="0" distB="0" distL="0" distR="0" wp14:anchorId="2B962D51" wp14:editId="3B1460C2">
            <wp:extent cx="5760720" cy="5078656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0AA" w:rsidRPr="00AD127E">
        <w:rPr>
          <w:rFonts w:eastAsia="Times New Roman" w:cstheme="minorHAnsi"/>
          <w:color w:val="98A521"/>
          <w:kern w:val="36"/>
          <w:sz w:val="48"/>
          <w:szCs w:val="48"/>
          <w:lang w:eastAsia="hr-HR"/>
        </w:rPr>
        <w:t>ZAJEDNO DO ZNANJA 4</w:t>
      </w:r>
    </w:p>
    <w:p w14:paraId="3094B4E2" w14:textId="77777777" w:rsidR="00416E8B" w:rsidRPr="00AD127E" w:rsidRDefault="00416E8B" w:rsidP="004351FF">
      <w:pPr>
        <w:shd w:val="clear" w:color="auto" w:fill="FFFFFF"/>
        <w:spacing w:after="750" w:line="864" w:lineRule="atLeast"/>
        <w:jc w:val="center"/>
        <w:outlineLvl w:val="0"/>
        <w:rPr>
          <w:rFonts w:eastAsia="Times New Roman" w:cstheme="minorHAnsi"/>
          <w:color w:val="98A521"/>
          <w:kern w:val="36"/>
          <w:sz w:val="48"/>
          <w:szCs w:val="48"/>
          <w:lang w:eastAsia="hr-HR"/>
        </w:rPr>
      </w:pPr>
    </w:p>
    <w:p w14:paraId="6EB6C1BB" w14:textId="4721267A" w:rsidR="0033004E" w:rsidRDefault="0033004E" w:rsidP="00DA30AA">
      <w:pPr>
        <w:shd w:val="clear" w:color="auto" w:fill="FFFFFF"/>
        <w:spacing w:line="240" w:lineRule="auto"/>
        <w:rPr>
          <w:rFonts w:eastAsia="Times New Roman" w:cstheme="minorHAnsi"/>
          <w:noProof/>
          <w:sz w:val="27"/>
          <w:szCs w:val="27"/>
          <w:lang w:eastAsia="hr-HR"/>
        </w:rPr>
      </w:pPr>
      <w:r w:rsidRPr="005E631A">
        <w:rPr>
          <w:rFonts w:eastAsia="Times New Roman" w:cstheme="minorHAnsi"/>
          <w:noProof/>
          <w:sz w:val="27"/>
          <w:szCs w:val="27"/>
          <w:lang w:eastAsia="hr-HR"/>
        </w:rPr>
        <w:lastRenderedPageBreak/>
        <w:t>U sklopu projekta ZAJEDNO DO ZNANJA 4</w:t>
      </w:r>
      <w:r w:rsidR="004351FF">
        <w:rPr>
          <w:rFonts w:eastAsia="Times New Roman" w:cstheme="minorHAnsi"/>
          <w:noProof/>
          <w:sz w:val="27"/>
          <w:szCs w:val="27"/>
          <w:lang w:eastAsia="hr-HR"/>
        </w:rPr>
        <w:t>, UP.03.2.1.07.0040</w:t>
      </w:r>
      <w:r w:rsidRPr="005E631A">
        <w:rPr>
          <w:rFonts w:eastAsia="Times New Roman" w:cstheme="minorHAnsi"/>
          <w:noProof/>
          <w:sz w:val="27"/>
          <w:szCs w:val="27"/>
          <w:lang w:eastAsia="hr-HR"/>
        </w:rPr>
        <w:t xml:space="preserve"> </w:t>
      </w:r>
      <w:r w:rsidR="004351FF">
        <w:rPr>
          <w:rFonts w:eastAsia="Times New Roman" w:cstheme="minorHAnsi"/>
          <w:noProof/>
          <w:sz w:val="27"/>
          <w:szCs w:val="27"/>
          <w:lang w:eastAsia="hr-HR"/>
        </w:rPr>
        <w:t>financiranog bespovratnim sredstvima iz Europskog socijalnog fonda u financijskom razdoblju 2014.-2020.</w:t>
      </w:r>
      <w:r w:rsidR="00174FB8">
        <w:rPr>
          <w:rFonts w:eastAsia="Times New Roman" w:cstheme="minorHAnsi"/>
          <w:noProof/>
          <w:sz w:val="27"/>
          <w:szCs w:val="27"/>
          <w:lang w:eastAsia="hr-HR"/>
        </w:rPr>
        <w:t xml:space="preserve">, </w:t>
      </w:r>
      <w:r w:rsidRPr="005E631A">
        <w:rPr>
          <w:rFonts w:eastAsia="Times New Roman" w:cstheme="minorHAnsi"/>
          <w:noProof/>
          <w:sz w:val="27"/>
          <w:szCs w:val="27"/>
          <w:lang w:eastAsia="hr-HR"/>
        </w:rPr>
        <w:t>nabavljena KUTIJA PUNA OSJEĆAJA</w:t>
      </w:r>
      <w:r w:rsidR="004351FF">
        <w:rPr>
          <w:rFonts w:eastAsia="Times New Roman" w:cstheme="minorHAnsi"/>
          <w:noProof/>
          <w:sz w:val="27"/>
          <w:szCs w:val="27"/>
          <w:lang w:eastAsia="hr-HR"/>
        </w:rPr>
        <w:t>.</w:t>
      </w:r>
      <w:r w:rsidRPr="005E631A">
        <w:rPr>
          <w:rFonts w:eastAsia="Times New Roman" w:cstheme="minorHAnsi"/>
          <w:noProof/>
          <w:sz w:val="27"/>
          <w:szCs w:val="27"/>
          <w:lang w:eastAsia="hr-HR"/>
        </w:rPr>
        <w:t xml:space="preserve"> </w:t>
      </w:r>
      <w:r w:rsidRPr="005E631A">
        <w:rPr>
          <w:rFonts w:eastAsia="Times New Roman" w:cstheme="minorHAnsi"/>
          <w:noProof/>
          <w:sz w:val="27"/>
          <w:szCs w:val="27"/>
          <w:lang w:eastAsia="hr-HR"/>
        </w:rPr>
        <w:tab/>
      </w:r>
    </w:p>
    <w:p w14:paraId="77B7E9AD" w14:textId="1A57BE53" w:rsidR="00F94EFC" w:rsidRPr="005E631A" w:rsidRDefault="00F94EFC" w:rsidP="00DA30AA">
      <w:pPr>
        <w:shd w:val="clear" w:color="auto" w:fill="FFFFFF"/>
        <w:spacing w:line="240" w:lineRule="auto"/>
        <w:rPr>
          <w:rFonts w:eastAsia="Times New Roman" w:cstheme="minorHAnsi"/>
          <w:noProof/>
          <w:sz w:val="27"/>
          <w:szCs w:val="27"/>
          <w:lang w:eastAsia="hr-HR"/>
        </w:rPr>
      </w:pPr>
      <w:r>
        <w:rPr>
          <w:rFonts w:eastAsia="Times New Roman" w:cstheme="minorHAnsi"/>
          <w:noProof/>
          <w:sz w:val="27"/>
          <w:szCs w:val="27"/>
          <w:lang w:eastAsia="hr-HR"/>
        </w:rPr>
        <w:t>U sklopu projekta osiguralo se 97 pomoćnika u nastavi za 128 učenika s teškoćama u nastavi u osnovnim školama kojima je osnivač Grad Pula-Pola.</w:t>
      </w:r>
    </w:p>
    <w:p w14:paraId="318DD8EA" w14:textId="33A4C046" w:rsidR="00DA30AA" w:rsidRPr="005E631A" w:rsidRDefault="003B7FC4" w:rsidP="00AD127E">
      <w:pPr>
        <w:shd w:val="clear" w:color="auto" w:fill="FFFFFF"/>
        <w:spacing w:after="450" w:line="405" w:lineRule="atLeast"/>
        <w:jc w:val="both"/>
        <w:rPr>
          <w:rFonts w:eastAsia="Times New Roman" w:cstheme="minorHAnsi"/>
          <w:sz w:val="27"/>
          <w:szCs w:val="27"/>
          <w:lang w:eastAsia="hr-HR"/>
        </w:rPr>
      </w:pPr>
      <w:r w:rsidRPr="005E631A">
        <w:rPr>
          <w:rFonts w:cstheme="minorHAnsi"/>
          <w:sz w:val="27"/>
          <w:szCs w:val="27"/>
          <w:shd w:val="clear" w:color="auto" w:fill="FFFFFF"/>
        </w:rPr>
        <w:t>Kutija pomaže djeci da prepoznaju svoje unutarnje emocije i otvoreno razgovaraju o njima. 20 različitih interaktivnih postupaka primjenjuju se u radu s grupom djece ili pojedinačno, kako bi istražili 4 osnovne emocije – sretan, tužan, ljut i uplašen – te načine na koji će ih djeca prepoznati, imenovati, prihvatiti i razviti svijest o njima! Biti sposoban izraziti i kontrolirati emocije na prihvatljiv način temelj je razvoja emotivne inteligencije, jačanja otpornosti i pomaganja djeci da ostanu pribrani kada se suoče sa bolnim iskustvima. Rezultati primjene Kutije pune osjećaja u praksi su slijedeći: djeca su opreznija u iskazivanju osjećaja, imaju bogatiji vokabular u izražavanju emocija, njihova intuicija je profinjenija te je povećana sposobnost proživljavanja tuđih emocija.</w:t>
      </w:r>
    </w:p>
    <w:p w14:paraId="664BFE44" w14:textId="5569ADCB" w:rsidR="003B7FC4" w:rsidRPr="005E631A" w:rsidRDefault="003B7FC4" w:rsidP="00AD127E">
      <w:pPr>
        <w:shd w:val="clear" w:color="auto" w:fill="FFFFFF"/>
        <w:spacing w:after="450" w:line="405" w:lineRule="atLeast"/>
        <w:jc w:val="both"/>
        <w:rPr>
          <w:rFonts w:eastAsia="Times New Roman" w:cstheme="minorHAnsi"/>
          <w:sz w:val="27"/>
          <w:szCs w:val="27"/>
          <w:lang w:eastAsia="hr-HR"/>
        </w:rPr>
      </w:pPr>
      <w:r w:rsidRPr="005E631A">
        <w:rPr>
          <w:rFonts w:eastAsia="Times New Roman" w:cstheme="minorHAnsi"/>
          <w:b/>
          <w:bCs/>
          <w:sz w:val="27"/>
          <w:szCs w:val="27"/>
          <w:lang w:eastAsia="hr-HR"/>
        </w:rPr>
        <w:t xml:space="preserve">Naziv projekta: ZAJEDNO DO ZNANJA 4 - </w:t>
      </w:r>
      <w:r w:rsidRPr="005E631A">
        <w:rPr>
          <w:rFonts w:eastAsia="Times New Roman" w:cstheme="minorHAnsi"/>
          <w:sz w:val="27"/>
          <w:szCs w:val="27"/>
          <w:lang w:eastAsia="hr-HR"/>
        </w:rPr>
        <w:t>osiguravanje pomoćnika u nastavi i stručnih komunikacijskih posrednika za učenike s teškoćama u nastavi u osnovnoškolskim i srednjoškolskim odgojno-obrazovnim ustanovama, FAZA V</w:t>
      </w:r>
      <w:r w:rsidR="00AD127E" w:rsidRPr="005E631A">
        <w:rPr>
          <w:rFonts w:eastAsia="Times New Roman" w:cstheme="minorHAnsi"/>
          <w:sz w:val="27"/>
          <w:szCs w:val="27"/>
          <w:lang w:eastAsia="hr-HR"/>
        </w:rPr>
        <w:t>.</w:t>
      </w:r>
    </w:p>
    <w:p w14:paraId="0C66654D" w14:textId="1CFE2F66" w:rsidR="003B7FC4" w:rsidRPr="005E631A" w:rsidRDefault="003B7FC4" w:rsidP="003B7FC4">
      <w:pPr>
        <w:shd w:val="clear" w:color="auto" w:fill="FFFFFF"/>
        <w:spacing w:after="450" w:line="405" w:lineRule="atLeast"/>
        <w:rPr>
          <w:rFonts w:eastAsia="Times New Roman" w:cstheme="minorHAnsi"/>
          <w:sz w:val="27"/>
          <w:szCs w:val="27"/>
          <w:lang w:eastAsia="hr-HR"/>
        </w:rPr>
      </w:pPr>
      <w:r w:rsidRPr="005E631A">
        <w:rPr>
          <w:rFonts w:eastAsia="Times New Roman" w:cstheme="minorHAnsi"/>
          <w:b/>
          <w:bCs/>
          <w:sz w:val="27"/>
          <w:szCs w:val="27"/>
          <w:lang w:eastAsia="hr-HR"/>
        </w:rPr>
        <w:t>Naziv programa:</w:t>
      </w:r>
      <w:r w:rsidR="005E631A" w:rsidRPr="005E631A">
        <w:rPr>
          <w:rFonts w:eastAsia="Times New Roman" w:cstheme="minorHAnsi"/>
          <w:b/>
          <w:bCs/>
          <w:sz w:val="27"/>
          <w:szCs w:val="27"/>
          <w:lang w:eastAsia="hr-HR"/>
        </w:rPr>
        <w:t xml:space="preserve"> </w:t>
      </w:r>
      <w:r w:rsidR="005E631A" w:rsidRPr="005E631A">
        <w:rPr>
          <w:rFonts w:eastAsia="Times New Roman" w:cstheme="minorHAnsi"/>
          <w:sz w:val="27"/>
          <w:szCs w:val="27"/>
          <w:lang w:eastAsia="hr-HR"/>
        </w:rPr>
        <w:t>Europski socijalni fond</w:t>
      </w:r>
      <w:r w:rsidR="005E631A" w:rsidRPr="005E631A">
        <w:rPr>
          <w:rFonts w:eastAsia="Times New Roman" w:cstheme="minorHAnsi"/>
          <w:b/>
          <w:bCs/>
          <w:sz w:val="27"/>
          <w:szCs w:val="27"/>
          <w:lang w:eastAsia="hr-HR"/>
        </w:rPr>
        <w:t xml:space="preserve"> -</w:t>
      </w:r>
      <w:r w:rsidRPr="005E631A">
        <w:rPr>
          <w:rFonts w:eastAsia="Times New Roman" w:cstheme="minorHAnsi"/>
          <w:b/>
          <w:bCs/>
          <w:sz w:val="27"/>
          <w:szCs w:val="27"/>
          <w:lang w:eastAsia="hr-HR"/>
        </w:rPr>
        <w:t xml:space="preserve"> </w:t>
      </w:r>
      <w:r w:rsidR="000967AC" w:rsidRPr="005E631A">
        <w:rPr>
          <w:rFonts w:eastAsia="Times New Roman" w:cstheme="minorHAnsi"/>
          <w:sz w:val="27"/>
          <w:szCs w:val="27"/>
          <w:lang w:eastAsia="hr-HR"/>
        </w:rPr>
        <w:t xml:space="preserve">Operativni program Učinkoviti ljudski potencijali </w:t>
      </w:r>
      <w:r w:rsidR="004351FF">
        <w:rPr>
          <w:rFonts w:eastAsia="Times New Roman" w:cstheme="minorHAnsi"/>
          <w:sz w:val="27"/>
          <w:szCs w:val="27"/>
          <w:lang w:eastAsia="hr-HR"/>
        </w:rPr>
        <w:t>2014.-2020.</w:t>
      </w:r>
    </w:p>
    <w:p w14:paraId="385FC55E" w14:textId="100E1A57" w:rsidR="003B7FC4" w:rsidRPr="005E631A" w:rsidRDefault="003B7FC4" w:rsidP="008900F9">
      <w:pPr>
        <w:shd w:val="clear" w:color="auto" w:fill="FFFFFF"/>
        <w:spacing w:after="450" w:line="405" w:lineRule="atLeast"/>
        <w:rPr>
          <w:rFonts w:eastAsia="Times New Roman" w:cstheme="minorHAnsi"/>
          <w:sz w:val="27"/>
          <w:szCs w:val="27"/>
          <w:lang w:eastAsia="hr-HR"/>
        </w:rPr>
      </w:pPr>
      <w:r w:rsidRPr="00AD127E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 xml:space="preserve">Grad Pula-Pola: </w:t>
      </w:r>
      <w:r w:rsidRPr="005E631A">
        <w:rPr>
          <w:rFonts w:eastAsia="Times New Roman" w:cstheme="minorHAnsi"/>
          <w:sz w:val="27"/>
          <w:szCs w:val="27"/>
          <w:lang w:eastAsia="hr-HR"/>
        </w:rPr>
        <w:t>nositelj</w:t>
      </w:r>
      <w:r w:rsidR="00655C5A">
        <w:rPr>
          <w:rFonts w:eastAsia="Times New Roman" w:cstheme="minorHAnsi"/>
          <w:sz w:val="27"/>
          <w:szCs w:val="27"/>
          <w:lang w:eastAsia="hr-HR"/>
        </w:rPr>
        <w:t xml:space="preserve"> projekta</w:t>
      </w:r>
    </w:p>
    <w:p w14:paraId="5D50DCBB" w14:textId="220CB9BA" w:rsidR="00DA30AA" w:rsidRPr="005E631A" w:rsidRDefault="00DA30AA" w:rsidP="00DA30AA">
      <w:pPr>
        <w:shd w:val="clear" w:color="auto" w:fill="FFFFFF"/>
        <w:spacing w:after="450" w:line="405" w:lineRule="atLeast"/>
        <w:rPr>
          <w:rFonts w:eastAsia="Times New Roman" w:cstheme="minorHAnsi"/>
          <w:sz w:val="27"/>
          <w:szCs w:val="27"/>
          <w:lang w:eastAsia="hr-HR"/>
        </w:rPr>
      </w:pPr>
      <w:r w:rsidRPr="005E631A">
        <w:rPr>
          <w:rFonts w:eastAsia="Times New Roman" w:cstheme="minorHAnsi"/>
          <w:b/>
          <w:bCs/>
          <w:sz w:val="27"/>
          <w:szCs w:val="27"/>
          <w:lang w:eastAsia="hr-HR"/>
        </w:rPr>
        <w:t>Vrijednost projekta:</w:t>
      </w:r>
      <w:r w:rsidR="004E15F3">
        <w:rPr>
          <w:rFonts w:eastAsia="Times New Roman" w:cstheme="minorHAnsi"/>
          <w:sz w:val="27"/>
          <w:szCs w:val="27"/>
          <w:lang w:eastAsia="hr-HR"/>
        </w:rPr>
        <w:t xml:space="preserve"> 583.220,47 EUR</w:t>
      </w:r>
      <w:r w:rsidR="00DD5B31">
        <w:rPr>
          <w:rFonts w:eastAsia="Times New Roman" w:cstheme="minorHAnsi"/>
          <w:sz w:val="27"/>
          <w:szCs w:val="27"/>
          <w:lang w:eastAsia="hr-HR"/>
        </w:rPr>
        <w:t xml:space="preserve">, </w:t>
      </w:r>
      <w:r w:rsidR="00DD5B31" w:rsidRPr="005E631A">
        <w:rPr>
          <w:rFonts w:eastAsia="Times New Roman" w:cstheme="minorHAnsi"/>
          <w:sz w:val="27"/>
          <w:szCs w:val="27"/>
          <w:lang w:eastAsia="hr-HR"/>
        </w:rPr>
        <w:t>4.394.274,60 kn</w:t>
      </w:r>
    </w:p>
    <w:p w14:paraId="0230E7A6" w14:textId="5674DA1F" w:rsidR="00DA30AA" w:rsidRPr="005E631A" w:rsidRDefault="00174FB8" w:rsidP="00DA30AA">
      <w:pPr>
        <w:shd w:val="clear" w:color="auto" w:fill="FFFFFF"/>
        <w:spacing w:after="450" w:line="405" w:lineRule="atLeast"/>
        <w:rPr>
          <w:rFonts w:eastAsia="Times New Roman" w:cstheme="minorHAnsi"/>
          <w:sz w:val="27"/>
          <w:szCs w:val="27"/>
          <w:lang w:eastAsia="hr-HR"/>
        </w:rPr>
      </w:pPr>
      <w:r>
        <w:rPr>
          <w:rFonts w:eastAsia="Times New Roman" w:cstheme="minorHAnsi"/>
          <w:b/>
          <w:bCs/>
          <w:sz w:val="27"/>
          <w:szCs w:val="27"/>
          <w:lang w:eastAsia="hr-HR"/>
        </w:rPr>
        <w:t>Intenzitet potpore</w:t>
      </w:r>
      <w:r w:rsidR="00DA30AA" w:rsidRPr="005E631A">
        <w:rPr>
          <w:rFonts w:eastAsia="Times New Roman" w:cstheme="minorHAnsi"/>
          <w:b/>
          <w:bCs/>
          <w:sz w:val="27"/>
          <w:szCs w:val="27"/>
          <w:lang w:eastAsia="hr-HR"/>
        </w:rPr>
        <w:t>:</w:t>
      </w:r>
      <w:r w:rsidR="00DA30AA" w:rsidRPr="005E631A">
        <w:rPr>
          <w:rFonts w:eastAsia="Times New Roman" w:cstheme="minorHAnsi"/>
          <w:sz w:val="27"/>
          <w:szCs w:val="27"/>
          <w:lang w:eastAsia="hr-HR"/>
        </w:rPr>
        <w:t> </w:t>
      </w:r>
      <w:r w:rsidR="000C08C1" w:rsidRPr="005E631A">
        <w:rPr>
          <w:rFonts w:eastAsia="Times New Roman" w:cstheme="minorHAnsi"/>
          <w:sz w:val="27"/>
          <w:szCs w:val="27"/>
          <w:lang w:eastAsia="hr-HR"/>
        </w:rPr>
        <w:t>68</w:t>
      </w:r>
      <w:r w:rsidR="00DA30AA" w:rsidRPr="005E631A">
        <w:rPr>
          <w:rFonts w:eastAsia="Times New Roman" w:cstheme="minorHAnsi"/>
          <w:sz w:val="27"/>
          <w:szCs w:val="27"/>
          <w:lang w:eastAsia="hr-HR"/>
        </w:rPr>
        <w:t>,</w:t>
      </w:r>
      <w:r w:rsidR="000C08C1" w:rsidRPr="005E631A">
        <w:rPr>
          <w:rFonts w:eastAsia="Times New Roman" w:cstheme="minorHAnsi"/>
          <w:sz w:val="27"/>
          <w:szCs w:val="27"/>
          <w:lang w:eastAsia="hr-HR"/>
        </w:rPr>
        <w:t>27</w:t>
      </w:r>
      <w:r w:rsidR="00DA30AA" w:rsidRPr="005E631A">
        <w:rPr>
          <w:rFonts w:eastAsia="Times New Roman" w:cstheme="minorHAnsi"/>
          <w:sz w:val="27"/>
          <w:szCs w:val="27"/>
          <w:lang w:eastAsia="hr-HR"/>
        </w:rPr>
        <w:t>%</w:t>
      </w:r>
    </w:p>
    <w:p w14:paraId="29338C7E" w14:textId="77777777" w:rsidR="00DA30AA" w:rsidRPr="005E631A" w:rsidRDefault="00DA30AA" w:rsidP="00DA30AA">
      <w:pPr>
        <w:shd w:val="clear" w:color="auto" w:fill="FFFFFF"/>
        <w:spacing w:after="450" w:line="405" w:lineRule="atLeast"/>
        <w:rPr>
          <w:rFonts w:eastAsia="Times New Roman" w:cstheme="minorHAnsi"/>
          <w:sz w:val="27"/>
          <w:szCs w:val="27"/>
          <w:lang w:eastAsia="hr-HR"/>
        </w:rPr>
      </w:pPr>
      <w:r w:rsidRPr="005E631A">
        <w:rPr>
          <w:rFonts w:eastAsia="Times New Roman" w:cstheme="minorHAnsi"/>
          <w:b/>
          <w:bCs/>
          <w:sz w:val="27"/>
          <w:szCs w:val="27"/>
          <w:lang w:eastAsia="hr-HR"/>
        </w:rPr>
        <w:t>Trajanje projekta:</w:t>
      </w:r>
      <w:r w:rsidRPr="005E631A">
        <w:rPr>
          <w:rFonts w:eastAsia="Times New Roman" w:cstheme="minorHAnsi"/>
          <w:sz w:val="27"/>
          <w:szCs w:val="27"/>
          <w:lang w:eastAsia="hr-HR"/>
        </w:rPr>
        <w:t> 1</w:t>
      </w:r>
      <w:r w:rsidR="000C08C1" w:rsidRPr="005E631A">
        <w:rPr>
          <w:rFonts w:eastAsia="Times New Roman" w:cstheme="minorHAnsi"/>
          <w:sz w:val="27"/>
          <w:szCs w:val="27"/>
          <w:lang w:eastAsia="hr-HR"/>
        </w:rPr>
        <w:t>6</w:t>
      </w:r>
      <w:r w:rsidRPr="005E631A">
        <w:rPr>
          <w:rFonts w:eastAsia="Times New Roman" w:cstheme="minorHAnsi"/>
          <w:sz w:val="27"/>
          <w:szCs w:val="27"/>
          <w:lang w:eastAsia="hr-HR"/>
        </w:rPr>
        <w:t>. kolovoza 202</w:t>
      </w:r>
      <w:r w:rsidR="000C08C1" w:rsidRPr="005E631A">
        <w:rPr>
          <w:rFonts w:eastAsia="Times New Roman" w:cstheme="minorHAnsi"/>
          <w:sz w:val="27"/>
          <w:szCs w:val="27"/>
          <w:lang w:eastAsia="hr-HR"/>
        </w:rPr>
        <w:t>2</w:t>
      </w:r>
      <w:r w:rsidRPr="005E631A">
        <w:rPr>
          <w:rFonts w:eastAsia="Times New Roman" w:cstheme="minorHAnsi"/>
          <w:sz w:val="27"/>
          <w:szCs w:val="27"/>
          <w:lang w:eastAsia="hr-HR"/>
        </w:rPr>
        <w:t>. do 1</w:t>
      </w:r>
      <w:r w:rsidR="000C08C1" w:rsidRPr="005E631A">
        <w:rPr>
          <w:rFonts w:eastAsia="Times New Roman" w:cstheme="minorHAnsi"/>
          <w:sz w:val="27"/>
          <w:szCs w:val="27"/>
          <w:lang w:eastAsia="hr-HR"/>
        </w:rPr>
        <w:t>6</w:t>
      </w:r>
      <w:r w:rsidRPr="005E631A">
        <w:rPr>
          <w:rFonts w:eastAsia="Times New Roman" w:cstheme="minorHAnsi"/>
          <w:sz w:val="27"/>
          <w:szCs w:val="27"/>
          <w:lang w:eastAsia="hr-HR"/>
        </w:rPr>
        <w:t>. kolovoza 202</w:t>
      </w:r>
      <w:r w:rsidR="000C08C1" w:rsidRPr="005E631A">
        <w:rPr>
          <w:rFonts w:eastAsia="Times New Roman" w:cstheme="minorHAnsi"/>
          <w:sz w:val="27"/>
          <w:szCs w:val="27"/>
          <w:lang w:eastAsia="hr-HR"/>
        </w:rPr>
        <w:t>3</w:t>
      </w:r>
      <w:r w:rsidRPr="005E631A">
        <w:rPr>
          <w:rFonts w:eastAsia="Times New Roman" w:cstheme="minorHAnsi"/>
          <w:sz w:val="27"/>
          <w:szCs w:val="27"/>
          <w:lang w:eastAsia="hr-HR"/>
        </w:rPr>
        <w:t>.</w:t>
      </w:r>
    </w:p>
    <w:p w14:paraId="39A198AA" w14:textId="77777777" w:rsidR="00DA30AA" w:rsidRPr="005E631A" w:rsidRDefault="00DA30AA" w:rsidP="00DA30AA">
      <w:pPr>
        <w:shd w:val="clear" w:color="auto" w:fill="FFFFFF"/>
        <w:spacing w:after="450" w:line="405" w:lineRule="atLeast"/>
        <w:rPr>
          <w:rFonts w:eastAsia="Times New Roman" w:cstheme="minorHAnsi"/>
          <w:sz w:val="27"/>
          <w:szCs w:val="27"/>
          <w:lang w:eastAsia="hr-HR"/>
        </w:rPr>
      </w:pPr>
      <w:r w:rsidRPr="005E631A">
        <w:rPr>
          <w:rFonts w:eastAsia="Times New Roman" w:cstheme="minorHAnsi"/>
          <w:sz w:val="27"/>
          <w:szCs w:val="27"/>
          <w:lang w:eastAsia="hr-HR"/>
        </w:rPr>
        <w:t>Za više informacija o fondovima:</w:t>
      </w:r>
    </w:p>
    <w:p w14:paraId="076A88E7" w14:textId="77777777" w:rsidR="00DA30AA" w:rsidRPr="00AD127E" w:rsidRDefault="00DA30AA" w:rsidP="00DA30AA">
      <w:pPr>
        <w:shd w:val="clear" w:color="auto" w:fill="FFFFFF"/>
        <w:spacing w:after="450" w:line="405" w:lineRule="atLeast"/>
        <w:rPr>
          <w:rFonts w:eastAsia="Times New Roman" w:cstheme="minorHAnsi"/>
          <w:color w:val="6B7662"/>
          <w:sz w:val="27"/>
          <w:szCs w:val="27"/>
          <w:lang w:eastAsia="hr-HR"/>
        </w:rPr>
      </w:pPr>
      <w:r w:rsidRPr="005E631A">
        <w:rPr>
          <w:rFonts w:eastAsia="Times New Roman" w:cstheme="minorHAnsi"/>
          <w:sz w:val="27"/>
          <w:szCs w:val="27"/>
          <w:lang w:eastAsia="hr-HR"/>
        </w:rPr>
        <w:lastRenderedPageBreak/>
        <w:t>link na</w:t>
      </w:r>
      <w:r w:rsidRPr="00AD127E">
        <w:rPr>
          <w:rFonts w:eastAsia="Times New Roman" w:cstheme="minorHAnsi"/>
          <w:color w:val="6B7662"/>
          <w:sz w:val="27"/>
          <w:szCs w:val="27"/>
          <w:lang w:eastAsia="hr-HR"/>
        </w:rPr>
        <w:t>: </w:t>
      </w:r>
      <w:hyperlink r:id="rId7" w:history="1">
        <w:r w:rsidRPr="00AD127E">
          <w:rPr>
            <w:rFonts w:eastAsia="Times New Roman" w:cstheme="minorHAnsi"/>
            <w:color w:val="97A421"/>
            <w:sz w:val="27"/>
            <w:szCs w:val="27"/>
            <w:u w:val="single"/>
            <w:lang w:eastAsia="hr-HR"/>
          </w:rPr>
          <w:t>www.strukturnifondovi.hr</w:t>
        </w:r>
      </w:hyperlink>
    </w:p>
    <w:p w14:paraId="32587626" w14:textId="4DEFA25D" w:rsidR="000967AC" w:rsidRPr="000967AC" w:rsidRDefault="00DA30AA" w:rsidP="00DA30AA">
      <w:pPr>
        <w:shd w:val="clear" w:color="auto" w:fill="FFFFFF"/>
        <w:spacing w:after="450" w:line="405" w:lineRule="atLeast"/>
        <w:rPr>
          <w:rFonts w:eastAsia="Times New Roman" w:cstheme="minorHAnsi"/>
          <w:color w:val="97A421"/>
          <w:sz w:val="27"/>
          <w:szCs w:val="27"/>
          <w:u w:val="single"/>
          <w:lang w:eastAsia="hr-HR"/>
        </w:rPr>
      </w:pPr>
      <w:r w:rsidRPr="005E631A">
        <w:rPr>
          <w:rFonts w:eastAsia="Times New Roman" w:cstheme="minorHAnsi"/>
          <w:sz w:val="27"/>
          <w:szCs w:val="27"/>
          <w:lang w:eastAsia="hr-HR"/>
        </w:rPr>
        <w:t>link na</w:t>
      </w:r>
      <w:r w:rsidRPr="00AD127E">
        <w:rPr>
          <w:rFonts w:eastAsia="Times New Roman" w:cstheme="minorHAnsi"/>
          <w:color w:val="6B7662"/>
          <w:sz w:val="27"/>
          <w:szCs w:val="27"/>
          <w:lang w:eastAsia="hr-HR"/>
        </w:rPr>
        <w:t>: </w:t>
      </w:r>
      <w:hyperlink r:id="rId8" w:history="1">
        <w:r w:rsidR="005E631A" w:rsidRPr="003D4D7E">
          <w:rPr>
            <w:rStyle w:val="Hiperveza"/>
            <w:rFonts w:eastAsia="Times New Roman" w:cstheme="minorHAnsi"/>
            <w:sz w:val="27"/>
            <w:szCs w:val="27"/>
            <w:lang w:eastAsia="hr-HR"/>
          </w:rPr>
          <w:t>http://www.esf.hr/</w:t>
        </w:r>
        <w:r w:rsidR="005E631A" w:rsidRPr="003D4D7E">
          <w:rPr>
            <w:rStyle w:val="Hiperveza"/>
            <w:rFonts w:eastAsia="Times New Roman" w:cstheme="minorHAnsi"/>
            <w:sz w:val="27"/>
            <w:szCs w:val="27"/>
            <w:vertAlign w:val="superscript"/>
            <w:lang w:eastAsia="hr-HR"/>
          </w:rPr>
          <w:t>operativni</w:t>
        </w:r>
        <w:r w:rsidR="005E631A" w:rsidRPr="003D4D7E">
          <w:rPr>
            <w:rStyle w:val="Hiperveza"/>
            <w:rFonts w:eastAsia="Times New Roman" w:cstheme="minorHAnsi"/>
            <w:sz w:val="27"/>
            <w:szCs w:val="27"/>
            <w:lang w:eastAsia="hr-HR"/>
          </w:rPr>
          <w:t>-program/</w:t>
        </w:r>
      </w:hyperlink>
    </w:p>
    <w:p w14:paraId="73CC38F0" w14:textId="03C4898E" w:rsidR="00DA30AA" w:rsidRPr="00DA30AA" w:rsidRDefault="008900F9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6B7662"/>
          <w:sz w:val="27"/>
          <w:szCs w:val="27"/>
          <w:lang w:eastAsia="hr-HR"/>
        </w:rPr>
        <w:t xml:space="preserve">                     </w:t>
      </w:r>
      <w:r w:rsidR="00CF05B8">
        <w:rPr>
          <w:noProof/>
        </w:rPr>
        <w:drawing>
          <wp:inline distT="0" distB="0" distL="0" distR="0" wp14:anchorId="1A3BD480" wp14:editId="3702DE73">
            <wp:extent cx="5715003" cy="2143125"/>
            <wp:effectExtent l="0" t="0" r="0" b="0"/>
            <wp:docPr id="3" name="Picture 1" descr="Description: SSD 240:Users:prijelom:Desktop: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SD 240:Users:prijelom:Desktop:foo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26" cy="215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8C1">
        <w:rPr>
          <w:rFonts w:ascii="Arial" w:eastAsia="Times New Roman" w:hAnsi="Arial" w:cs="Arial"/>
          <w:color w:val="6B7662"/>
          <w:sz w:val="27"/>
          <w:szCs w:val="27"/>
          <w:lang w:eastAsia="hr-HR"/>
        </w:rPr>
        <w:t xml:space="preserve">      </w:t>
      </w:r>
    </w:p>
    <w:p w14:paraId="7CB13649" w14:textId="77777777" w:rsidR="00276D80" w:rsidRDefault="00276D80"/>
    <w:sectPr w:rsidR="0027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AA"/>
    <w:rsid w:val="000967AC"/>
    <w:rsid w:val="000C08C1"/>
    <w:rsid w:val="00147E7C"/>
    <w:rsid w:val="00174FB8"/>
    <w:rsid w:val="00276D80"/>
    <w:rsid w:val="0033004E"/>
    <w:rsid w:val="003B7FC4"/>
    <w:rsid w:val="00416E8B"/>
    <w:rsid w:val="004351FF"/>
    <w:rsid w:val="004E15F3"/>
    <w:rsid w:val="00541B53"/>
    <w:rsid w:val="005A4CEC"/>
    <w:rsid w:val="005E631A"/>
    <w:rsid w:val="00655C5A"/>
    <w:rsid w:val="007F0324"/>
    <w:rsid w:val="008900F9"/>
    <w:rsid w:val="008A727C"/>
    <w:rsid w:val="009A373D"/>
    <w:rsid w:val="00AD127E"/>
    <w:rsid w:val="00CF05B8"/>
    <w:rsid w:val="00DA30AA"/>
    <w:rsid w:val="00DD5B31"/>
    <w:rsid w:val="00F94EFC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C32"/>
  <w15:chartTrackingRefBased/>
  <w15:docId w15:val="{B093E8FA-E0FB-401A-BE4E-E554E4B6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A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30A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DA30AA"/>
    <w:rPr>
      <w:b/>
      <w:bCs/>
    </w:rPr>
  </w:style>
  <w:style w:type="character" w:customStyle="1" w:styleId="news-detailmetasocial">
    <w:name w:val="news-detail__meta__social"/>
    <w:basedOn w:val="Zadanifontodlomka"/>
    <w:rsid w:val="00DA30AA"/>
  </w:style>
  <w:style w:type="character" w:styleId="Hiperveza">
    <w:name w:val="Hyperlink"/>
    <w:basedOn w:val="Zadanifontodlomka"/>
    <w:uiPriority w:val="99"/>
    <w:unhideWhenUsed/>
    <w:rsid w:val="00DA30A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DA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E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4902">
          <w:marLeft w:val="0"/>
          <w:marRight w:val="0"/>
          <w:marTop w:val="0"/>
          <w:marBottom w:val="750"/>
          <w:divBdr>
            <w:top w:val="single" w:sz="6" w:space="11" w:color="98A521"/>
            <w:left w:val="none" w:sz="0" w:space="0" w:color="auto"/>
            <w:bottom w:val="single" w:sz="6" w:space="9" w:color="98A521"/>
            <w:right w:val="none" w:sz="0" w:space="0" w:color="auto"/>
          </w:divBdr>
          <w:divsChild>
            <w:div w:id="241523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99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hr/operativni-progr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ukturnifondovi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i_l9iikicr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Radivoj Jelenić</dc:creator>
  <cp:keywords/>
  <dc:description/>
  <cp:lastModifiedBy>Nikolić Miljenka</cp:lastModifiedBy>
  <cp:revision>4</cp:revision>
  <dcterms:created xsi:type="dcterms:W3CDTF">2023-06-29T10:07:00Z</dcterms:created>
  <dcterms:modified xsi:type="dcterms:W3CDTF">2023-06-29T11:19:00Z</dcterms:modified>
</cp:coreProperties>
</file>