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98" w:rsidRPr="001E6E98" w:rsidRDefault="00B23E69" w:rsidP="001E6E98">
      <w:pPr>
        <w:jc w:val="center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22"/>
        </w:rPr>
        <w:drawing>
          <wp:inline distT="0" distB="0" distL="0" distR="0">
            <wp:extent cx="314325" cy="33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98" w:rsidRPr="001E6E98" w:rsidRDefault="001E6E98" w:rsidP="001E6E98">
      <w:pPr>
        <w:jc w:val="center"/>
        <w:rPr>
          <w:b/>
          <w:sz w:val="28"/>
          <w:szCs w:val="28"/>
        </w:rPr>
      </w:pPr>
      <w:r w:rsidRPr="001E6E98">
        <w:rPr>
          <w:b/>
          <w:sz w:val="28"/>
          <w:szCs w:val="28"/>
        </w:rPr>
        <w:t>REPUBLIKA HRVATSKA</w:t>
      </w:r>
    </w:p>
    <w:p w:rsidR="001E6E98" w:rsidRPr="001E6E98" w:rsidRDefault="001E6E98" w:rsidP="001E6E98">
      <w:pPr>
        <w:jc w:val="center"/>
        <w:rPr>
          <w:b/>
          <w:sz w:val="28"/>
          <w:szCs w:val="28"/>
        </w:rPr>
      </w:pPr>
      <w:r w:rsidRPr="001E6E98">
        <w:rPr>
          <w:b/>
          <w:sz w:val="28"/>
          <w:szCs w:val="28"/>
        </w:rPr>
        <w:t>MINISTARSTVO DRŽAVNE IMOVINE</w:t>
      </w:r>
    </w:p>
    <w:p w:rsidR="001E6E98" w:rsidRPr="001E6E98" w:rsidRDefault="001E6E98" w:rsidP="001E6E98">
      <w:pPr>
        <w:jc w:val="center"/>
        <w:rPr>
          <w:sz w:val="28"/>
          <w:szCs w:val="28"/>
        </w:rPr>
      </w:pPr>
      <w:r w:rsidRPr="001E6E98">
        <w:rPr>
          <w:sz w:val="28"/>
          <w:szCs w:val="28"/>
        </w:rPr>
        <w:t>Zagreb, Ivana Dežmana 10</w:t>
      </w:r>
    </w:p>
    <w:p w:rsidR="00CE5A50" w:rsidRPr="00CE5A50" w:rsidRDefault="00CE5A50" w:rsidP="00CE5A50">
      <w:pPr>
        <w:shd w:val="clear" w:color="auto" w:fill="FFFFFF"/>
        <w:jc w:val="center"/>
        <w:textAlignment w:val="baseline"/>
        <w:rPr>
          <w:rFonts w:eastAsia="Calibri"/>
          <w:b/>
          <w:lang w:eastAsia="en-US"/>
        </w:rPr>
      </w:pPr>
    </w:p>
    <w:p w:rsidR="00CE5A50" w:rsidRPr="00CE5A50" w:rsidRDefault="00CE5A50" w:rsidP="00CE5A50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 xml:space="preserve">Na temelju Odluke Vlade Republike Hrvatske, KLASA: </w:t>
      </w:r>
      <w:r w:rsidR="002C64DA">
        <w:rPr>
          <w:rFonts w:eastAsia="Calibri"/>
          <w:b/>
          <w:lang w:eastAsia="en-US"/>
        </w:rPr>
        <w:t>022-03/19-04/182</w:t>
      </w:r>
      <w:r w:rsidRPr="00CE5A50">
        <w:rPr>
          <w:rFonts w:eastAsia="Calibri"/>
          <w:b/>
          <w:lang w:eastAsia="en-US"/>
        </w:rPr>
        <w:t>, URBROJ:</w:t>
      </w:r>
      <w:r w:rsidR="002C64DA">
        <w:rPr>
          <w:rFonts w:eastAsia="Calibri"/>
          <w:b/>
          <w:lang w:eastAsia="en-US"/>
        </w:rPr>
        <w:t xml:space="preserve"> 50301-26/24-19-2</w:t>
      </w:r>
      <w:r w:rsidRPr="00CE5A50">
        <w:rPr>
          <w:rFonts w:eastAsia="Calibri"/>
          <w:b/>
          <w:lang w:eastAsia="en-US"/>
        </w:rPr>
        <w:t xml:space="preserve"> od </w:t>
      </w:r>
      <w:r w:rsidR="002C64DA">
        <w:rPr>
          <w:rFonts w:eastAsia="Calibri"/>
          <w:b/>
          <w:lang w:eastAsia="en-US"/>
        </w:rPr>
        <w:t xml:space="preserve">23. svibnja </w:t>
      </w:r>
      <w:r w:rsidRPr="00CE5A50">
        <w:rPr>
          <w:rFonts w:eastAsia="Calibri"/>
          <w:b/>
          <w:lang w:eastAsia="en-US"/>
        </w:rPr>
        <w:t xml:space="preserve">2019. godine i </w:t>
      </w:r>
      <w:r w:rsidR="002C64DA">
        <w:rPr>
          <w:rFonts w:eastAsia="Calibri"/>
          <w:b/>
          <w:lang w:eastAsia="en-US"/>
        </w:rPr>
        <w:t>Zaključ</w:t>
      </w:r>
      <w:r w:rsidR="009227A8">
        <w:rPr>
          <w:rFonts w:eastAsia="Calibri"/>
          <w:b/>
          <w:lang w:eastAsia="en-US"/>
        </w:rPr>
        <w:t>ka</w:t>
      </w:r>
      <w:r w:rsidRPr="00CE5A50">
        <w:rPr>
          <w:rFonts w:eastAsia="Calibri"/>
          <w:b/>
          <w:lang w:eastAsia="en-US"/>
        </w:rPr>
        <w:t xml:space="preserve"> Gradskog vijeća Grada Pule, KLASA: </w:t>
      </w:r>
      <w:r w:rsidR="009227A8">
        <w:rPr>
          <w:rFonts w:eastAsia="Calibri"/>
          <w:b/>
          <w:lang w:eastAsia="en-US"/>
        </w:rPr>
        <w:t xml:space="preserve">022-05/18-01/156, URBROJ: 2168/01-03-06-00-0247-19-10 od 5. lipnja 2019., </w:t>
      </w:r>
      <w:r w:rsidRPr="00CE5A50">
        <w:rPr>
          <w:rFonts w:eastAsia="Calibri"/>
          <w:b/>
          <w:lang w:eastAsia="en-US"/>
        </w:rPr>
        <w:t xml:space="preserve"> Ministarstvo državne imovine objavljuje </w:t>
      </w:r>
    </w:p>
    <w:p w:rsidR="00CE5A50" w:rsidRPr="00CE5A50" w:rsidRDefault="00CE5A50" w:rsidP="00CE5A50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CE5A50" w:rsidRPr="00CE5A50" w:rsidRDefault="00CE5A50" w:rsidP="00CE5A5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 xml:space="preserve">JAVNI POZIV </w:t>
      </w:r>
    </w:p>
    <w:p w:rsidR="00CE5A50" w:rsidRPr="00CE5A50" w:rsidRDefault="00CE5A50" w:rsidP="00CE5A50">
      <w:pPr>
        <w:spacing w:after="200"/>
        <w:jc w:val="center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 xml:space="preserve">za podnošenje ponuda za osnivanje prava građenja na česticama zemljišta u vlasništvu Republike Hrvatske i Grada Pule u k.o. Štinjan-nova radi izgradnje zone turističke namjene na području Hidrobaze u Gradu Puli </w:t>
      </w:r>
    </w:p>
    <w:p w:rsidR="00CE5A50" w:rsidRPr="00CE5A50" w:rsidRDefault="00CE5A50" w:rsidP="00CE5A50">
      <w:pPr>
        <w:numPr>
          <w:ilvl w:val="0"/>
          <w:numId w:val="7"/>
        </w:numPr>
        <w:spacing w:after="200" w:line="276" w:lineRule="auto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>PREDMET JAVNOG POZIVA</w:t>
      </w:r>
    </w:p>
    <w:p w:rsidR="00CE5A50" w:rsidRPr="00CE5A50" w:rsidRDefault="00CE5A50" w:rsidP="00CE5A50">
      <w:pPr>
        <w:jc w:val="both"/>
      </w:pPr>
      <w:bookmarkStart w:id="1" w:name="_Toc338005696"/>
      <w:r w:rsidRPr="00CE5A50">
        <w:rPr>
          <w:rFonts w:eastAsia="Calibri"/>
          <w:lang w:eastAsia="en-US"/>
        </w:rPr>
        <w:t>Osnivanje prava građenja na česticama i d</w:t>
      </w:r>
      <w:r w:rsidRPr="00CE5A50">
        <w:t>ijelovima čestica zemljišta u.k.o. Štinjan-nova označenim kao:</w:t>
      </w:r>
    </w:p>
    <w:p w:rsidR="00CE5A50" w:rsidRPr="00CE5A50" w:rsidRDefault="00CE5A50" w:rsidP="00CE5A50">
      <w:pPr>
        <w:jc w:val="both"/>
      </w:pPr>
      <w:r w:rsidRPr="00CE5A50">
        <w:tab/>
        <w:t xml:space="preserve">-dio od 11.764 m² k.č. br. 250 od kojeg dijela je površina od 7584 m² u </w:t>
      </w:r>
      <w:r w:rsidRPr="00CE5A50">
        <w:tab/>
        <w:t xml:space="preserve">(T1,T2,T3)-1 </w:t>
      </w:r>
      <w:r w:rsidRPr="00CE5A50">
        <w:tab/>
        <w:t>zoni, a površina od 4.180 m² u (R2) zoni,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t xml:space="preserve">-cijela </w:t>
      </w:r>
      <w:r w:rsidRPr="00CE5A50">
        <w:rPr>
          <w:rFonts w:eastAsia="Calibri"/>
          <w:lang w:eastAsia="en-US"/>
        </w:rPr>
        <w:t>k.č. br. 251 površine 640 m² u (R2) zoni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>-cijela k.č. br. 1317/2 površine 7.311 m² u (R2) zoni.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785 m² . k.č. br. 253/1. u </w:t>
      </w:r>
      <w:r w:rsidRPr="00CE5A50">
        <w:t xml:space="preserve">(T1,T2,T3)-1 </w:t>
      </w:r>
      <w:r w:rsidRPr="00CE5A50">
        <w:rPr>
          <w:rFonts w:eastAsia="Calibri"/>
          <w:lang w:eastAsia="en-US"/>
        </w:rPr>
        <w:t>zoni,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101.067 m² k.č. br. 270/8. od kojeg dijela je 21.507 m² u (R2) zoni,  površina od 59.818 m² u </w:t>
      </w:r>
      <w:r w:rsidRPr="00CE5A50">
        <w:t xml:space="preserve">(T1,T2,T3)-1 </w:t>
      </w:r>
      <w:r w:rsidRPr="00CE5A50">
        <w:rPr>
          <w:rFonts w:eastAsia="Calibri"/>
          <w:lang w:eastAsia="en-US"/>
        </w:rPr>
        <w:t xml:space="preserve">zoni, a površina od 19.742 m² u </w:t>
      </w:r>
      <w:r w:rsidRPr="00CE5A50">
        <w:t xml:space="preserve">(T1,T2,T3)-2 zoni, 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23.741 m² k.č. br. 279 od kojeg dijela je 22.708 m² u (R2) zoni i 1.033 m² u </w:t>
      </w:r>
      <w:r w:rsidRPr="00CE5A50">
        <w:t xml:space="preserve">(T1,T2,T3)-2 </w:t>
      </w:r>
      <w:r w:rsidRPr="00CE5A50">
        <w:rPr>
          <w:rFonts w:eastAsia="Calibri"/>
          <w:lang w:eastAsia="en-US"/>
        </w:rPr>
        <w:t>zoni,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>-dio od 6.548 m² k.č. br. 256/7 u (R2) zoni,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709 m² k.č. br. 267/2 od kojeg dijela je 677 m² u (R2) zoni i 32 m² u </w:t>
      </w:r>
      <w:r w:rsidRPr="00CE5A50">
        <w:t>(T1,T2,T3)-2 zoni</w:t>
      </w:r>
      <w:r w:rsidRPr="00CE5A50">
        <w:rPr>
          <w:rFonts w:eastAsia="Calibri"/>
          <w:lang w:eastAsia="en-US"/>
        </w:rPr>
        <w:t>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3.796 m² k.č. br. 253/4 od kojeg dijela je 1.499 m² u </w:t>
      </w:r>
      <w:r w:rsidRPr="00CE5A50">
        <w:t>(T1,T2,T3)-1 zoni,</w:t>
      </w:r>
      <w:r w:rsidRPr="00CE5A50">
        <w:rPr>
          <w:rFonts w:eastAsia="Calibri"/>
          <w:lang w:eastAsia="en-US"/>
        </w:rPr>
        <w:t xml:space="preserve"> 57 m² u (R2) zoni i 2.240 m² u </w:t>
      </w:r>
      <w:r w:rsidRPr="00CE5A50">
        <w:t>(T1,T2,T3)-2 zoni</w:t>
      </w:r>
      <w:r w:rsidRPr="00CE5A50">
        <w:rPr>
          <w:rFonts w:eastAsia="Calibri"/>
          <w:lang w:eastAsia="en-US"/>
        </w:rPr>
        <w:t>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13.014 m² k.č. br. 254/2 od kojeg dijela je 8.108 m²,u </w:t>
      </w:r>
      <w:r w:rsidRPr="00CE5A50">
        <w:t>(T1,T2,T3)-1</w:t>
      </w:r>
      <w:r w:rsidRPr="00CE5A50">
        <w:rPr>
          <w:rFonts w:eastAsia="Calibri"/>
          <w:lang w:eastAsia="en-US"/>
        </w:rPr>
        <w:t xml:space="preserve"> zoni, a 4.906 m² u </w:t>
      </w:r>
      <w:r w:rsidRPr="00CE5A50">
        <w:t>(T1,T2,T3)-2 zoni</w:t>
      </w:r>
      <w:r w:rsidRPr="00CE5A50">
        <w:rPr>
          <w:rFonts w:eastAsia="Calibri"/>
          <w:lang w:eastAsia="en-US"/>
        </w:rPr>
        <w:t xml:space="preserve"> 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-cijela k.č. br. 253/3 površine 451 m² u </w:t>
      </w:r>
      <w:r w:rsidRPr="00CE5A50">
        <w:t>(T1,T2,T3)-1</w:t>
      </w:r>
      <w:r w:rsidRPr="00CE5A50">
        <w:rPr>
          <w:rFonts w:eastAsia="Calibri"/>
          <w:lang w:eastAsia="en-US"/>
        </w:rPr>
        <w:t xml:space="preserve"> zoni, sve u vlasništvu Republike Hrvatske,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-cijela k.č. br. 270/2 površine 9.060 m², u </w:t>
      </w:r>
      <w:r w:rsidRPr="00CE5A50">
        <w:t>(T1,T2,T3)-1</w:t>
      </w:r>
      <w:r w:rsidRPr="00CE5A50">
        <w:rPr>
          <w:rFonts w:eastAsia="Calibri"/>
          <w:lang w:eastAsia="en-US"/>
        </w:rPr>
        <w:t xml:space="preserve"> zoni,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3.224 m² k.č. br. 256/6 u </w:t>
      </w:r>
      <w:r w:rsidRPr="00CE5A50">
        <w:t>(T1,T2,T3)-1</w:t>
      </w:r>
      <w:r w:rsidRPr="00CE5A50">
        <w:rPr>
          <w:rFonts w:eastAsia="Calibri"/>
          <w:lang w:eastAsia="en-US"/>
        </w:rPr>
        <w:t xml:space="preserve"> zoni,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483 m² k.č. br. 1317/1 u (R2) zoni, 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25.293 m² k.č. br. 272, od kojeg dijela 23.633 m² u (R2) zoni,a 1.660 m² u </w:t>
      </w:r>
      <w:r w:rsidRPr="00CE5A50">
        <w:t>(T1,T2,T3)-1</w:t>
      </w:r>
      <w:r w:rsidRPr="00CE5A50">
        <w:rPr>
          <w:rFonts w:eastAsia="Calibri"/>
          <w:lang w:eastAsia="en-US"/>
        </w:rPr>
        <w:t xml:space="preserve"> zoni,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-dio od 2.137 m² k.č. br. 270/9 od kojeg dijela  je 172 m² u </w:t>
      </w:r>
      <w:r w:rsidRPr="00CE5A50">
        <w:t>(T1,T2,T3)-1</w:t>
      </w:r>
      <w:r w:rsidRPr="00CE5A50">
        <w:rPr>
          <w:rFonts w:eastAsia="Calibri"/>
          <w:lang w:eastAsia="en-US"/>
        </w:rPr>
        <w:t xml:space="preserve"> zoni, a 1.965 m² u </w:t>
      </w:r>
      <w:r w:rsidRPr="00CE5A50">
        <w:t>(T1,T2,T3)-2 zoni,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lastRenderedPageBreak/>
        <w:t xml:space="preserve">-cijela k.č. br. 270/4 površine 1.592 m² u </w:t>
      </w:r>
      <w:r w:rsidRPr="00CE5A50">
        <w:t>(T1,T2,T3)-1</w:t>
      </w:r>
      <w:r w:rsidRPr="00CE5A50">
        <w:rPr>
          <w:rFonts w:eastAsia="Calibri"/>
          <w:lang w:eastAsia="en-US"/>
        </w:rPr>
        <w:t xml:space="preserve"> zoni, sve u vlasništvu Grada Pule,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-cijela k.č. br. 270/1 površine 32.248 m² u  </w:t>
      </w:r>
      <w:r w:rsidRPr="00CE5A50">
        <w:t>(T1,T2,T3)-2</w:t>
      </w:r>
      <w:r w:rsidRPr="00CE5A50">
        <w:rPr>
          <w:rFonts w:eastAsia="Calibri"/>
          <w:lang w:eastAsia="en-US"/>
        </w:rPr>
        <w:t xml:space="preserve"> zoni,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-cijela k.č. br. 256/3 površine 7.327 m² od koje je površina od 5.929 m² u </w:t>
      </w:r>
      <w:r w:rsidRPr="00CE5A50">
        <w:t xml:space="preserve">(T1,T2,T3)-2, a </w:t>
      </w:r>
      <w:r w:rsidRPr="00CE5A50">
        <w:rPr>
          <w:rFonts w:eastAsia="Calibri"/>
          <w:lang w:eastAsia="en-US"/>
        </w:rPr>
        <w:t>1.398  m² u zoni (R2),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-cijela k.č. br. 267/1 površine 1.783 m² od koje je površina od 1.748 m² u </w:t>
      </w:r>
      <w:r w:rsidRPr="00CE5A50">
        <w:t>(T1,T2,T3)-2, a 35</w:t>
      </w:r>
      <w:r w:rsidRPr="00CE5A50">
        <w:rPr>
          <w:rFonts w:eastAsia="Calibri"/>
          <w:lang w:eastAsia="en-US"/>
        </w:rPr>
        <w:t xml:space="preserve"> m² u zoni (R2),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-cijela k.č. br. 270/3 površine 378 m² u </w:t>
      </w:r>
      <w:r w:rsidRPr="00CE5A50">
        <w:t>(T1,T2,T3)-2 zoni, u suvlasništvu Republike Hrvatske  s 41358/41736 dijelova i Grada Pule s 378/41736 dijelova i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>-dio od 28.623 m² k.č. br. 244/1 u (R2) zoni koja čestica je u suvlasništvu  Republike Hrvatske s 35120/35562 dijelova i Grada Pule s 442/35562  dijelova,</w:t>
      </w:r>
    </w:p>
    <w:p w:rsidR="00CE5A50" w:rsidRPr="00CE5A50" w:rsidRDefault="00CE5A50" w:rsidP="00CE5A50">
      <w:pPr>
        <w:ind w:left="644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ind w:hanging="644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</w:r>
      <w:r w:rsidRPr="00CE5A50">
        <w:rPr>
          <w:rFonts w:eastAsia="Calibri"/>
          <w:lang w:eastAsia="en-US"/>
        </w:rPr>
        <w:tab/>
        <w:t>Na česticama zemljišta iz stavka 1. ove točke, ukupne okvirne površine 281.986 m² zemljišta u obuhvatu zone turističke namjene na području Hidrobaze, na površini od 164.181 m² planske namjene (T1, T2, T3)</w:t>
      </w:r>
      <w:r w:rsidRPr="00CE5A50">
        <w:t xml:space="preserve"> temeljem akata za provedbu prostornih planova formirat će se građevne čestice za izgradnju ugostiteljsko-turističkih građevina i pratećih sadržaja, </w:t>
      </w:r>
      <w:r w:rsidRPr="00CE5A50">
        <w:rPr>
          <w:rFonts w:eastAsia="Calibri"/>
          <w:lang w:eastAsia="en-US"/>
        </w:rPr>
        <w:t>a na površini od 117.805 m² planske namjene (R2),</w:t>
      </w:r>
      <w:r w:rsidRPr="00CE5A50">
        <w:t xml:space="preserve"> formirat će se građevne čestice i/ili utvrditi obuhvat zahvata u prostoru radi realizacije sadržaja ostale rekreacije, sve u skladu s </w:t>
      </w:r>
      <w:r w:rsidRPr="00CE5A50">
        <w:rPr>
          <w:rFonts w:eastAsia="Calibri"/>
          <w:lang w:eastAsia="en-US"/>
        </w:rPr>
        <w:t xml:space="preserve">Urbanističkim planom uređenja „Štinjan“ (Službene novine Grada Pule“, 11/15). </w:t>
      </w:r>
    </w:p>
    <w:p w:rsidR="0068057A" w:rsidRPr="00CE5A50" w:rsidRDefault="0068057A" w:rsidP="0068057A">
      <w:pPr>
        <w:ind w:left="644"/>
        <w:jc w:val="both"/>
        <w:rPr>
          <w:rFonts w:eastAsia="Calibri"/>
          <w:lang w:eastAsia="en-US"/>
        </w:rPr>
      </w:pPr>
    </w:p>
    <w:p w:rsidR="00C546CE" w:rsidRDefault="0068057A" w:rsidP="00C546CE">
      <w:pPr>
        <w:jc w:val="both"/>
      </w:pPr>
      <w:r>
        <w:tab/>
      </w:r>
      <w:r w:rsidR="00C546CE">
        <w:t>Površine čestica iz stavka 1. ove točke prenesene su iz baze zemljišnoknjižnih podataka te su</w:t>
      </w:r>
      <w:r w:rsidR="00C546CE" w:rsidRPr="00C546CE">
        <w:t xml:space="preserve"> </w:t>
      </w:r>
      <w:r w:rsidR="00C546CE">
        <w:t xml:space="preserve">u postupku izrade geodetskog elaborata za provedbu UPU Štinjan na dijelu zone turističke namjene Hidrobaza moguća neznatna odstupanja u površinama zbog transformacije koordinata čestica u novi koordinatni sustav HTRS 96/TM. </w:t>
      </w:r>
    </w:p>
    <w:p w:rsidR="00CE5A50" w:rsidRPr="00CE5A50" w:rsidRDefault="00CE5A50" w:rsidP="00CE5A50">
      <w:pPr>
        <w:ind w:left="709" w:hanging="709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spacing w:after="200" w:line="276" w:lineRule="auto"/>
        <w:ind w:left="709" w:hanging="283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>II. PRETHODNE NAPOMENE</w:t>
      </w:r>
      <w:bookmarkEnd w:id="1"/>
    </w:p>
    <w:p w:rsidR="00CE5A50" w:rsidRPr="00CE5A50" w:rsidRDefault="00CE5A50" w:rsidP="00CE5A50">
      <w:pPr>
        <w:spacing w:after="200" w:line="276" w:lineRule="auto"/>
        <w:rPr>
          <w:rFonts w:eastAsia="Calibri"/>
          <w:b/>
          <w:i/>
          <w:lang w:eastAsia="en-US"/>
        </w:rPr>
      </w:pPr>
      <w:r w:rsidRPr="00CE5A50">
        <w:rPr>
          <w:rFonts w:eastAsia="Calibri"/>
          <w:b/>
          <w:i/>
          <w:lang w:eastAsia="en-US"/>
        </w:rPr>
        <w:t>Važeći prostorni planovi na prostoru predmeta ponude:</w:t>
      </w:r>
    </w:p>
    <w:p w:rsidR="00CE5A50" w:rsidRPr="00CE5A50" w:rsidRDefault="00CE5A50" w:rsidP="00CE5A50">
      <w:pPr>
        <w:numPr>
          <w:ilvl w:val="0"/>
          <w:numId w:val="6"/>
        </w:numPr>
        <w:ind w:right="49"/>
        <w:jc w:val="both"/>
      </w:pPr>
      <w:r w:rsidRPr="00CE5A50">
        <w:t>Prostorni plan uređenja Grada Pule („Službene novine Grada Pule“ br. 12/06, 12/12, 5/14, 8/14-pročišćeni tekst, 7/15, 10/15-pročišćeni tekst, 5/16, 8/16-pročišćeni tekst, 2/17, 5/17, 8/17-pročišćeni tekst, 20/18 i 2/19),</w:t>
      </w:r>
    </w:p>
    <w:p w:rsidR="00CE5A50" w:rsidRPr="00CE5A50" w:rsidRDefault="00CE5A50" w:rsidP="00CE5A50">
      <w:pPr>
        <w:numPr>
          <w:ilvl w:val="0"/>
          <w:numId w:val="6"/>
        </w:numPr>
        <w:ind w:right="49"/>
        <w:jc w:val="both"/>
      </w:pPr>
      <w:r w:rsidRPr="00CE5A50">
        <w:t xml:space="preserve">Generalni urbanistički plan uređenja </w:t>
      </w:r>
      <w:bookmarkStart w:id="2" w:name="_Hlk535436966"/>
      <w:r w:rsidRPr="00CE5A50">
        <w:t xml:space="preserve">Grada Pule („Službene novine Grada Pule“ br. 5a/08, 12/12, 5/14, 8/14-pročišćeni tekst, 10/14, 13/14, 19/14-pročišćeni tekst, 7/15, 9/15-pročišćeni tekst, 2/17, 5/17, 9/17-pročišćeni tekst, 20/18 i 2/19), </w:t>
      </w:r>
      <w:bookmarkEnd w:id="2"/>
    </w:p>
    <w:p w:rsidR="00CE5A50" w:rsidRPr="00CE5A50" w:rsidRDefault="00CE5A50" w:rsidP="00CE5A50">
      <w:pPr>
        <w:numPr>
          <w:ilvl w:val="0"/>
          <w:numId w:val="6"/>
        </w:numPr>
        <w:ind w:right="49"/>
        <w:jc w:val="both"/>
      </w:pPr>
      <w:r w:rsidRPr="00CE5A50">
        <w:rPr>
          <w:rFonts w:eastAsia="Calibri"/>
          <w:lang w:eastAsia="en-US"/>
        </w:rPr>
        <w:t>Urbanistički plan uređenja „Štinjan“ (</w:t>
      </w:r>
      <w:r w:rsidR="00534C02">
        <w:rPr>
          <w:rFonts w:eastAsia="Calibri"/>
          <w:lang w:eastAsia="en-US"/>
        </w:rPr>
        <w:t>„</w:t>
      </w:r>
      <w:r w:rsidRPr="00CE5A50">
        <w:rPr>
          <w:rFonts w:eastAsia="Calibri"/>
          <w:lang w:eastAsia="en-US"/>
        </w:rPr>
        <w:t xml:space="preserve">Službene novine </w:t>
      </w:r>
      <w:r w:rsidR="00534C02">
        <w:rPr>
          <w:rFonts w:eastAsia="Calibri"/>
          <w:lang w:eastAsia="en-US"/>
        </w:rPr>
        <w:t>G</w:t>
      </w:r>
      <w:r w:rsidRPr="00CE5A50">
        <w:rPr>
          <w:rFonts w:eastAsia="Calibri"/>
          <w:lang w:eastAsia="en-US"/>
        </w:rPr>
        <w:t xml:space="preserve">rada Pule“, br. 11/15) </w:t>
      </w:r>
    </w:p>
    <w:p w:rsidR="00CE5A50" w:rsidRPr="00CE5A50" w:rsidRDefault="00CE5A50" w:rsidP="00CE5A50">
      <w:pPr>
        <w:ind w:right="49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ind w:right="49"/>
        <w:jc w:val="both"/>
      </w:pPr>
      <w:r w:rsidRPr="00CE5A50">
        <w:rPr>
          <w:rFonts w:eastAsia="Calibri"/>
          <w:lang w:eastAsia="en-US"/>
        </w:rPr>
        <w:tab/>
        <w:t>Urbanističkim planom uređenja „Štinjan“, (u daljnjem tekstu: UPU Štinjan) na području Hidrobaze planirana je:</w:t>
      </w:r>
    </w:p>
    <w:p w:rsidR="00CE5A50" w:rsidRPr="00CE5A50" w:rsidRDefault="00CE5A50" w:rsidP="00CE5A50">
      <w:pPr>
        <w:numPr>
          <w:ilvl w:val="0"/>
          <w:numId w:val="6"/>
        </w:numPr>
        <w:ind w:left="1349" w:right="51" w:hanging="357"/>
        <w:jc w:val="both"/>
      </w:pPr>
      <w:r w:rsidRPr="00CE5A50">
        <w:rPr>
          <w:rFonts w:eastAsia="Calibri"/>
          <w:lang w:eastAsia="en-US"/>
        </w:rPr>
        <w:t>zona ugostiteljsko-turističke namjene (T1,T2,T3)-1, okvirne površine 93.960 m² i maksimalnog kapaciteta 800 kreveta, kategorizirano s minimalno 4 zvjezdice,</w:t>
      </w:r>
    </w:p>
    <w:p w:rsidR="00CE5A50" w:rsidRPr="00CE5A50" w:rsidRDefault="00CE5A50" w:rsidP="00CE5A50">
      <w:pPr>
        <w:numPr>
          <w:ilvl w:val="0"/>
          <w:numId w:val="6"/>
        </w:numPr>
        <w:ind w:left="1349" w:right="51" w:hanging="357"/>
        <w:jc w:val="both"/>
      </w:pPr>
      <w:r w:rsidRPr="00CE5A50">
        <w:rPr>
          <w:rFonts w:eastAsia="Calibri"/>
          <w:lang w:eastAsia="en-US"/>
        </w:rPr>
        <w:t xml:space="preserve">zona ugostiteljsko-turističke namjene (T1,T2,T3)-2, okvirne površine 70.221 m² od koje površine je 41.736 m² na kulturnom dobru, maksimalnog kapaciteta 400 kreveta, kategorizirano s minimalno 4 zvjezdice, </w:t>
      </w:r>
    </w:p>
    <w:p w:rsidR="00CE5A50" w:rsidRPr="00CE5A50" w:rsidRDefault="00CE5A50" w:rsidP="00CE5A50">
      <w:pPr>
        <w:numPr>
          <w:ilvl w:val="0"/>
          <w:numId w:val="6"/>
        </w:numPr>
        <w:ind w:left="1349" w:right="51" w:hanging="357"/>
        <w:jc w:val="both"/>
      </w:pPr>
      <w:r w:rsidRPr="00CE5A50">
        <w:rPr>
          <w:rFonts w:eastAsia="Calibri"/>
          <w:lang w:eastAsia="en-US"/>
        </w:rPr>
        <w:lastRenderedPageBreak/>
        <w:t>zona ostale rekreacije R2, okvirne površine 117.805 m² u okviru koje se mogu graditi i uređivati otvorena rekreacijska igrališta bez tribina, trim, biciklističke i pješačke staze,</w:t>
      </w:r>
    </w:p>
    <w:p w:rsidR="00CE5A50" w:rsidRPr="00CE5A50" w:rsidRDefault="00CE5A50" w:rsidP="00CE5A50">
      <w:pPr>
        <w:numPr>
          <w:ilvl w:val="0"/>
          <w:numId w:val="6"/>
        </w:numPr>
        <w:ind w:left="1349" w:right="51" w:hanging="357"/>
        <w:jc w:val="both"/>
        <w:rPr>
          <w:b/>
          <w:i/>
        </w:rPr>
      </w:pPr>
      <w:r w:rsidRPr="00CE5A50">
        <w:rPr>
          <w:rFonts w:eastAsia="Calibri"/>
          <w:lang w:eastAsia="en-US"/>
        </w:rPr>
        <w:t xml:space="preserve">unutar površina ugostiteljsko–turističke namjene mogu se graditi i uređivati prateći sadržaji (ugostiteljstvo, zabava, trgovine, uprava, sport, rekreacija i sl., (u daljnjem tekstu za sve sadržaje u obuhvatu zone turističke namjene Hidrobaza koristit će se termin: turistička zona Hidrobaza). </w:t>
      </w:r>
    </w:p>
    <w:p w:rsidR="00CE5A50" w:rsidRPr="00CE5A50" w:rsidRDefault="00CE5A50" w:rsidP="00CE5A50">
      <w:pPr>
        <w:ind w:right="49"/>
        <w:jc w:val="both"/>
        <w:rPr>
          <w:b/>
          <w:i/>
        </w:rPr>
      </w:pPr>
    </w:p>
    <w:p w:rsidR="00CE5A50" w:rsidRPr="00CE5A50" w:rsidRDefault="00CE5A50" w:rsidP="00CE5A50">
      <w:pPr>
        <w:ind w:right="49"/>
        <w:jc w:val="both"/>
        <w:rPr>
          <w:b/>
          <w:i/>
        </w:rPr>
      </w:pPr>
      <w:r w:rsidRPr="00CE5A50">
        <w:rPr>
          <w:b/>
          <w:i/>
        </w:rPr>
        <w:t>Posebne napomene u odnosu na predmet ponude:</w:t>
      </w:r>
    </w:p>
    <w:p w:rsidR="00CE5A50" w:rsidRPr="00CE5A50" w:rsidRDefault="00CE5A50" w:rsidP="00CE5A50">
      <w:pPr>
        <w:ind w:right="49"/>
        <w:jc w:val="both"/>
        <w:rPr>
          <w:b/>
          <w:i/>
        </w:rPr>
      </w:pPr>
    </w:p>
    <w:p w:rsidR="00CE5A50" w:rsidRPr="00CE5A50" w:rsidRDefault="00CE5A50" w:rsidP="00CE5A50">
      <w:pPr>
        <w:ind w:right="49" w:hanging="360"/>
        <w:jc w:val="both"/>
      </w:pPr>
      <w:r w:rsidRPr="00CE5A50">
        <w:tab/>
        <w:t xml:space="preserve">Unutar turističke zone Hidrobaza, na česticama zemljišta označenim kao k.č. br. 270/1 površine 32.248 m², k.č. br. 267/1 površine 1.783 m², k.č. br. 256/3 površine 7.327 m² i k.č. br. 270/3 površine 378 m² (koje će se parcelacijom spojiti u jednu katastarsku-građevnu česticu površine 41.736 m²) nalazi se nepokretno kulturno dobro- Kompleks nekadašnje Mornaričke zrakoplovne postaje Hidrobaza-Puntižela kod Štinjana </w:t>
      </w:r>
      <w:r w:rsidR="0065052A">
        <w:t>koje je r</w:t>
      </w:r>
      <w:r w:rsidR="0065052A" w:rsidRPr="00CE5A50">
        <w:t>ješenj</w:t>
      </w:r>
      <w:r w:rsidR="0065052A">
        <w:t xml:space="preserve">ima Ministarstva kulture, Uprave za zaštitu kulturne baštine KLASA: UP/I-612-08/12-06/0024, URBROJ 532-04-01-01/3-12-1 </w:t>
      </w:r>
      <w:r w:rsidR="0065052A" w:rsidRPr="00CE5A50">
        <w:t xml:space="preserve">od 24.02.2012. i </w:t>
      </w:r>
      <w:r w:rsidR="0065052A">
        <w:t xml:space="preserve">KLASA: UP/I-612-08/12-06/0024, URBROJ 532-04-01-03-02/2-15-13 </w:t>
      </w:r>
      <w:r w:rsidR="0065052A" w:rsidRPr="00CE5A50">
        <w:t>od 30.03. 2015.</w:t>
      </w:r>
      <w:r w:rsidR="0065052A">
        <w:t xml:space="preserve"> </w:t>
      </w:r>
      <w:r w:rsidRPr="00CE5A50">
        <w:t>uneseno u Registar kulturnih dobara Republike Hrvatske, Listu zaštićenih kulturnih dobara, br. registra: Z-5546.</w:t>
      </w:r>
    </w:p>
    <w:p w:rsidR="00CE5A50" w:rsidRPr="00CE5A50" w:rsidRDefault="00CE5A50" w:rsidP="00CE5A50">
      <w:pPr>
        <w:ind w:right="49" w:hanging="360"/>
        <w:jc w:val="both"/>
      </w:pPr>
      <w:r w:rsidRPr="00CE5A50">
        <w:tab/>
        <w:t>Područje nekadašnje Mornaričke zrakoplovne postaje Hidrobaza-Puntižela s pratećim objektima ima arhitektonske, krajobrazne i povijesne vrijednosti koje se vežu uz nastanak i razvoj pulskog zrakoplovnog arsenala. U obuhvatu kompleksa nekadašnje mornaričke zrakoplovne postaje Hidrobaza-Puntižela nalaze se djelomično očuvana 4 objekta značajne spomeničke vrijednosti od kojih se tri objekta moraju očuvati i obnoviti metodama znanstvene obrade vraćanjem građevina ili dijelova građevina u izvorno stanje. Uz navedene građevine mogu se izvoditi nove koje će se s osnovnim građevinama povezati kontaktnim konstrukcijama (zglobovima).</w:t>
      </w:r>
    </w:p>
    <w:p w:rsidR="00CE5A50" w:rsidRPr="00CE5A50" w:rsidRDefault="00CE5A50" w:rsidP="00CE5A50">
      <w:pPr>
        <w:ind w:right="49" w:hanging="360"/>
        <w:jc w:val="both"/>
      </w:pPr>
      <w:r w:rsidRPr="00CE5A50">
        <w:tab/>
        <w:t>Tri objekta unutar kompleksa nekadašnje Mornaričke zrakoplovne postaje Hidrobaza-Puntižela su, sukladno UPU Štinjan, svrstani u kategoriju visoke spomeničke vrijednost (A2).</w:t>
      </w:r>
    </w:p>
    <w:p w:rsidR="00CE5A50" w:rsidRPr="00CE5A50" w:rsidRDefault="00CE5A50" w:rsidP="00CE5A50">
      <w:pPr>
        <w:ind w:right="49"/>
        <w:jc w:val="both"/>
      </w:pPr>
      <w:r w:rsidRPr="00CE5A50">
        <w:t xml:space="preserve">Obnovu i rekonstrukciju građevina unutar zaštićenog kulturnog dobra potrebno je provesti sukladno </w:t>
      </w:r>
      <w:r w:rsidR="00F873C9">
        <w:t xml:space="preserve">UPU Štinjan, </w:t>
      </w:r>
      <w:r w:rsidRPr="00CE5A50">
        <w:t>Detaljnoj konzervatorskoj podlozi izrađenoj u postupku donošenja prostornih planova te uvjetima koje izdaje Ministarstvo kulture, Konzervatorski odjel u Puli.</w:t>
      </w:r>
    </w:p>
    <w:p w:rsidR="00CE5A50" w:rsidRPr="00CE5A50" w:rsidRDefault="00CE5A50" w:rsidP="00CE5A50">
      <w:pPr>
        <w:ind w:right="49"/>
        <w:jc w:val="both"/>
      </w:pPr>
      <w:r w:rsidRPr="00CE5A50">
        <w:t xml:space="preserve">Unutar zaštićenog lokaliteta, pored građevina kojima je utvrđen status kulturnog dobra,  moguć je pronalazak i daljnjih arheoloških lokaliteta pa je u postupku utvrđivanja uvjeta gradnje i rekonstrukcije u zaštićenom području potrebno provesti prethodno arheološko  istraživanje uz arheološki nadzor u izvođenju. Isto tako, moguć je pronalazak arheoloških lokaliteta i na prostoru izvan već zaštićenog područja, a u granicama obuhvata namjenskih zona. </w:t>
      </w:r>
    </w:p>
    <w:p w:rsidR="00CE5A50" w:rsidRDefault="00CE5A50" w:rsidP="00CE5A50">
      <w:pPr>
        <w:ind w:right="49"/>
        <w:jc w:val="both"/>
        <w:rPr>
          <w:b/>
          <w:i/>
        </w:rPr>
      </w:pPr>
    </w:p>
    <w:p w:rsidR="00CE5A50" w:rsidRPr="00CE5A50" w:rsidRDefault="00CE5A50" w:rsidP="00CE5A50">
      <w:pPr>
        <w:ind w:right="49"/>
        <w:jc w:val="both"/>
        <w:rPr>
          <w:b/>
          <w:i/>
        </w:rPr>
      </w:pPr>
      <w:r w:rsidRPr="00CE5A50">
        <w:rPr>
          <w:b/>
          <w:i/>
        </w:rPr>
        <w:t>Opremljenost turističke zone Hidrobaza komunalnom i drugom infrastrukturom</w:t>
      </w:r>
    </w:p>
    <w:p w:rsidR="00CE5A50" w:rsidRPr="00CE5A50" w:rsidRDefault="00CE5A50" w:rsidP="00CE5A50">
      <w:pPr>
        <w:ind w:right="49"/>
        <w:jc w:val="both"/>
        <w:rPr>
          <w:b/>
          <w:i/>
        </w:rPr>
      </w:pPr>
    </w:p>
    <w:p w:rsidR="00CE5A50" w:rsidRPr="00CE5A50" w:rsidRDefault="00CE5A50" w:rsidP="00CE5A50">
      <w:pPr>
        <w:ind w:right="49"/>
        <w:jc w:val="both"/>
      </w:pPr>
      <w:r w:rsidRPr="00CE5A50">
        <w:t xml:space="preserve">Za područje obuhvata turističke zone Hidrobaza, Grad Pula će, u skladu s prostorno planskim uvjetima, osigurati preduvjete za izgradnju, dogradnju ili rekonstrukciju komunalne infrastrukture koja se financira iz sredstava komunalnog doprinosa (prometne površine, javna parkirališta, javna rasvjeta i oborinska odvodnja) te istu izgraditi, dograditi i rekonstruirati u vrijednosti radova do visine komunalnog doprinosa koji će odabrani najpovoljniji ponuditelj, kao investitor, biti obvezan platiti na ime realizacije </w:t>
      </w:r>
      <w:r w:rsidRPr="00CE5A50">
        <w:lastRenderedPageBreak/>
        <w:t xml:space="preserve">sadržaja u obuhvatu projekta Hidrobaza, dok će preostali dio troškova potrebnih za izvođenje daljnjih radova na navedenoj infrastrukturi, za potrebe predmetnog projekta, biti na teret investitora. </w:t>
      </w:r>
    </w:p>
    <w:p w:rsidR="00CE5A50" w:rsidRPr="00CE5A50" w:rsidRDefault="00CE5A50" w:rsidP="00CE5A50">
      <w:pPr>
        <w:ind w:right="49"/>
        <w:jc w:val="both"/>
      </w:pPr>
      <w:r w:rsidRPr="00CE5A50">
        <w:t>Grad Pula će osigurati preduvjete za izgradnju, dogradnju ili proširenje Elektroničke komunikacijske infrastrukture (EKI), javne vodoopskrbe i odvodnje dok će izgradnja, dogradnja ili rekonstrukcija iste za potrebe projekta biti na teret investitora.</w:t>
      </w:r>
    </w:p>
    <w:p w:rsidR="00CE5A50" w:rsidRPr="00CE5A50" w:rsidRDefault="00CE5A50" w:rsidP="00CE5A50">
      <w:pPr>
        <w:ind w:right="49"/>
        <w:jc w:val="both"/>
        <w:rPr>
          <w:b/>
          <w:i/>
        </w:rPr>
      </w:pPr>
    </w:p>
    <w:p w:rsidR="00CE5A50" w:rsidRPr="00CE5A50" w:rsidRDefault="00CE5A50" w:rsidP="00CE5A50">
      <w:pPr>
        <w:ind w:right="49"/>
        <w:jc w:val="both"/>
        <w:rPr>
          <w:b/>
          <w:i/>
        </w:rPr>
      </w:pPr>
      <w:r w:rsidRPr="00CE5A50">
        <w:rPr>
          <w:b/>
          <w:i/>
        </w:rPr>
        <w:t>Mogućnost dodatnih informacija o predmeta ponude:</w:t>
      </w:r>
    </w:p>
    <w:p w:rsidR="00CE5A50" w:rsidRPr="00CE5A50" w:rsidRDefault="00CE5A50" w:rsidP="00CE5A50">
      <w:pPr>
        <w:ind w:right="49" w:hanging="660"/>
        <w:jc w:val="both"/>
      </w:pPr>
    </w:p>
    <w:p w:rsidR="00CE5A50" w:rsidRPr="00CE5A50" w:rsidRDefault="00CE5A50" w:rsidP="00CE5A50">
      <w:pPr>
        <w:numPr>
          <w:ilvl w:val="0"/>
          <w:numId w:val="11"/>
        </w:numPr>
        <w:ind w:right="49"/>
        <w:jc w:val="both"/>
      </w:pPr>
      <w:r w:rsidRPr="00CE5A50">
        <w:t xml:space="preserve">Ponuditelji se pozivaju izvršiti uvid u službena glasila Istarske županije i Grada Pule, javne registre nekretnina (zemljišne knjige, katastar, Registar kulturnih dobara Republike Hrvatske-lista zaštićenih kulturnih dobara, lista kulturnih dobara nacionalnog značenja i lista preventivno zaštićenih dobara) u svrhu informiranja o eventualnim javnopravnim ograničenjima. </w:t>
      </w:r>
    </w:p>
    <w:p w:rsidR="00CE5A50" w:rsidRPr="00CE5A50" w:rsidRDefault="00CE5A50" w:rsidP="00CE5A50">
      <w:pPr>
        <w:ind w:right="49" w:hanging="720"/>
        <w:jc w:val="both"/>
      </w:pPr>
    </w:p>
    <w:p w:rsidR="00CE5A50" w:rsidRDefault="00CE5A50" w:rsidP="00CE5A50">
      <w:pPr>
        <w:numPr>
          <w:ilvl w:val="0"/>
          <w:numId w:val="11"/>
        </w:numPr>
        <w:ind w:right="49"/>
        <w:jc w:val="both"/>
      </w:pPr>
      <w:r w:rsidRPr="00CE5A50">
        <w:t xml:space="preserve">Ponuditeljima će se omogućiti pregled nekretnina u obuhvatu zone svakim radnim danom uz prethodnu najavu Gradu Puli na adresi: Forum 2 (soba 45, II. kat) Pula, Republika Hrvatska, Telefon: 052/371-868, Fax: 052/216-395, E-mail adresa: </w:t>
      </w:r>
      <w:hyperlink r:id="rId9" w:history="1">
        <w:r w:rsidRPr="00CE5A50">
          <w:rPr>
            <w:color w:val="0000FF"/>
            <w:u w:val="single"/>
          </w:rPr>
          <w:t>robert.stemberger@pula.hr</w:t>
        </w:r>
      </w:hyperlink>
      <w:r w:rsidRPr="00CE5A50">
        <w:t>, najkasnije do isteka roka za dostavu ponuda.</w:t>
      </w:r>
    </w:p>
    <w:p w:rsidR="00B0730A" w:rsidRDefault="00B0730A" w:rsidP="00B0730A">
      <w:pPr>
        <w:pStyle w:val="ListParagraph"/>
      </w:pPr>
    </w:p>
    <w:p w:rsidR="00B0730A" w:rsidRPr="00CE5A50" w:rsidRDefault="00B0730A" w:rsidP="00B0730A">
      <w:pPr>
        <w:ind w:left="360" w:right="49"/>
        <w:jc w:val="both"/>
      </w:pPr>
    </w:p>
    <w:p w:rsidR="00CE5A50" w:rsidRPr="00CE5A50" w:rsidRDefault="00CE5A50" w:rsidP="00CE5A50">
      <w:pPr>
        <w:keepNext/>
        <w:numPr>
          <w:ilvl w:val="0"/>
          <w:numId w:val="8"/>
        </w:numPr>
        <w:outlineLvl w:val="0"/>
        <w:rPr>
          <w:b/>
          <w:bCs/>
          <w:smallCaps/>
          <w:kern w:val="32"/>
          <w:lang w:eastAsia="en-US"/>
        </w:rPr>
      </w:pPr>
      <w:r w:rsidRPr="00CE5A50">
        <w:rPr>
          <w:b/>
          <w:bCs/>
          <w:smallCaps/>
          <w:kern w:val="32"/>
          <w:lang w:eastAsia="en-US"/>
        </w:rPr>
        <w:t xml:space="preserve"> UVJETI  ZA PONUDITELJE </w:t>
      </w:r>
    </w:p>
    <w:p w:rsidR="00CE5A50" w:rsidRPr="00CE5A50" w:rsidRDefault="00CE5A50" w:rsidP="00CE5A50">
      <w:pPr>
        <w:jc w:val="both"/>
      </w:pPr>
    </w:p>
    <w:p w:rsidR="00B0730A" w:rsidRDefault="00CE5A50" w:rsidP="00B0730A">
      <w:pPr>
        <w:jc w:val="both"/>
      </w:pPr>
      <w:r w:rsidRPr="00CE5A50">
        <w:tab/>
      </w:r>
      <w:r w:rsidR="00B0730A" w:rsidRPr="00BA79B8">
        <w:t>Ponuditelj mo</w:t>
      </w:r>
      <w:r w:rsidR="00B0730A">
        <w:t>že</w:t>
      </w:r>
      <w:r w:rsidR="00B0730A" w:rsidRPr="00BA79B8">
        <w:t xml:space="preserve"> biti pravn</w:t>
      </w:r>
      <w:r w:rsidR="00B0730A">
        <w:t>a</w:t>
      </w:r>
      <w:r w:rsidR="00B0730A" w:rsidRPr="00BA79B8">
        <w:t xml:space="preserve"> osobe koj</w:t>
      </w:r>
      <w:r w:rsidR="00B0730A">
        <w:t>a</w:t>
      </w:r>
      <w:r w:rsidR="00B0730A" w:rsidRPr="00BA79B8">
        <w:t xml:space="preserve"> ima sjedište u Republici Hrvatskoj ili državi koja čini Europski gospodarski prostor te fizičk</w:t>
      </w:r>
      <w:r w:rsidR="00B0730A">
        <w:t>a</w:t>
      </w:r>
      <w:r w:rsidR="00B0730A" w:rsidRPr="00BA79B8">
        <w:t xml:space="preserve"> osob</w:t>
      </w:r>
      <w:r w:rsidR="00855F49">
        <w:t>a</w:t>
      </w:r>
      <w:r w:rsidR="00B0730A" w:rsidRPr="00BA79B8">
        <w:t>-obrtni</w:t>
      </w:r>
      <w:r w:rsidR="00B0730A">
        <w:t>k</w:t>
      </w:r>
      <w:r w:rsidR="00B0730A" w:rsidRPr="00BA79B8">
        <w:t xml:space="preserve"> koji u obrtnom registru ima upisanu turističko-ugostiteljsku djelatnost i koj</w:t>
      </w:r>
      <w:r w:rsidR="00B0730A">
        <w:t>i</w:t>
      </w:r>
      <w:r w:rsidR="00B0730A" w:rsidRPr="00BA79B8">
        <w:t xml:space="preserve"> ima državljanstvo Republike Hrvatske, državljanstvo država koje čine Europski gospodarski prostor te državljani</w:t>
      </w:r>
      <w:r w:rsidR="00B0730A">
        <w:t xml:space="preserve">n </w:t>
      </w:r>
      <w:r w:rsidR="00B0730A" w:rsidRPr="00BA79B8">
        <w:t>on</w:t>
      </w:r>
      <w:r w:rsidR="00B0730A">
        <w:t>e</w:t>
      </w:r>
      <w:r w:rsidR="00B0730A" w:rsidRPr="00BA79B8">
        <w:t xml:space="preserve"> držav</w:t>
      </w:r>
      <w:r w:rsidR="00B0730A">
        <w:t>e</w:t>
      </w:r>
      <w:r w:rsidR="00B0730A" w:rsidRPr="00BA79B8">
        <w:t xml:space="preserve"> s koj</w:t>
      </w:r>
      <w:r w:rsidR="00B0730A">
        <w:t>om</w:t>
      </w:r>
      <w:r w:rsidR="00B0730A" w:rsidRPr="00BA79B8">
        <w:t xml:space="preserve"> Republika Hrvatska ima </w:t>
      </w:r>
      <w:r w:rsidR="00855F49">
        <w:t>u</w:t>
      </w:r>
      <w:r w:rsidR="00B0730A" w:rsidRPr="00BA79B8">
        <w:t>govor o reciprocitetu stjecanja nekretnina.</w:t>
      </w:r>
    </w:p>
    <w:p w:rsidR="00CE5A50" w:rsidRPr="00CE5A50" w:rsidRDefault="00CE5A50" w:rsidP="00CE5A50">
      <w:pPr>
        <w:jc w:val="both"/>
        <w:rPr>
          <w:highlight w:val="yellow"/>
        </w:rPr>
      </w:pPr>
    </w:p>
    <w:p w:rsidR="00CE5A50" w:rsidRPr="00CE5A50" w:rsidRDefault="00CE5A50" w:rsidP="00CE5A50">
      <w:pPr>
        <w:jc w:val="both"/>
      </w:pPr>
      <w:r w:rsidRPr="00CE5A50">
        <w:tab/>
        <w:t>Ponuditelj mora:</w:t>
      </w:r>
    </w:p>
    <w:p w:rsidR="00CE5A50" w:rsidRPr="00CE5A50" w:rsidRDefault="00CE5A50" w:rsidP="00CE5A50">
      <w:pPr>
        <w:numPr>
          <w:ilvl w:val="0"/>
          <w:numId w:val="9"/>
        </w:numPr>
        <w:ind w:left="360"/>
        <w:jc w:val="both"/>
      </w:pPr>
      <w:r w:rsidRPr="00CE5A50">
        <w:t xml:space="preserve">dostaviti ponudu za osnivanje prava građenja u svrhu izgradnje turističke zone Hidrobaza, </w:t>
      </w:r>
    </w:p>
    <w:p w:rsidR="00CE5A50" w:rsidRPr="00CE5A50" w:rsidRDefault="00CE5A50" w:rsidP="00CE5A50">
      <w:pPr>
        <w:numPr>
          <w:ilvl w:val="0"/>
          <w:numId w:val="10"/>
        </w:numPr>
        <w:ind w:left="360"/>
        <w:jc w:val="both"/>
      </w:pPr>
      <w:r w:rsidRPr="00CE5A50">
        <w:t>dostaviti idejni projekt sadržaja u obuhvatu turističke zone Hidrobaza, usklađen s prostornim planom</w:t>
      </w:r>
    </w:p>
    <w:p w:rsidR="00CE5A50" w:rsidRPr="00CE5A50" w:rsidRDefault="00CE5A50" w:rsidP="00CE5A50">
      <w:pPr>
        <w:numPr>
          <w:ilvl w:val="0"/>
          <w:numId w:val="2"/>
        </w:numPr>
        <w:ind w:left="360"/>
        <w:jc w:val="both"/>
      </w:pPr>
      <w:r w:rsidRPr="00CE5A50">
        <w:t xml:space="preserve">izvršenje ugovorne obveze izgradnje turističke zone Hidrobaza sukladno dostavljenom idejnom projektu jamčiti predajom bezuvjetne, neopozive i na prvi poziv naplative bankarske garancije u izvornom obliku u iznosu 10.000.000,00 kuna, izdane u korist Republike Hrvatske, Ministarstva državne imovine od banke koja u godini koja prethodi godini u kojoj se objavljuje ovaj Javni poziv ima kreditni rejting najmanje BBB prema Standard and Poor's Bank Rating Guide ili banke koja posluje u Republici Hrvatskoj i koja je temeljem revidiranog financijskog izvješća na dan 31. prosinca 2018. iskazala vrijednost ukupne imovine veću od 10.000.000.000,00 kuna s rokom važnosti za 3 mjeseca dužim od ugovorenog roka za realizaciju izgradnje turističke zone Hidrobaza u skladu s uvjetima iz ovog Javnog poziva, s tim što se u prilogu ponude dostavlja pismo namjere banke da će izdati navedenu bankarsku garanciju, a predaja iste uvjet je za sklapanje ugovora o osnivanju prava građenja,  </w:t>
      </w:r>
    </w:p>
    <w:p w:rsidR="00CE5A50" w:rsidRPr="00CE5A50" w:rsidRDefault="00CE5A50" w:rsidP="00CE5A50">
      <w:pPr>
        <w:numPr>
          <w:ilvl w:val="0"/>
          <w:numId w:val="2"/>
        </w:numPr>
        <w:ind w:left="360"/>
        <w:jc w:val="both"/>
      </w:pPr>
      <w:r w:rsidRPr="00CE5A50">
        <w:t>za ozbiljnost ponude jamčiti predajom neopozive, bezuvjetne i na prvi poziv naplative bankarske garancije u izvornom obliku, u iznosa od 2.000.000,00 kuna, izdanu u korist Republike Hrvatske Ministarstva državne imovine od banke koja ispunjava uvjete iz pod</w:t>
      </w:r>
      <w:r w:rsidR="003E7DF2">
        <w:t>stavka</w:t>
      </w:r>
      <w:r w:rsidRPr="00CE5A50">
        <w:t xml:space="preserve"> 3. ovog stavka, s rokom važenja za 3 mjeseca dužim od roka koji </w:t>
      </w:r>
      <w:r w:rsidRPr="00CE5A50">
        <w:lastRenderedPageBreak/>
        <w:t xml:space="preserve">je određen kao krajnji rok za sklapanje ugovora o osnivanju prava građenja, a najduže dvije godine, </w:t>
      </w:r>
      <w:bookmarkStart w:id="3" w:name="_Hlk535441562"/>
    </w:p>
    <w:p w:rsidR="00CE5A50" w:rsidRDefault="00CE5A50" w:rsidP="00CE5A50">
      <w:pPr>
        <w:numPr>
          <w:ilvl w:val="0"/>
          <w:numId w:val="2"/>
        </w:numPr>
        <w:ind w:left="360"/>
        <w:jc w:val="both"/>
      </w:pPr>
      <w:r w:rsidRPr="00CE5A50">
        <w:t>ispravama iz točke VIII. ovog Javnog poziva dokazati sposobnost biti ponuditelj</w:t>
      </w:r>
      <w:r w:rsidR="003E7DF2">
        <w:t>.</w:t>
      </w:r>
    </w:p>
    <w:p w:rsidR="003E7DF2" w:rsidRPr="00CE5A50" w:rsidRDefault="003E7DF2" w:rsidP="00CE5A50">
      <w:pPr>
        <w:numPr>
          <w:ilvl w:val="0"/>
          <w:numId w:val="2"/>
        </w:numPr>
        <w:ind w:left="360"/>
        <w:jc w:val="both"/>
      </w:pPr>
    </w:p>
    <w:p w:rsidR="00CE5A50" w:rsidRPr="00CE5A50" w:rsidRDefault="00CE5A50" w:rsidP="00CE5A50">
      <w:pPr>
        <w:jc w:val="both"/>
      </w:pPr>
      <w:r w:rsidRPr="00CE5A50">
        <w:tab/>
        <w:t>U trenutku podnošenja ponude po ovom Javnom pozivu, kao i u trenutku sklapanja ugovora o osnivanju prava građenja ponuditelj niti njegov osnivač ne smije imati nepodmirenih dospjelih novčanih obveza prema Republici Hrvatskoj, Ministarstvu državne imovine</w:t>
      </w:r>
      <w:r w:rsidR="00000FD7">
        <w:t>,</w:t>
      </w:r>
      <w:r w:rsidRPr="00CE5A50">
        <w:t xml:space="preserve"> Gradu Puli i trgovačkom društvu Državne nekretnine d.o.o. što će se provjeriti uvidom u službene evidencije nadležnih tijela u Republici Hrvatskoj, Gradu Puli i trgovačkom društvu Državne nekretnine d.o.o., Zagreb. </w:t>
      </w:r>
    </w:p>
    <w:p w:rsidR="00CE5A50" w:rsidRPr="00CE5A50" w:rsidRDefault="00CE5A50" w:rsidP="00CE5A50">
      <w:pPr>
        <w:jc w:val="both"/>
      </w:pPr>
    </w:p>
    <w:bookmarkEnd w:id="3"/>
    <w:p w:rsidR="00CE5A50" w:rsidRPr="00CE5A50" w:rsidRDefault="00CE5A50" w:rsidP="00CE5A50">
      <w:pPr>
        <w:numPr>
          <w:ilvl w:val="0"/>
          <w:numId w:val="8"/>
        </w:numPr>
        <w:jc w:val="both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 xml:space="preserve"> UVJETI ZA PONUDU </w:t>
      </w:r>
    </w:p>
    <w:p w:rsidR="00CE5A50" w:rsidRPr="00CE5A50" w:rsidRDefault="00CE5A50" w:rsidP="00CE5A50">
      <w:pPr>
        <w:ind w:left="1080"/>
        <w:jc w:val="both"/>
        <w:rPr>
          <w:rFonts w:eastAsia="Calibri"/>
          <w:b/>
          <w:lang w:eastAsia="en-US"/>
        </w:rPr>
      </w:pPr>
    </w:p>
    <w:p w:rsidR="00CE5A50" w:rsidRPr="00CE5A50" w:rsidRDefault="00CE5A50" w:rsidP="00CE5A50">
      <w:pPr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Ponuda se daje na obrascu koji je u prilogu ovog Javnog poziva.</w:t>
      </w:r>
    </w:p>
    <w:p w:rsidR="00CE5A50" w:rsidRPr="00CE5A50" w:rsidRDefault="00CE5A50" w:rsidP="00CE5A50">
      <w:pPr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jc w:val="both"/>
      </w:pPr>
      <w:r w:rsidRPr="00CE5A50">
        <w:rPr>
          <w:rFonts w:eastAsia="Calibri"/>
          <w:lang w:eastAsia="en-US"/>
        </w:rPr>
        <w:tab/>
        <w:t xml:space="preserve">Ponuda mora obvezivati ponuditelje do dana sklapanja ugovora </w:t>
      </w:r>
      <w:r w:rsidRPr="00CE5A50">
        <w:t xml:space="preserve">između Republike Hrvatske i Grada Pule-Pola, s jedne strane i izabranog ponuditelja, s druge strane, radi uređenja međusobnih odnosa (u daljnjem tekstu: ugovor o uređenju međusobnih odnosa) kojim će se Republika Hrvatska i Grad Pula, s jedne strane i izabrani ponuditelj, s druge strane, obvezati na sklapanje ugovora o osnivanju prava građenja. </w:t>
      </w:r>
    </w:p>
    <w:p w:rsidR="00CE5A50" w:rsidRPr="00CE5A50" w:rsidRDefault="00CE5A50" w:rsidP="00CE5A50">
      <w:pPr>
        <w:jc w:val="both"/>
      </w:pPr>
    </w:p>
    <w:p w:rsidR="00CE5A50" w:rsidRPr="00CE5A50" w:rsidRDefault="00CE5A50" w:rsidP="00CE5A50">
      <w:pPr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Ponuda i prilozi dostavljaju se u pisanom obliku, napisane neizbrisivim otiskom, na hrvatskom jeziku i latiničnom pismu.</w:t>
      </w:r>
    </w:p>
    <w:p w:rsidR="00CE5A50" w:rsidRPr="00CE5A50" w:rsidRDefault="00CE5A50" w:rsidP="00CE5A50">
      <w:pPr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Ponuda mora biti potpisana od osobe koja je zakonski zastupnik ponuditelja ili njegov punomoćnik, a ako je ponuditelj fizička osoba (obrtnik), osobno ili po punomoćniku.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Ponuda i prilozi dostavljaju se u izvorniku ili ovjerenim preslikama.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Uz priloge-isprave sačinjene na stranom jeziku, nužno je priložiti prijevod na hrvatski jezik po ovlaštenom sudskom prevoditelju.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Isprave izdane ili ovjerene od javne vlasti druge države, moraju biti potvrđene sukladno članku 4. Haške konvencije o ukidanju potrebe legalizacije stranih javnih isprava.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 xml:space="preserve">Svaka stranica ponude i priloga mora biti uvezana u cjelinu s označenim rednim brojem stranica i parafom potpisnika ponude. Oznaka sadrži redni broj stranice i ukupan broj stranica u ponudi (primjer: 1/35; 2/35; 3/35 i dalje). 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 xml:space="preserve">Ukoliko je ponudu podnijela zajednica ponuditelja, ista će se smatrati jednim ponuditeljem. U tom će slučaju postojati predmnijeva njihove solidarne građanskopravne odgovornosti u vezi s ponudom te ugovorom </w:t>
      </w:r>
      <w:r w:rsidRPr="00CE5A50">
        <w:t>između Republike Hrvatske i izabranog ponuditelja radi uređenja međusobnih odnosa</w:t>
      </w:r>
      <w:r w:rsidRPr="00CE5A50">
        <w:rPr>
          <w:rFonts w:eastAsia="Calibri"/>
          <w:lang w:eastAsia="en-US"/>
        </w:rPr>
        <w:t>, (članak 42. Zakona o obveznim odnosima, Narodne novine, br. 35/05, 41/08, 125/11, 78/15 i 29/18).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u w:val="single"/>
          <w:lang w:eastAsia="en-US"/>
        </w:rPr>
      </w:pPr>
      <w:r w:rsidRPr="00CE5A50">
        <w:rPr>
          <w:rFonts w:eastAsia="Calibri"/>
          <w:lang w:eastAsia="en-US"/>
        </w:rPr>
        <w:tab/>
        <w:t xml:space="preserve">Ponuda koje nije podnesena u skladu sa zadanim uvjetima i ponuda s ponuđenim iznosom naknade za osnivanje prava građenja manjim od početnog iznosa nevaljana je i  </w:t>
      </w:r>
      <w:r w:rsidRPr="00CE5A50">
        <w:rPr>
          <w:rFonts w:eastAsia="Calibri"/>
          <w:lang w:eastAsia="en-US"/>
        </w:rPr>
        <w:lastRenderedPageBreak/>
        <w:t>neće se razmatrati. Ponuda ponuditelja za kojeg se utvrdi da ne ispunjava uvjete iz točke III. ovog Javnog poziva ili da ne sadrži sve zatražene priloge, bit će odbačena.</w:t>
      </w:r>
      <w:r w:rsidRPr="00CE5A50">
        <w:rPr>
          <w:rFonts w:eastAsia="Calibri"/>
          <w:u w:val="single"/>
          <w:lang w:eastAsia="en-US"/>
        </w:rPr>
        <w:t xml:space="preserve">  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Alternativna ponuda nije dopuštena.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 xml:space="preserve">Ponuditelj može do isteka roka za dostavu ponuda dostaviti izmjenu i/ili dopunu ponude. Izmjena i/ili dopuna ponude dostavlja se na isti način kao i osnovna ponuda s obveznom naznakom da se radi o izmjeni i/ili dopuni ponude. 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Ponuditelj može do isteka roka za dostavu ponude pisanom izjavom odustati od svoje dostavljene ponude. Pisana izjava se dostavlja na isti način kao i ponuda s obveznom naznakom da se radi o odustajanju od ponude. U tom slučaju neotvorena ponuda vraća se ponuditelju.</w:t>
      </w:r>
    </w:p>
    <w:p w:rsidR="00CE5A50" w:rsidRPr="00CE5A50" w:rsidRDefault="00CE5A50" w:rsidP="00CE5A50">
      <w:pPr>
        <w:tabs>
          <w:tab w:val="left" w:pos="709"/>
        </w:tabs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 xml:space="preserve">Ponuda s pripadajućom dokumentacijom dostavlja se u zatvorenoj omotnici s oznakom:  </w:t>
      </w:r>
      <w:r w:rsidRPr="00CE5A50">
        <w:rPr>
          <w:rFonts w:eastAsia="Calibri"/>
          <w:b/>
          <w:lang w:eastAsia="en-US"/>
        </w:rPr>
        <w:t>ponuda za „TURISTIČKU ZONU HIDROBAZA-PULA“.</w:t>
      </w:r>
    </w:p>
    <w:p w:rsidR="00CE5A50" w:rsidRPr="00CE5A50" w:rsidRDefault="00CE5A50" w:rsidP="00CE5A50">
      <w:pPr>
        <w:tabs>
          <w:tab w:val="left" w:pos="709"/>
        </w:tabs>
        <w:ind w:left="709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tabs>
          <w:tab w:val="left" w:pos="709"/>
        </w:tabs>
        <w:jc w:val="both"/>
      </w:pPr>
      <w:r w:rsidRPr="00CE5A50">
        <w:tab/>
        <w:t>Ispravke, izmjene, obrazloženja ili dopune ovog Javnog poziva objavit će se na isti način kao i ovaj Javni poziv.</w:t>
      </w:r>
    </w:p>
    <w:p w:rsidR="00CE5A50" w:rsidRPr="00CE5A50" w:rsidRDefault="00CE5A50" w:rsidP="00CE5A50">
      <w:pPr>
        <w:tabs>
          <w:tab w:val="left" w:pos="709"/>
        </w:tabs>
        <w:jc w:val="both"/>
      </w:pP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Ponuditelj nema pravo na naknadu troškova koje je imao u vezi sa sastavljanjem i ponude i priloga i njihove dostave.</w:t>
      </w:r>
    </w:p>
    <w:p w:rsidR="00CE5A50" w:rsidRPr="00CE5A50" w:rsidRDefault="00CE5A50" w:rsidP="00CE5A50">
      <w:pPr>
        <w:tabs>
          <w:tab w:val="left" w:pos="709"/>
        </w:tabs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numPr>
          <w:ilvl w:val="0"/>
          <w:numId w:val="8"/>
        </w:numPr>
        <w:jc w:val="both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 xml:space="preserve"> DOSTAVLJANJE PONUDE </w:t>
      </w:r>
    </w:p>
    <w:p w:rsidR="00CE5A50" w:rsidRPr="00CE5A50" w:rsidRDefault="00CE5A50" w:rsidP="00CE5A50">
      <w:pPr>
        <w:ind w:left="1080"/>
        <w:jc w:val="both"/>
        <w:rPr>
          <w:rFonts w:eastAsia="Calibri"/>
          <w:b/>
          <w:lang w:eastAsia="en-US"/>
        </w:rPr>
      </w:pPr>
    </w:p>
    <w:p w:rsidR="00CE5A50" w:rsidRPr="00CE5A50" w:rsidRDefault="00CE5A50" w:rsidP="00CE5A50">
      <w:pPr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Ponuda se dostavlja u zatvorenoj omotnici s naznakom pošiljatelja i primatelja te jasnom naznakom predmeta i upozorenjem:</w:t>
      </w:r>
    </w:p>
    <w:p w:rsidR="00CE5A50" w:rsidRPr="00CE5A50" w:rsidRDefault="00CE5A50" w:rsidP="00CE5A50">
      <w:pPr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jc w:val="center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>„Ne otvarati – ponuda za „TURISTIČKU ZONU HIDROBAZA-PULA“,</w:t>
      </w:r>
    </w:p>
    <w:p w:rsidR="00CE5A50" w:rsidRPr="00CE5A50" w:rsidRDefault="00CE5A50" w:rsidP="00CE5A50">
      <w:pPr>
        <w:rPr>
          <w:rFonts w:eastAsia="Calibri"/>
          <w:lang w:eastAsia="en-US"/>
        </w:rPr>
      </w:pPr>
    </w:p>
    <w:p w:rsidR="00CE5A50" w:rsidRPr="00CE5A50" w:rsidRDefault="00CE5A50" w:rsidP="00CE5A50">
      <w:pPr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>na adresu:</w:t>
      </w:r>
    </w:p>
    <w:p w:rsidR="00CE5A50" w:rsidRPr="00CE5A50" w:rsidRDefault="00CE5A50" w:rsidP="00CE5A50">
      <w:pPr>
        <w:rPr>
          <w:rFonts w:eastAsia="Calibri"/>
          <w:lang w:eastAsia="en-US"/>
        </w:rPr>
      </w:pPr>
    </w:p>
    <w:p w:rsidR="00CE5A50" w:rsidRPr="00CE5A50" w:rsidRDefault="00CE5A50" w:rsidP="00CE5A50">
      <w:pPr>
        <w:spacing w:line="276" w:lineRule="auto"/>
        <w:jc w:val="center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 xml:space="preserve">Ministarstvo državne imovine, </w:t>
      </w:r>
    </w:p>
    <w:p w:rsidR="00CE5A50" w:rsidRPr="00CE5A50" w:rsidRDefault="00CE5A50" w:rsidP="00CE5A50">
      <w:pPr>
        <w:spacing w:line="276" w:lineRule="auto"/>
        <w:jc w:val="center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>Ivana Dežmana 10,</w:t>
      </w:r>
    </w:p>
    <w:p w:rsidR="00CE5A50" w:rsidRPr="00CE5A50" w:rsidRDefault="00CE5A50" w:rsidP="00CE5A50">
      <w:pPr>
        <w:spacing w:line="276" w:lineRule="auto"/>
        <w:jc w:val="center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 </w:t>
      </w:r>
      <w:r w:rsidRPr="00CE5A50">
        <w:rPr>
          <w:rFonts w:eastAsia="Calibri"/>
          <w:b/>
          <w:lang w:eastAsia="en-US"/>
        </w:rPr>
        <w:t>HR -10000  Zagreb,</w:t>
      </w:r>
      <w:r w:rsidRPr="00CE5A50">
        <w:rPr>
          <w:rFonts w:eastAsia="Calibri"/>
          <w:lang w:eastAsia="en-US"/>
        </w:rPr>
        <w:t xml:space="preserve"> </w:t>
      </w:r>
    </w:p>
    <w:p w:rsidR="00CE5A50" w:rsidRPr="00CE5A50" w:rsidRDefault="00CE5A50" w:rsidP="00CE5A50">
      <w:pPr>
        <w:spacing w:line="276" w:lineRule="auto"/>
        <w:jc w:val="center"/>
        <w:rPr>
          <w:rFonts w:eastAsia="Calibri"/>
          <w:b/>
          <w:lang w:eastAsia="en-US"/>
        </w:rPr>
      </w:pPr>
      <w:r w:rsidRPr="00CE5A50">
        <w:rPr>
          <w:rFonts w:eastAsia="Calibri"/>
          <w:b/>
          <w:lang w:eastAsia="en-US"/>
        </w:rPr>
        <w:t xml:space="preserve">najkasnije do </w:t>
      </w:r>
      <w:r w:rsidR="007A1ACF">
        <w:rPr>
          <w:rFonts w:eastAsia="Calibri"/>
          <w:b/>
          <w:lang w:eastAsia="en-US"/>
        </w:rPr>
        <w:t xml:space="preserve">30. kolovoza </w:t>
      </w:r>
      <w:r w:rsidRPr="00CE5A50">
        <w:rPr>
          <w:rFonts w:eastAsia="Calibri"/>
          <w:b/>
          <w:lang w:eastAsia="en-US"/>
        </w:rPr>
        <w:t>2019. godine u</w:t>
      </w:r>
      <w:r w:rsidR="007A1ACF">
        <w:rPr>
          <w:rFonts w:eastAsia="Calibri"/>
          <w:b/>
          <w:lang w:eastAsia="en-US"/>
        </w:rPr>
        <w:t xml:space="preserve"> 12:00</w:t>
      </w:r>
      <w:r w:rsidRPr="00CE5A50">
        <w:rPr>
          <w:rFonts w:eastAsia="Calibri"/>
          <w:b/>
          <w:lang w:eastAsia="en-US"/>
        </w:rPr>
        <w:t xml:space="preserve"> sati</w:t>
      </w:r>
    </w:p>
    <w:p w:rsidR="00D94E55" w:rsidRPr="00CE5A50" w:rsidRDefault="00D94E55" w:rsidP="00CE5A50">
      <w:pPr>
        <w:spacing w:after="200" w:line="276" w:lineRule="auto"/>
        <w:jc w:val="center"/>
        <w:rPr>
          <w:rFonts w:eastAsia="Calibri"/>
          <w:lang w:eastAsia="en-US"/>
        </w:rPr>
      </w:pPr>
    </w:p>
    <w:p w:rsidR="00CE5A50" w:rsidRPr="00CE5A50" w:rsidRDefault="00CE5A50" w:rsidP="00CE5A50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 w:rsidRPr="00CE5A50">
        <w:rPr>
          <w:b/>
        </w:rPr>
        <w:t xml:space="preserve"> KRITERIJI ZA ODABIR NAJPOVOLJNIJEG PONUDITELJA</w:t>
      </w:r>
    </w:p>
    <w:p w:rsidR="00CE5A50" w:rsidRPr="00CE5A50" w:rsidRDefault="00CE5A50" w:rsidP="00CE5A50">
      <w:pPr>
        <w:ind w:firstLine="709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Kriterij za odabir najpovoljnije ponude je visina naknade za osnivanje prava građenja. </w:t>
      </w:r>
    </w:p>
    <w:p w:rsidR="00CE5A50" w:rsidRDefault="00CE5A50" w:rsidP="00CE5A50">
      <w:pPr>
        <w:ind w:firstLine="709"/>
        <w:jc w:val="both"/>
        <w:rPr>
          <w:rFonts w:eastAsia="Calibri"/>
          <w:lang w:eastAsia="en-US"/>
        </w:rPr>
      </w:pPr>
    </w:p>
    <w:p w:rsidR="00A37123" w:rsidRPr="00297EC0" w:rsidRDefault="00297EC0" w:rsidP="00297EC0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</w:r>
    </w:p>
    <w:p w:rsidR="00CE5A50" w:rsidRPr="00297EC0" w:rsidRDefault="00CE5A50" w:rsidP="00297EC0">
      <w:pPr>
        <w:pStyle w:val="ListParagraph"/>
        <w:numPr>
          <w:ilvl w:val="0"/>
          <w:numId w:val="8"/>
        </w:numPr>
        <w:jc w:val="both"/>
        <w:rPr>
          <w:rFonts w:eastAsia="Calibri"/>
          <w:b/>
          <w:lang w:eastAsia="en-US"/>
        </w:rPr>
      </w:pPr>
      <w:r w:rsidRPr="00297EC0">
        <w:rPr>
          <w:rFonts w:eastAsia="Calibri"/>
          <w:b/>
          <w:lang w:eastAsia="en-US"/>
        </w:rPr>
        <w:t xml:space="preserve">POSTUPAK ODABIRA NAJPOVOLJNJIJEG PONUDITELJA I SKLAPANJE UGOVORA O UREĐENJU ODNOSA </w:t>
      </w:r>
    </w:p>
    <w:p w:rsidR="00CE5A50" w:rsidRPr="00CE5A50" w:rsidRDefault="00CE5A50" w:rsidP="00CE5A50">
      <w:pPr>
        <w:jc w:val="both"/>
        <w:rPr>
          <w:rFonts w:eastAsia="Calibri"/>
          <w:lang w:eastAsia="en-US"/>
        </w:rPr>
      </w:pPr>
    </w:p>
    <w:p w:rsidR="00CE5A50" w:rsidRDefault="00CE5A50" w:rsidP="00CE5A50">
      <w:pPr>
        <w:ind w:left="125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Povjerenstvo za ocjenu ponuda javno će otvoriti ponude dana</w:t>
      </w:r>
      <w:r w:rsidR="007A1ACF">
        <w:rPr>
          <w:rFonts w:eastAsia="Calibri"/>
          <w:lang w:eastAsia="en-US"/>
        </w:rPr>
        <w:t xml:space="preserve"> 30. kolovoza </w:t>
      </w:r>
      <w:r w:rsidRPr="00CE5A50">
        <w:rPr>
          <w:rFonts w:eastAsia="Calibri"/>
          <w:lang w:eastAsia="en-US"/>
        </w:rPr>
        <w:t xml:space="preserve">2019. u </w:t>
      </w:r>
      <w:r w:rsidR="007A1ACF">
        <w:rPr>
          <w:rFonts w:eastAsia="Calibri"/>
          <w:lang w:eastAsia="en-US"/>
        </w:rPr>
        <w:t>12:00</w:t>
      </w:r>
      <w:r w:rsidRPr="00CE5A50">
        <w:rPr>
          <w:rFonts w:eastAsia="Calibri"/>
          <w:lang w:eastAsia="en-US"/>
        </w:rPr>
        <w:t xml:space="preserve"> sati u prostorijama Ministarstva državne imovine, Ivana Dežmana 10, HR -10000 Zagreb, pregledati ponude i utvrditi njihovu valjanost.</w:t>
      </w:r>
    </w:p>
    <w:p w:rsidR="00CE5A50" w:rsidRPr="00CE5A50" w:rsidRDefault="00CE5A50" w:rsidP="00CE5A50">
      <w:pPr>
        <w:ind w:left="125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lastRenderedPageBreak/>
        <w:tab/>
        <w:t>Povjerenstvo za ocjenu ponuda će u roku od najkasnije šezdeset (60) dana od dana javnog otvaranja ponuda utvrditi rang listu ponuditelja i Vladi Republike Hrvatske, putem Ministarstva državne imovine i Gradskom vijeću Grada Pule predložiti donošenje Odluke o izboru najpovoljnijeg ponuditelja.</w:t>
      </w:r>
    </w:p>
    <w:p w:rsidR="00CE5A50" w:rsidRPr="00CE5A50" w:rsidRDefault="00CE5A50" w:rsidP="00CE5A50">
      <w:pPr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ind w:hanging="644"/>
        <w:jc w:val="both"/>
        <w:rPr>
          <w:rFonts w:eastAsia="Calibri"/>
          <w:color w:val="000000"/>
          <w:lang w:eastAsia="en-US"/>
        </w:rPr>
      </w:pPr>
      <w:r w:rsidRPr="00CE5A50">
        <w:rPr>
          <w:rFonts w:eastAsia="Calibri"/>
          <w:b/>
          <w:lang w:eastAsia="en-US"/>
        </w:rPr>
        <w:tab/>
      </w:r>
      <w:r w:rsidRPr="00CE5A50">
        <w:rPr>
          <w:rFonts w:eastAsia="Calibri"/>
          <w:b/>
          <w:lang w:eastAsia="en-US"/>
        </w:rPr>
        <w:tab/>
      </w:r>
      <w:r w:rsidRPr="00CE5A50">
        <w:rPr>
          <w:rFonts w:eastAsia="Calibri"/>
          <w:lang w:eastAsia="en-US"/>
        </w:rPr>
        <w:t>Kao najpovoljniji ponuditelj za osnivanje prava građenja radi realizacije izgradnje</w:t>
      </w:r>
      <w:r w:rsidRPr="00CE5A50">
        <w:t xml:space="preserve"> </w:t>
      </w:r>
      <w:r w:rsidRPr="00CE5A50">
        <w:rPr>
          <w:rFonts w:eastAsia="Calibri"/>
          <w:lang w:eastAsia="en-US"/>
        </w:rPr>
        <w:t>turističke zone Hidrobaza</w:t>
      </w:r>
      <w:r w:rsidRPr="00CE5A50">
        <w:t xml:space="preserve"> u skladu s </w:t>
      </w:r>
      <w:r w:rsidRPr="00CE5A50">
        <w:rPr>
          <w:rFonts w:eastAsia="Calibri"/>
          <w:lang w:eastAsia="en-US"/>
        </w:rPr>
        <w:t xml:space="preserve">UPU Štinjan, izabrat će se onaj koji ponudi najviši iznos naknade za osnivanje prava građenja. </w:t>
      </w:r>
    </w:p>
    <w:p w:rsidR="00CE5A50" w:rsidRPr="00CE5A50" w:rsidRDefault="00CE5A50" w:rsidP="00CE5A50">
      <w:pPr>
        <w:ind w:left="125"/>
        <w:jc w:val="both"/>
      </w:pPr>
    </w:p>
    <w:p w:rsidR="00CE5A50" w:rsidRPr="00CE5A50" w:rsidRDefault="00CE5A50" w:rsidP="00CE5A50">
      <w:pPr>
        <w:jc w:val="both"/>
        <w:rPr>
          <w:rFonts w:eastAsia="Calibri"/>
          <w:b/>
          <w:highlight w:val="yellow"/>
          <w:lang w:eastAsia="en-US"/>
        </w:rPr>
      </w:pPr>
      <w:r w:rsidRPr="00CE5A50">
        <w:tab/>
        <w:t xml:space="preserve">U slučaju ako su dva ili više ponuditelja ponudili identičan iznos naknade za osnivanje prava građenja prednost će imati ponuditelj koji je veći broj smještajnih kapaciteta planirao izgraditi u hotelima i tu namjeru iskaže u idejnom projektu. </w:t>
      </w:r>
    </w:p>
    <w:p w:rsidR="00CE5A50" w:rsidRPr="00CE5A50" w:rsidRDefault="00CE5A50" w:rsidP="00CE5A50">
      <w:pPr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ind w:left="125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Ako najpovoljniji ponuditelj odustane od ponude ili se u ostavljenom roku ne odazove pozivu za sklapanje ugovora o uređenju međusobnih odnosa</w:t>
      </w:r>
      <w:r w:rsidR="005911EA">
        <w:rPr>
          <w:rFonts w:eastAsia="Calibri"/>
          <w:lang w:eastAsia="en-US"/>
        </w:rPr>
        <w:t xml:space="preserve"> </w:t>
      </w:r>
      <w:r w:rsidR="005911EA" w:rsidRPr="007A1ACF">
        <w:rPr>
          <w:rFonts w:eastAsia="Calibri"/>
          <w:lang w:eastAsia="en-US"/>
        </w:rPr>
        <w:t>na čije sklapanje će biti pozvan nakon donošenja odluke Vlade Republike Hrvatske o izboru najpovoljnijeg ponuditelja</w:t>
      </w:r>
      <w:r w:rsidRPr="007A1ACF">
        <w:rPr>
          <w:rFonts w:eastAsia="Calibri"/>
          <w:lang w:eastAsia="en-US"/>
        </w:rPr>
        <w:t>,</w:t>
      </w:r>
      <w:r w:rsidRPr="00CE5A50">
        <w:rPr>
          <w:rFonts w:eastAsia="Calibri"/>
          <w:lang w:eastAsia="en-US"/>
        </w:rPr>
        <w:t xml:space="preserve"> gubi pravo na povrat bankarske garancije koju je predao kao jamstvo za ozbiljnost ponude, a Ministarstvo državne imovine je ovlašteno izvršiti naplatu bankarske garancije</w:t>
      </w:r>
      <w:r w:rsidR="00000FD7">
        <w:rPr>
          <w:rFonts w:eastAsia="Calibri"/>
          <w:lang w:eastAsia="en-US"/>
        </w:rPr>
        <w:t>.</w:t>
      </w:r>
      <w:r w:rsidRPr="00CE5A50">
        <w:rPr>
          <w:rFonts w:eastAsia="Calibri"/>
          <w:lang w:eastAsia="en-US"/>
        </w:rPr>
        <w:t xml:space="preserve"> </w:t>
      </w:r>
    </w:p>
    <w:p w:rsidR="00CE5A50" w:rsidRPr="00CE5A50" w:rsidRDefault="00CE5A50" w:rsidP="00CE5A50">
      <w:pPr>
        <w:ind w:left="125"/>
        <w:jc w:val="both"/>
        <w:rPr>
          <w:rFonts w:eastAsia="Calibri"/>
          <w:u w:val="single"/>
          <w:lang w:eastAsia="en-US"/>
        </w:rPr>
      </w:pPr>
    </w:p>
    <w:p w:rsidR="00CE5A50" w:rsidRPr="00CE5A50" w:rsidRDefault="00CE5A50" w:rsidP="00CE5A50">
      <w:pPr>
        <w:ind w:left="125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ab/>
        <w:t>U slučaju ako najpovoljniji ponuditelj odustane ili u ostavljenom roku ne pristupi sklapanju ugovora o uređenju međusobnih odnosa, najpovoljnijim ponuditeljem smatrat će se prvi sljedeći ponuditelj s rang liste ponuditelja.</w:t>
      </w:r>
    </w:p>
    <w:p w:rsidR="00CE5A50" w:rsidRPr="00CE5A50" w:rsidRDefault="00CE5A50" w:rsidP="00CE5A50">
      <w:pPr>
        <w:ind w:left="125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ind w:left="125"/>
        <w:jc w:val="both"/>
        <w:rPr>
          <w:b/>
        </w:rPr>
      </w:pPr>
      <w:r w:rsidRPr="00CE5A50">
        <w:rPr>
          <w:rFonts w:eastAsia="Calibri"/>
          <w:lang w:eastAsia="en-US"/>
        </w:rPr>
        <w:tab/>
        <w:t>Povjerenstvo za ocjenu ponuda može, putem Ministarstva državne imovine, Vladi Republike Hrvatske i Gradu Puli-Pola predložiti da se ne izabere niti jedna od pristiglih ponuda s obrazloženjem takvog prijedloga.</w:t>
      </w:r>
    </w:p>
    <w:p w:rsidR="00CE5A50" w:rsidRPr="00CE5A50" w:rsidRDefault="00CE5A50" w:rsidP="00CE5A50">
      <w:pPr>
        <w:ind w:left="709"/>
        <w:jc w:val="both"/>
      </w:pPr>
    </w:p>
    <w:p w:rsidR="00CE5A50" w:rsidRPr="00CE5A50" w:rsidRDefault="00CE5A50" w:rsidP="00CE5A50">
      <w:pPr>
        <w:ind w:left="142"/>
        <w:jc w:val="both"/>
      </w:pPr>
      <w:r w:rsidRPr="00CE5A50">
        <w:tab/>
        <w:t>Ponuditelju čija ponuda ne bude odabrana kao najpovoljnija vratit će se bankarska garancija za ozbiljnost ponude te pismo namjere banke iz točke VIII. stavka 10., podstavaka 6. i 7. ovog Javnog poziva u roku od 30 dana od dana donošenja odluke o izboru najpovoljnijeg ponuditelja.</w:t>
      </w:r>
    </w:p>
    <w:p w:rsidR="00CE5A50" w:rsidRPr="00CE5A50" w:rsidRDefault="00CE5A50" w:rsidP="00CE5A50">
      <w:pPr>
        <w:ind w:left="142"/>
        <w:jc w:val="both"/>
        <w:rPr>
          <w:b/>
        </w:rPr>
      </w:pPr>
    </w:p>
    <w:p w:rsidR="00CE5A50" w:rsidRPr="00CE5A50" w:rsidRDefault="00CE5A50" w:rsidP="00CE5A50">
      <w:pPr>
        <w:ind w:right="49"/>
        <w:jc w:val="center"/>
        <w:rPr>
          <w:b/>
        </w:rPr>
      </w:pPr>
    </w:p>
    <w:p w:rsidR="00CE5A50" w:rsidRPr="00CE5A50" w:rsidRDefault="00CE5A50" w:rsidP="00CE5A50">
      <w:pPr>
        <w:numPr>
          <w:ilvl w:val="0"/>
          <w:numId w:val="8"/>
        </w:numPr>
        <w:ind w:right="51"/>
        <w:rPr>
          <w:b/>
        </w:rPr>
      </w:pPr>
      <w:r w:rsidRPr="00CE5A50">
        <w:rPr>
          <w:b/>
        </w:rPr>
        <w:t xml:space="preserve">PONUDA ZA OSNIVANJE PRAVA GRAĐENJA </w:t>
      </w:r>
    </w:p>
    <w:p w:rsidR="00CE5A50" w:rsidRPr="00CE5A50" w:rsidRDefault="00CE5A50" w:rsidP="00CE5A50">
      <w:pPr>
        <w:ind w:right="51"/>
        <w:jc w:val="both"/>
      </w:pPr>
    </w:p>
    <w:p w:rsidR="00CE5A50" w:rsidRPr="00CE5A50" w:rsidRDefault="00CE5A50" w:rsidP="00CE5A50">
      <w:pPr>
        <w:ind w:right="49" w:firstLine="708"/>
        <w:jc w:val="both"/>
      </w:pPr>
      <w:r w:rsidRPr="00CE5A50">
        <w:t xml:space="preserve">Na česticama zemljišta iz točke I. ovog Javnog poziva u vlasništvu Republike Hrvatske i u vlasništvu Grada Pule, </w:t>
      </w:r>
      <w:r w:rsidRPr="00CE5A50">
        <w:rPr>
          <w:rFonts w:eastAsia="Calibri"/>
          <w:lang w:eastAsia="en-US"/>
        </w:rPr>
        <w:t>ukupne okvirne površine 281.986 m²</w:t>
      </w:r>
      <w:r w:rsidRPr="00CE5A50">
        <w:t xml:space="preserve"> u obuhvatu turističke zone Hidrobaza, u korist najpovoljnijeg ponuditelje osn</w:t>
      </w:r>
      <w:r w:rsidR="00D94E55">
        <w:t>o</w:t>
      </w:r>
      <w:r w:rsidRPr="00CE5A50">
        <w:t xml:space="preserve">vat će se pravo građenja na rok od 50 godina </w:t>
      </w:r>
      <w:bookmarkStart w:id="4" w:name="_Hlk535435878"/>
      <w:r w:rsidRPr="00CE5A50">
        <w:t>u svrhu izgradnje</w:t>
      </w:r>
      <w:r w:rsidRPr="00CE5A50">
        <w:rPr>
          <w:rFonts w:eastAsia="Calibri"/>
          <w:lang w:eastAsia="en-US"/>
        </w:rPr>
        <w:t xml:space="preserve"> </w:t>
      </w:r>
      <w:r w:rsidRPr="00CE5A50">
        <w:t>ugostiteljsko-turističkih građevina, pratećih i ostalih sportsko rekreacijskih sadržaja, sve u skladu s odredbama UPU Štinjan</w:t>
      </w:r>
      <w:bookmarkEnd w:id="4"/>
      <w:r w:rsidRPr="00CE5A50">
        <w:t xml:space="preserve">. </w:t>
      </w:r>
    </w:p>
    <w:p w:rsidR="00CE5A50" w:rsidRPr="00CE5A50" w:rsidRDefault="00CE5A50" w:rsidP="00CE5A50">
      <w:pPr>
        <w:ind w:right="49" w:hanging="360"/>
        <w:jc w:val="both"/>
      </w:pPr>
    </w:p>
    <w:p w:rsidR="00CE5A50" w:rsidRPr="00CE5A50" w:rsidRDefault="00CE5A50" w:rsidP="00CE5A50">
      <w:pPr>
        <w:ind w:right="49" w:hanging="360"/>
        <w:jc w:val="both"/>
      </w:pPr>
      <w:r w:rsidRPr="00CE5A50">
        <w:tab/>
      </w:r>
      <w:r w:rsidRPr="00CE5A50">
        <w:tab/>
        <w:t xml:space="preserve">Početni iznos godišnje naknade za osnivanje prava građenja je 2.318.000,00 kuna. </w:t>
      </w:r>
    </w:p>
    <w:p w:rsidR="00CE5A50" w:rsidRPr="00CE5A50" w:rsidRDefault="00CE5A50" w:rsidP="00CE5A50">
      <w:pPr>
        <w:ind w:right="49" w:hanging="643"/>
        <w:jc w:val="both"/>
      </w:pPr>
      <w:r w:rsidRPr="00CE5A50">
        <w:tab/>
      </w:r>
    </w:p>
    <w:p w:rsidR="00CE5A50" w:rsidRPr="00CE5A50" w:rsidRDefault="00CE5A50" w:rsidP="00CE5A50">
      <w:pPr>
        <w:spacing w:after="200"/>
        <w:ind w:right="49" w:firstLine="708"/>
        <w:jc w:val="both"/>
      </w:pPr>
      <w:r w:rsidRPr="00CE5A50">
        <w:t>Ugovoreni iznos naknade za osnivanje prava građenja revalorizirat će se nakon proteka 3 (tri) godine od dana početka obveze plaćanja naknade za osnivanje prava građenja u skladu s promjenama na tržištu nekretnina, a prema indeksu iz javno objavljenih podataka o kretanju cijena na tržištu nekretnina.</w:t>
      </w:r>
    </w:p>
    <w:p w:rsidR="00CE5A50" w:rsidRPr="00CE5A50" w:rsidRDefault="00CE5A50" w:rsidP="00CE5A50">
      <w:pPr>
        <w:ind w:right="49" w:firstLine="708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>Najpovoljniji ponuditelj obvezan je na prostoru obuhvata turističke zone Hidrobaza  izgraditi:</w:t>
      </w:r>
    </w:p>
    <w:p w:rsidR="00CE5A50" w:rsidRPr="00CE5A50" w:rsidRDefault="00CE5A50" w:rsidP="00CE5A50">
      <w:pPr>
        <w:ind w:right="49" w:firstLine="708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lastRenderedPageBreak/>
        <w:t>- građevine ugostiteljsko-turističko namjene koji će se, sukladno posebnim propisima moći kategorizirati s minimalno 4 (četiri) zvjezdica,</w:t>
      </w:r>
    </w:p>
    <w:p w:rsidR="00CE5A50" w:rsidRPr="00CE5A50" w:rsidRDefault="00CE5A50" w:rsidP="00CE5A50">
      <w:pPr>
        <w:ind w:right="49" w:firstLine="708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- </w:t>
      </w:r>
      <w:r w:rsidRPr="00CE5A50">
        <w:t>prateće i ostale sportsko rekreacijske sadržaje u skladu s odredbama UPU Štinjan</w:t>
      </w:r>
      <w:r w:rsidRPr="00CE5A50">
        <w:rPr>
          <w:rFonts w:eastAsia="Calibri"/>
          <w:lang w:eastAsia="en-US"/>
        </w:rPr>
        <w:t>.</w:t>
      </w:r>
    </w:p>
    <w:p w:rsidR="00CE5A50" w:rsidRPr="00CE5A50" w:rsidRDefault="00CE5A50" w:rsidP="00CE5A50">
      <w:pPr>
        <w:ind w:right="51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ind w:right="49" w:firstLine="708"/>
        <w:jc w:val="both"/>
        <w:rPr>
          <w:rFonts w:eastAsia="Calibri"/>
          <w:lang w:eastAsia="en-US"/>
        </w:rPr>
      </w:pPr>
      <w:r w:rsidRPr="00CE5A50">
        <w:rPr>
          <w:rFonts w:eastAsia="Calibri"/>
          <w:lang w:eastAsia="en-US"/>
        </w:rPr>
        <w:t xml:space="preserve">Izgradnja navedenih sadržaja u turističkoj zoni Hidrobaza podrazumijeva: ishođenje dozvola za gradnju, izgradnju građevina ugostiteljsko-turističke namjene i drugih pratećih i ostalih sportsko rekreacijskih sadržaja, ishođenje akata za uporabu, kategorizaciju i stavljanje izgrađenog u gospodarsku funkciju.  </w:t>
      </w:r>
    </w:p>
    <w:p w:rsidR="00CE5A50" w:rsidRPr="00CE5A50" w:rsidRDefault="00CE5A50" w:rsidP="00CE5A50">
      <w:pPr>
        <w:ind w:right="49"/>
        <w:jc w:val="both"/>
        <w:rPr>
          <w:rFonts w:eastAsia="Calibri"/>
          <w:lang w:eastAsia="en-US"/>
        </w:rPr>
      </w:pPr>
    </w:p>
    <w:p w:rsidR="00CE5A50" w:rsidRPr="00CE5A50" w:rsidRDefault="00CE5A50" w:rsidP="00CE5A50">
      <w:pPr>
        <w:jc w:val="both"/>
      </w:pPr>
      <w:r w:rsidRPr="00CE5A50">
        <w:tab/>
        <w:t xml:space="preserve">Najpovoljniji ponuditelj obvezan je građevine u obuhvatu turističke zone Hidrobaza </w:t>
      </w:r>
      <w:r w:rsidRPr="00CE5A50">
        <w:rPr>
          <w:rFonts w:eastAsia="Calibri"/>
          <w:lang w:eastAsia="en-US"/>
        </w:rPr>
        <w:t xml:space="preserve">na način iz stavaka 4. i 5. ove točke završiti u roku od </w:t>
      </w:r>
      <w:r w:rsidR="00CE045B">
        <w:rPr>
          <w:rFonts w:eastAsia="Calibri"/>
          <w:lang w:eastAsia="en-US"/>
        </w:rPr>
        <w:t>pet</w:t>
      </w:r>
      <w:r w:rsidRPr="00CE5A50">
        <w:t xml:space="preserve"> godina računajući od dana sklapanja ugovora o uređenju međusobnih odnosa.</w:t>
      </w:r>
    </w:p>
    <w:p w:rsidR="00CE5A50" w:rsidRPr="00CE5A50" w:rsidRDefault="00CE5A50" w:rsidP="00CE5A50">
      <w:pPr>
        <w:jc w:val="both"/>
      </w:pPr>
    </w:p>
    <w:p w:rsidR="00CE5A50" w:rsidRPr="00CE5A50" w:rsidRDefault="00CE5A50" w:rsidP="00CE5A50">
      <w:pPr>
        <w:jc w:val="both"/>
      </w:pPr>
      <w:r w:rsidRPr="00CE5A50">
        <w:tab/>
        <w:t xml:space="preserve">U okviru ukupnog roka od </w:t>
      </w:r>
      <w:r w:rsidR="00CE045B">
        <w:t>pet</w:t>
      </w:r>
      <w:r w:rsidRPr="00CE5A50">
        <w:t xml:space="preserve"> godina, pripremni rok za izradu projektne i druge dokumentacije i ishođenje izvršne dozvole za gradnju ili više njih (lokacijska i/ili građevinska dozvola) i u slučaju ako će se realizacija izgradnje turističke zone Hidrobaza izvoditi fazno, ne može biti duži od jedne godine počevši od dana sklapanja </w:t>
      </w:r>
      <w:bookmarkStart w:id="5" w:name="_Hlk535444505"/>
      <w:r w:rsidRPr="00CE5A50">
        <w:t xml:space="preserve">ugovora o uređenju međusobnih odnosa </w:t>
      </w:r>
    </w:p>
    <w:bookmarkEnd w:id="5"/>
    <w:p w:rsidR="00CE5A50" w:rsidRPr="00CE5A50" w:rsidRDefault="00CE5A50" w:rsidP="00CE5A50">
      <w:pPr>
        <w:jc w:val="both"/>
      </w:pPr>
    </w:p>
    <w:p w:rsidR="00CE5A50" w:rsidRPr="00CE5A50" w:rsidRDefault="00CE5A50" w:rsidP="00CE5A50">
      <w:pPr>
        <w:jc w:val="both"/>
      </w:pPr>
      <w:r w:rsidRPr="00CE5A50">
        <w:tab/>
        <w:t>U roku od 30 dana od dana ishođenja izvršne lokacijske dozvole za zahvate u prostoru turističke zone Hidrobaza ili ishođenja izvršne građevinske dozvole (ukoliko se najpovoljniji ponuditelj ne odluči za ishođenje lokacijske dozvole), Republika Hrvatska,</w:t>
      </w:r>
      <w:r w:rsidRPr="00CE5A50">
        <w:rPr>
          <w:color w:val="7030A0"/>
        </w:rPr>
        <w:t xml:space="preserve"> </w:t>
      </w:r>
      <w:r w:rsidRPr="00CE5A50">
        <w:t>Ministarstvo državne imovine i Grad Pula s najpovoljnijim ponuditeljem sklopit će ugovor o osnivanju prava građenja. U slučaju izdavanja više lokacijskih i/ili više građevinskih dozvola, ugovor o osnivanju prava građenja sklopit će se u roku od 30 dana od dana izvršnosti zadnje lokacijske ili građevinske dozvole.</w:t>
      </w:r>
    </w:p>
    <w:p w:rsidR="00CE5A50" w:rsidRPr="00CE5A50" w:rsidRDefault="00CE5A50" w:rsidP="00CE5A50">
      <w:pPr>
        <w:jc w:val="both"/>
      </w:pPr>
      <w:r w:rsidRPr="00CE5A50">
        <w:tab/>
      </w:r>
    </w:p>
    <w:p w:rsidR="00CE5A50" w:rsidRPr="00CE5A50" w:rsidRDefault="00CE5A50" w:rsidP="00CE5A50">
      <w:pPr>
        <w:jc w:val="both"/>
      </w:pPr>
      <w:r w:rsidRPr="00CE5A50">
        <w:tab/>
        <w:t>Obveza plaćanja ugovorene naknade za osnivanje prava građenja počinje od</w:t>
      </w:r>
      <w:r w:rsidRPr="00CE5A50">
        <w:rPr>
          <w:color w:val="FF0000"/>
        </w:rPr>
        <w:t xml:space="preserve"> </w:t>
      </w:r>
      <w:r w:rsidRPr="00CE5A50">
        <w:t xml:space="preserve">dana isteka ukupnog roka od </w:t>
      </w:r>
      <w:r w:rsidR="00A01BE4">
        <w:t>pet</w:t>
      </w:r>
      <w:r w:rsidRPr="00CE5A50">
        <w:t xml:space="preserve"> godina za izgradnju i stavljanje izgrađenih građevina i drugih sadržaja u gospodarsku funkciju, osim u slučaju ako se izabrani najpovoljniji ponuditelj odluči na faznu realizaciju izgradnje turističke zone Hidrobaza kada je obvezan započeti s plaćanjem razmjernog dijela ugovorene naknade za osnivanje prava građenja od dana dobivanja rješenja o kategorizaciji završene faze ukoliko se ta faza odnosi na ugostiteljsko turističke sadržaje i/ili od dana izdavanja uporabne dozvole za završenu fazu koja se odnosi na sadržaje u zoni rekreacije. </w:t>
      </w:r>
    </w:p>
    <w:p w:rsidR="00CE5A50" w:rsidRPr="00CE5A50" w:rsidRDefault="00CE5A50" w:rsidP="00CE5A50">
      <w:pPr>
        <w:ind w:right="49" w:hanging="709"/>
        <w:jc w:val="both"/>
      </w:pPr>
      <w:r w:rsidRPr="00CE5A50">
        <w:t xml:space="preserve">  </w:t>
      </w:r>
    </w:p>
    <w:p w:rsidR="00CE5A50" w:rsidRPr="00CE5A50" w:rsidRDefault="00CE5A50" w:rsidP="00CE5A50">
      <w:pPr>
        <w:ind w:right="49"/>
        <w:jc w:val="both"/>
      </w:pPr>
      <w:r w:rsidRPr="00CE5A50">
        <w:tab/>
        <w:t xml:space="preserve">Ponudu za osnivanje prava građenja ponuditelj treba dostaviti na obrascu </w:t>
      </w:r>
      <w:r w:rsidRPr="00CE5A50">
        <w:rPr>
          <w:rFonts w:eastAsia="Calibri"/>
          <w:lang w:eastAsia="en-US"/>
        </w:rPr>
        <w:t xml:space="preserve">koji je u prilogu ovog Javnog poziva, a u prilogu ponude </w:t>
      </w:r>
      <w:r w:rsidRPr="00CE5A50">
        <w:t xml:space="preserve">sljedeću dokumentaciju:  </w:t>
      </w:r>
    </w:p>
    <w:p w:rsidR="00CE5A50" w:rsidRPr="00CE5A50" w:rsidRDefault="00CE5A50" w:rsidP="00CE5A50">
      <w:pPr>
        <w:ind w:right="49" w:hanging="709"/>
        <w:jc w:val="both"/>
      </w:pPr>
    </w:p>
    <w:p w:rsidR="00CE5A50" w:rsidRPr="00CE5A50" w:rsidRDefault="00CE5A50" w:rsidP="00CE5A50">
      <w:pPr>
        <w:numPr>
          <w:ilvl w:val="0"/>
          <w:numId w:val="12"/>
        </w:numPr>
        <w:ind w:left="357" w:right="49" w:hanging="357"/>
        <w:jc w:val="both"/>
      </w:pPr>
      <w:r w:rsidRPr="00CE5A50">
        <w:t>ispravu koje sadrže osnovne podatke o ponuditelju: a) za pravne osobe koje su osnovane po pravu Republike Hrvatske: izvadak iz sudskog registra trgovačkog suda, za fizičke osobe-obrtnike izvadak iz obrtnog registra s upisanom ugostiteljsko turističkom djelatnošću, b) za strane pravne i/ili fizičke osobe javne isprave s kojima dokazuje svoj pravni subjektivitet, prebivalište, odnosno sjedište i državljanstvo, ne stariji od 30 dana,</w:t>
      </w:r>
    </w:p>
    <w:p w:rsidR="00CE5A50" w:rsidRPr="00CE5A50" w:rsidRDefault="00CE5A50" w:rsidP="00CE5A50">
      <w:pPr>
        <w:ind w:left="357" w:right="49"/>
        <w:jc w:val="both"/>
      </w:pPr>
    </w:p>
    <w:p w:rsidR="00CE5A50" w:rsidRPr="00CE5A50" w:rsidRDefault="00CE5A50" w:rsidP="00CE5A50">
      <w:pPr>
        <w:numPr>
          <w:ilvl w:val="0"/>
          <w:numId w:val="12"/>
        </w:numPr>
        <w:ind w:left="357" w:right="49" w:hanging="357"/>
        <w:jc w:val="both"/>
      </w:pPr>
      <w:r w:rsidRPr="00CE5A50">
        <w:t>odgovarajuću potvrdu kojom dokazuje da nije pokrenut stečajni, odnosno predstečajni postupak, da se ne nalazi u postupku likvidacije, odnosno da nije u postupku obustavljanja poslovnih djelatnosti,</w:t>
      </w:r>
      <w:r w:rsidR="00FA579C">
        <w:t xml:space="preserve"> ne stariju od 30 dana, </w:t>
      </w:r>
    </w:p>
    <w:p w:rsidR="00CE5A50" w:rsidRPr="00CE5A50" w:rsidRDefault="00CE5A50" w:rsidP="00CE5A50">
      <w:pPr>
        <w:numPr>
          <w:ilvl w:val="0"/>
          <w:numId w:val="12"/>
        </w:numPr>
        <w:ind w:left="357" w:right="49" w:hanging="357"/>
        <w:jc w:val="both"/>
      </w:pPr>
      <w:r w:rsidRPr="00CE5A50">
        <w:lastRenderedPageBreak/>
        <w:t xml:space="preserve">potvrdu nadležne Porezne uprave da nema dospjelih a nepodmirenih obveza s osnove javnih davanja, ne stariju od 30 dana, </w:t>
      </w:r>
    </w:p>
    <w:p w:rsidR="00CE5A50" w:rsidRPr="00CE5A50" w:rsidRDefault="00CE5A50" w:rsidP="00CE5A50">
      <w:pPr>
        <w:ind w:left="357" w:right="49"/>
        <w:jc w:val="both"/>
      </w:pPr>
    </w:p>
    <w:p w:rsidR="00CE5A50" w:rsidRPr="00CE5A50" w:rsidRDefault="00CE5A50" w:rsidP="00CE5A50">
      <w:pPr>
        <w:numPr>
          <w:ilvl w:val="0"/>
          <w:numId w:val="12"/>
        </w:numPr>
        <w:ind w:left="357" w:right="49" w:hanging="357"/>
        <w:jc w:val="both"/>
      </w:pPr>
      <w:r w:rsidRPr="00CE5A50">
        <w:t xml:space="preserve">izjavu da ponuditelju ili osobi ovlaštenoj za zastupanje nije izrečena pravomoćna osuđujuća presuda za jedno ili više kaznenih djela iz područja gospodarskog kriminala, </w:t>
      </w:r>
    </w:p>
    <w:p w:rsidR="00CE5A50" w:rsidRPr="00CE5A50" w:rsidRDefault="00CE5A50" w:rsidP="00CE5A50">
      <w:pPr>
        <w:ind w:left="357" w:right="49"/>
        <w:jc w:val="both"/>
      </w:pPr>
    </w:p>
    <w:p w:rsidR="00CE5A50" w:rsidRPr="00CE5A50" w:rsidRDefault="00CE5A50" w:rsidP="00CE5A50">
      <w:pPr>
        <w:numPr>
          <w:ilvl w:val="0"/>
          <w:numId w:val="12"/>
        </w:numPr>
        <w:ind w:right="49"/>
        <w:jc w:val="both"/>
      </w:pPr>
      <w:r w:rsidRPr="00CE5A50">
        <w:t>idejni projekt za sadržaje u obuhvatu turističke zone Hidrobaza usklađen s UPU Štinjan,</w:t>
      </w:r>
    </w:p>
    <w:p w:rsidR="00CE5A50" w:rsidRPr="00CE5A50" w:rsidRDefault="00CE5A50" w:rsidP="00CE5A50">
      <w:pPr>
        <w:ind w:left="360" w:right="49"/>
        <w:jc w:val="both"/>
      </w:pPr>
    </w:p>
    <w:p w:rsidR="00CE5A50" w:rsidRPr="00CE5A50" w:rsidRDefault="00CE5A50" w:rsidP="00CE5A50">
      <w:pPr>
        <w:numPr>
          <w:ilvl w:val="0"/>
          <w:numId w:val="12"/>
        </w:numPr>
        <w:ind w:left="357" w:right="49" w:hanging="357"/>
        <w:jc w:val="both"/>
      </w:pPr>
      <w:r w:rsidRPr="00CE5A50">
        <w:t>na ime jamstva za ozbiljnost ponude priložiti neopozivu, bezuvjetnu i na prvi poziv naplativu bankarsku garanciju u izvornom obliku u iznosu 2.000.000,00 kuna izdanu u korist Republike Hrvatske, Ministarstva državne imovine od banke koja u godini koja prethodi godini u kojoj se objavljuje ovaj Javni poziv, ima kreditni rejting najmanje BBB prema Standard and Poor's Bank Rating Guide ili banke koja posluje u Republici Hrvatskoj i koja je temeljem revidiranog financijskog izvješća na dan 31. prosinca 2018. iskazala vrijednost ukupne imovine veću od 10.000.000.000,00 kuna, s rokom važenja dužim za 3 mjeseca od roka koji je određen kao krajnji rok za sklapanje ugovora o osnivanju prava građenja, a najduže dvije godine,</w:t>
      </w:r>
      <w:r w:rsidRPr="00CE5A50">
        <w:tab/>
      </w:r>
    </w:p>
    <w:p w:rsidR="00CE5A50" w:rsidRPr="00CE5A50" w:rsidRDefault="00CE5A50" w:rsidP="00CE5A50">
      <w:pPr>
        <w:numPr>
          <w:ilvl w:val="0"/>
          <w:numId w:val="12"/>
        </w:numPr>
        <w:ind w:left="357" w:hanging="357"/>
        <w:jc w:val="both"/>
        <w:rPr>
          <w:b/>
        </w:rPr>
      </w:pPr>
      <w:r w:rsidRPr="00CE5A50">
        <w:t xml:space="preserve">pismo namjere poslovne banke koja ispunjava iste uvjete kao banka izdavatelj bankarske garancije, da će u korist Republike Hrvatske, Ministarstva državne imovine izdati neopozivu, bezuvjetnu i na prvi poziv naplativu bankarsku garanciju u izvornom obliku u iznosu od 10.000.000,00 kuna kojom će se jamčiti </w:t>
      </w:r>
      <w:r w:rsidRPr="00CE5A50">
        <w:rPr>
          <w:rFonts w:eastAsia="Calibri"/>
          <w:lang w:eastAsia="en-US"/>
        </w:rPr>
        <w:t xml:space="preserve">realizacija projekta izgradnje turističke zone Hidrobaza u skladu s uvjetima iz ovog Javnog poziva, s rokom važenja za 3 mjeseca dužim od roka za realizaciju izgradnje  turističke zone Hidrobaza. </w:t>
      </w:r>
    </w:p>
    <w:p w:rsidR="00CE5A50" w:rsidRPr="00CE5A50" w:rsidRDefault="00CE5A50" w:rsidP="00CE5A50">
      <w:pPr>
        <w:ind w:left="708"/>
        <w:rPr>
          <w:rFonts w:eastAsia="Calibri"/>
          <w:sz w:val="22"/>
          <w:szCs w:val="22"/>
          <w:lang w:eastAsia="en-US"/>
        </w:rPr>
      </w:pPr>
    </w:p>
    <w:p w:rsidR="00CE5A50" w:rsidRPr="00CE5A50" w:rsidRDefault="00CE5A50" w:rsidP="00CE5A50">
      <w:pPr>
        <w:numPr>
          <w:ilvl w:val="0"/>
          <w:numId w:val="12"/>
        </w:numPr>
        <w:jc w:val="both"/>
      </w:pPr>
      <w:r w:rsidRPr="00CE5A50">
        <w:t>izjavu ovjerenu po javnom bilježniku da će u slučaju ako za realizaciju izgradnje turističke zone Hidrobaza bude neophodno izmijeniti i/ili dopuniti neki od prostornih planova važećih u trenutku objave Javnog poziva, nadoknaditi troškove izrade tih planova</w:t>
      </w:r>
    </w:p>
    <w:p w:rsidR="00CE5A50" w:rsidRPr="00CE5A50" w:rsidRDefault="00CE5A50" w:rsidP="00CE5A50">
      <w:pPr>
        <w:spacing w:after="200" w:line="276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</w:p>
    <w:p w:rsidR="00CE5A50" w:rsidRPr="00CE5A50" w:rsidRDefault="00CE5A50" w:rsidP="00CE5A50">
      <w:pPr>
        <w:jc w:val="both"/>
      </w:pPr>
      <w:r w:rsidRPr="00CE5A50">
        <w:t>Prilog:</w:t>
      </w:r>
    </w:p>
    <w:p w:rsidR="00CE5A50" w:rsidRPr="00CE5A50" w:rsidRDefault="00CE5A50" w:rsidP="00CE5A50">
      <w:pPr>
        <w:jc w:val="both"/>
      </w:pPr>
      <w:r w:rsidRPr="00CE5A50">
        <w:t xml:space="preserve">-skica obuhvata turističke zone Hidrobaza </w:t>
      </w:r>
    </w:p>
    <w:p w:rsidR="00853F4B" w:rsidRDefault="00853F4B" w:rsidP="00853F4B">
      <w:pPr>
        <w:rPr>
          <w:rFonts w:eastAsia="Calibri"/>
          <w:lang w:eastAsia="en-US"/>
        </w:rPr>
      </w:pPr>
    </w:p>
    <w:p w:rsidR="00A84147" w:rsidRDefault="006F013E" w:rsidP="00853F4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Informacije putem e-pošte na adresu: projekt.hidrobaza@midim.hr</w:t>
      </w:r>
    </w:p>
    <w:p w:rsidR="00A84147" w:rsidRDefault="00A84147" w:rsidP="00853F4B">
      <w:pPr>
        <w:rPr>
          <w:rFonts w:eastAsia="Calibri"/>
          <w:lang w:eastAsia="en-US"/>
        </w:rPr>
      </w:pPr>
    </w:p>
    <w:p w:rsidR="00A84147" w:rsidRDefault="00A84147" w:rsidP="00853F4B">
      <w:pPr>
        <w:rPr>
          <w:rFonts w:eastAsia="Calibri"/>
          <w:lang w:eastAsia="en-US"/>
        </w:rPr>
      </w:pPr>
    </w:p>
    <w:p w:rsidR="00A84147" w:rsidRDefault="00A84147" w:rsidP="00853F4B">
      <w:pPr>
        <w:rPr>
          <w:rFonts w:eastAsia="Calibri"/>
          <w:lang w:eastAsia="en-US"/>
        </w:rPr>
      </w:pPr>
    </w:p>
    <w:p w:rsidR="00A84147" w:rsidRDefault="00A84147" w:rsidP="00853F4B">
      <w:pPr>
        <w:rPr>
          <w:rFonts w:eastAsia="Calibri"/>
          <w:lang w:eastAsia="en-US"/>
        </w:rPr>
      </w:pPr>
    </w:p>
    <w:sectPr w:rsidR="00A84147" w:rsidSect="00A82B96">
      <w:footerReference w:type="even" r:id="rId10"/>
      <w:footerReference w:type="default" r:id="rId11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61B" w:rsidRDefault="0091061B" w:rsidP="0011560A">
      <w:r>
        <w:separator/>
      </w:r>
    </w:p>
  </w:endnote>
  <w:endnote w:type="continuationSeparator" w:id="0">
    <w:p w:rsidR="0091061B" w:rsidRDefault="0091061B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B96" w:rsidRDefault="00A82B96" w:rsidP="00A82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B96" w:rsidRDefault="00A82B96" w:rsidP="00A82B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B96" w:rsidRDefault="00A82B96" w:rsidP="00A82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4C02">
      <w:rPr>
        <w:rStyle w:val="PageNumber"/>
        <w:noProof/>
      </w:rPr>
      <w:t>4</w:t>
    </w:r>
    <w:r>
      <w:rPr>
        <w:rStyle w:val="PageNumber"/>
      </w:rPr>
      <w:fldChar w:fldCharType="end"/>
    </w:r>
  </w:p>
  <w:p w:rsidR="00A82B96" w:rsidRDefault="00A82B96" w:rsidP="00A82B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61B" w:rsidRDefault="0091061B" w:rsidP="0011560A">
      <w:r>
        <w:separator/>
      </w:r>
    </w:p>
  </w:footnote>
  <w:footnote w:type="continuationSeparator" w:id="0">
    <w:p w:rsidR="0091061B" w:rsidRDefault="0091061B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78B"/>
    <w:multiLevelType w:val="hybridMultilevel"/>
    <w:tmpl w:val="80D60BB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B5C35"/>
    <w:multiLevelType w:val="hybridMultilevel"/>
    <w:tmpl w:val="6C7E988A"/>
    <w:lvl w:ilvl="0" w:tplc="2BC487B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91FB2"/>
    <w:multiLevelType w:val="hybridMultilevel"/>
    <w:tmpl w:val="BF164B70"/>
    <w:lvl w:ilvl="0" w:tplc="C3CAC6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41D09"/>
    <w:multiLevelType w:val="hybridMultilevel"/>
    <w:tmpl w:val="0FB2A30C"/>
    <w:lvl w:ilvl="0" w:tplc="2BC4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2285C"/>
    <w:multiLevelType w:val="hybridMultilevel"/>
    <w:tmpl w:val="12CA4DC8"/>
    <w:lvl w:ilvl="0" w:tplc="2BC4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6538"/>
    <w:multiLevelType w:val="hybridMultilevel"/>
    <w:tmpl w:val="D41A7BE4"/>
    <w:lvl w:ilvl="0" w:tplc="2BC4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242A"/>
    <w:multiLevelType w:val="hybridMultilevel"/>
    <w:tmpl w:val="FA6A6D92"/>
    <w:lvl w:ilvl="0" w:tplc="A114E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20C6"/>
    <w:multiLevelType w:val="hybridMultilevel"/>
    <w:tmpl w:val="DE62D8C2"/>
    <w:lvl w:ilvl="0" w:tplc="D4903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5B543B"/>
    <w:multiLevelType w:val="hybridMultilevel"/>
    <w:tmpl w:val="ECF65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47B"/>
    <w:multiLevelType w:val="hybridMultilevel"/>
    <w:tmpl w:val="2BFAA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B5A29"/>
    <w:multiLevelType w:val="hybridMultilevel"/>
    <w:tmpl w:val="3D5A2DBC"/>
    <w:lvl w:ilvl="0" w:tplc="D53CF3DE">
      <w:start w:val="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A4"/>
    <w:rsid w:val="00000FD7"/>
    <w:rsid w:val="000319D5"/>
    <w:rsid w:val="000350D9"/>
    <w:rsid w:val="00044F48"/>
    <w:rsid w:val="000458B3"/>
    <w:rsid w:val="00057310"/>
    <w:rsid w:val="00063520"/>
    <w:rsid w:val="00084515"/>
    <w:rsid w:val="00086A6C"/>
    <w:rsid w:val="000A1D60"/>
    <w:rsid w:val="000A34C6"/>
    <w:rsid w:val="000A3A3B"/>
    <w:rsid w:val="000B284C"/>
    <w:rsid w:val="000C7B6B"/>
    <w:rsid w:val="000D1A50"/>
    <w:rsid w:val="000D40A7"/>
    <w:rsid w:val="001015C6"/>
    <w:rsid w:val="00110E6C"/>
    <w:rsid w:val="0011560A"/>
    <w:rsid w:val="00123EBB"/>
    <w:rsid w:val="001308BF"/>
    <w:rsid w:val="00135F1A"/>
    <w:rsid w:val="00146B79"/>
    <w:rsid w:val="00147DE9"/>
    <w:rsid w:val="00170226"/>
    <w:rsid w:val="001741AA"/>
    <w:rsid w:val="0018543F"/>
    <w:rsid w:val="00186215"/>
    <w:rsid w:val="0018644C"/>
    <w:rsid w:val="001917B2"/>
    <w:rsid w:val="00196113"/>
    <w:rsid w:val="001A00BA"/>
    <w:rsid w:val="001A13E7"/>
    <w:rsid w:val="001A412D"/>
    <w:rsid w:val="001B7A97"/>
    <w:rsid w:val="001E6E98"/>
    <w:rsid w:val="001E7218"/>
    <w:rsid w:val="00206E2F"/>
    <w:rsid w:val="00212103"/>
    <w:rsid w:val="002179F8"/>
    <w:rsid w:val="00220956"/>
    <w:rsid w:val="00222948"/>
    <w:rsid w:val="0023763F"/>
    <w:rsid w:val="002454A3"/>
    <w:rsid w:val="00245F70"/>
    <w:rsid w:val="00260B8A"/>
    <w:rsid w:val="00282E6C"/>
    <w:rsid w:val="002859F7"/>
    <w:rsid w:val="0028608D"/>
    <w:rsid w:val="0029163B"/>
    <w:rsid w:val="00297EC0"/>
    <w:rsid w:val="002A1D77"/>
    <w:rsid w:val="002A4A09"/>
    <w:rsid w:val="002B107A"/>
    <w:rsid w:val="002B5E41"/>
    <w:rsid w:val="002C5F97"/>
    <w:rsid w:val="002C64DA"/>
    <w:rsid w:val="002D1256"/>
    <w:rsid w:val="002D6C51"/>
    <w:rsid w:val="002D7C91"/>
    <w:rsid w:val="002E729A"/>
    <w:rsid w:val="003033E4"/>
    <w:rsid w:val="00304232"/>
    <w:rsid w:val="00323C77"/>
    <w:rsid w:val="00336EE7"/>
    <w:rsid w:val="0034351C"/>
    <w:rsid w:val="003756EA"/>
    <w:rsid w:val="00376272"/>
    <w:rsid w:val="00381F04"/>
    <w:rsid w:val="0038426B"/>
    <w:rsid w:val="003929F5"/>
    <w:rsid w:val="003935AE"/>
    <w:rsid w:val="003A2F05"/>
    <w:rsid w:val="003A6D0A"/>
    <w:rsid w:val="003C09D8"/>
    <w:rsid w:val="003D47D1"/>
    <w:rsid w:val="003E7DF2"/>
    <w:rsid w:val="003F5623"/>
    <w:rsid w:val="004039BD"/>
    <w:rsid w:val="00440D6D"/>
    <w:rsid w:val="00442367"/>
    <w:rsid w:val="00461188"/>
    <w:rsid w:val="00462195"/>
    <w:rsid w:val="004A776B"/>
    <w:rsid w:val="004C1375"/>
    <w:rsid w:val="004C5354"/>
    <w:rsid w:val="004E1300"/>
    <w:rsid w:val="004E4E34"/>
    <w:rsid w:val="004F4C13"/>
    <w:rsid w:val="00504248"/>
    <w:rsid w:val="005146D6"/>
    <w:rsid w:val="00534C02"/>
    <w:rsid w:val="00535E09"/>
    <w:rsid w:val="00543FF1"/>
    <w:rsid w:val="00562C8C"/>
    <w:rsid w:val="0056365A"/>
    <w:rsid w:val="00571F6C"/>
    <w:rsid w:val="005861F2"/>
    <w:rsid w:val="005906BB"/>
    <w:rsid w:val="005911EA"/>
    <w:rsid w:val="0059637E"/>
    <w:rsid w:val="00597713"/>
    <w:rsid w:val="005A31C0"/>
    <w:rsid w:val="005A4E45"/>
    <w:rsid w:val="005B2760"/>
    <w:rsid w:val="005C3A4C"/>
    <w:rsid w:val="005E6E30"/>
    <w:rsid w:val="005E7CAB"/>
    <w:rsid w:val="005F4727"/>
    <w:rsid w:val="005F5A68"/>
    <w:rsid w:val="005F7854"/>
    <w:rsid w:val="006214D3"/>
    <w:rsid w:val="006233B6"/>
    <w:rsid w:val="006265CB"/>
    <w:rsid w:val="00633454"/>
    <w:rsid w:val="0065052A"/>
    <w:rsid w:val="00652604"/>
    <w:rsid w:val="0066110E"/>
    <w:rsid w:val="00662364"/>
    <w:rsid w:val="00675B44"/>
    <w:rsid w:val="0068013E"/>
    <w:rsid w:val="0068057A"/>
    <w:rsid w:val="0068772B"/>
    <w:rsid w:val="00693A4D"/>
    <w:rsid w:val="00694D87"/>
    <w:rsid w:val="006B2AFD"/>
    <w:rsid w:val="006B7800"/>
    <w:rsid w:val="006C0CC3"/>
    <w:rsid w:val="006C7F1E"/>
    <w:rsid w:val="006D0323"/>
    <w:rsid w:val="006D0955"/>
    <w:rsid w:val="006E14A9"/>
    <w:rsid w:val="006E611E"/>
    <w:rsid w:val="006F013E"/>
    <w:rsid w:val="007010C7"/>
    <w:rsid w:val="00726165"/>
    <w:rsid w:val="00731AC4"/>
    <w:rsid w:val="00752C47"/>
    <w:rsid w:val="007638D8"/>
    <w:rsid w:val="007672FC"/>
    <w:rsid w:val="00777CAA"/>
    <w:rsid w:val="0078648A"/>
    <w:rsid w:val="007A1768"/>
    <w:rsid w:val="007A1881"/>
    <w:rsid w:val="007A1ACF"/>
    <w:rsid w:val="007E3965"/>
    <w:rsid w:val="00804E98"/>
    <w:rsid w:val="008137B5"/>
    <w:rsid w:val="0082247D"/>
    <w:rsid w:val="00833808"/>
    <w:rsid w:val="008353A1"/>
    <w:rsid w:val="008365FD"/>
    <w:rsid w:val="00853F4B"/>
    <w:rsid w:val="00855F49"/>
    <w:rsid w:val="00881BBB"/>
    <w:rsid w:val="0089283D"/>
    <w:rsid w:val="008C0768"/>
    <w:rsid w:val="008C1D0A"/>
    <w:rsid w:val="008D1E25"/>
    <w:rsid w:val="008F0DD4"/>
    <w:rsid w:val="0090200F"/>
    <w:rsid w:val="009047E4"/>
    <w:rsid w:val="0091061B"/>
    <w:rsid w:val="009126B3"/>
    <w:rsid w:val="009152C4"/>
    <w:rsid w:val="00921B74"/>
    <w:rsid w:val="009227A8"/>
    <w:rsid w:val="009337F4"/>
    <w:rsid w:val="0095079B"/>
    <w:rsid w:val="00953BA1"/>
    <w:rsid w:val="00954D08"/>
    <w:rsid w:val="00965D24"/>
    <w:rsid w:val="00971E21"/>
    <w:rsid w:val="00986E0B"/>
    <w:rsid w:val="00990344"/>
    <w:rsid w:val="009930CA"/>
    <w:rsid w:val="009C33E1"/>
    <w:rsid w:val="009C7815"/>
    <w:rsid w:val="009E22A3"/>
    <w:rsid w:val="009F522C"/>
    <w:rsid w:val="009F5AE0"/>
    <w:rsid w:val="00A01BE4"/>
    <w:rsid w:val="00A11413"/>
    <w:rsid w:val="00A15F08"/>
    <w:rsid w:val="00A175E9"/>
    <w:rsid w:val="00A21819"/>
    <w:rsid w:val="00A37123"/>
    <w:rsid w:val="00A4426D"/>
    <w:rsid w:val="00A45CF4"/>
    <w:rsid w:val="00A52A71"/>
    <w:rsid w:val="00A573DC"/>
    <w:rsid w:val="00A6339A"/>
    <w:rsid w:val="00A725A4"/>
    <w:rsid w:val="00A7447A"/>
    <w:rsid w:val="00A82195"/>
    <w:rsid w:val="00A82B96"/>
    <w:rsid w:val="00A83290"/>
    <w:rsid w:val="00A84147"/>
    <w:rsid w:val="00A901F0"/>
    <w:rsid w:val="00A94A2B"/>
    <w:rsid w:val="00AD2F06"/>
    <w:rsid w:val="00AD4D7C"/>
    <w:rsid w:val="00AD52D1"/>
    <w:rsid w:val="00AE59DF"/>
    <w:rsid w:val="00AF10DD"/>
    <w:rsid w:val="00B06817"/>
    <w:rsid w:val="00B0730A"/>
    <w:rsid w:val="00B21AE4"/>
    <w:rsid w:val="00B23E69"/>
    <w:rsid w:val="00B42E00"/>
    <w:rsid w:val="00B462AB"/>
    <w:rsid w:val="00B57187"/>
    <w:rsid w:val="00B706F8"/>
    <w:rsid w:val="00B721A8"/>
    <w:rsid w:val="00B7743D"/>
    <w:rsid w:val="00B90752"/>
    <w:rsid w:val="00B908C2"/>
    <w:rsid w:val="00BA28CD"/>
    <w:rsid w:val="00BA70A4"/>
    <w:rsid w:val="00BA72BF"/>
    <w:rsid w:val="00BA79B8"/>
    <w:rsid w:val="00BC64DB"/>
    <w:rsid w:val="00BE7ECA"/>
    <w:rsid w:val="00C17C67"/>
    <w:rsid w:val="00C337A4"/>
    <w:rsid w:val="00C3695B"/>
    <w:rsid w:val="00C44327"/>
    <w:rsid w:val="00C546CE"/>
    <w:rsid w:val="00C90E3E"/>
    <w:rsid w:val="00C969CC"/>
    <w:rsid w:val="00C97DEE"/>
    <w:rsid w:val="00CA4F84"/>
    <w:rsid w:val="00CB4B1D"/>
    <w:rsid w:val="00CD1639"/>
    <w:rsid w:val="00CD3EFA"/>
    <w:rsid w:val="00CE045B"/>
    <w:rsid w:val="00CE3D00"/>
    <w:rsid w:val="00CE5A50"/>
    <w:rsid w:val="00CE78D1"/>
    <w:rsid w:val="00CF7BB4"/>
    <w:rsid w:val="00CF7EEC"/>
    <w:rsid w:val="00D07290"/>
    <w:rsid w:val="00D1127C"/>
    <w:rsid w:val="00D14240"/>
    <w:rsid w:val="00D14718"/>
    <w:rsid w:val="00D1614C"/>
    <w:rsid w:val="00D37C72"/>
    <w:rsid w:val="00D53673"/>
    <w:rsid w:val="00D62C4D"/>
    <w:rsid w:val="00D8016C"/>
    <w:rsid w:val="00D92A3D"/>
    <w:rsid w:val="00D94844"/>
    <w:rsid w:val="00D94E55"/>
    <w:rsid w:val="00DB0A6B"/>
    <w:rsid w:val="00DB28EB"/>
    <w:rsid w:val="00DB6366"/>
    <w:rsid w:val="00DC3359"/>
    <w:rsid w:val="00E25569"/>
    <w:rsid w:val="00E601A2"/>
    <w:rsid w:val="00E7686D"/>
    <w:rsid w:val="00E77198"/>
    <w:rsid w:val="00E83E23"/>
    <w:rsid w:val="00EA3AD1"/>
    <w:rsid w:val="00EB1248"/>
    <w:rsid w:val="00EC08EF"/>
    <w:rsid w:val="00ED236E"/>
    <w:rsid w:val="00EE03CA"/>
    <w:rsid w:val="00EE7199"/>
    <w:rsid w:val="00EF3699"/>
    <w:rsid w:val="00F3220D"/>
    <w:rsid w:val="00F764AD"/>
    <w:rsid w:val="00F873C9"/>
    <w:rsid w:val="00F95A2D"/>
    <w:rsid w:val="00F978E2"/>
    <w:rsid w:val="00F97BA9"/>
    <w:rsid w:val="00FA4E25"/>
    <w:rsid w:val="00FA579C"/>
    <w:rsid w:val="00FB7996"/>
    <w:rsid w:val="00FD284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9E2185-6BF4-44EE-AE86-6B99045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A50"/>
  </w:style>
  <w:style w:type="paragraph" w:styleId="ListParagraph">
    <w:name w:val="List Paragraph"/>
    <w:basedOn w:val="Normal"/>
    <w:uiPriority w:val="34"/>
    <w:qFormat/>
    <w:rsid w:val="00B0730A"/>
    <w:pPr>
      <w:ind w:left="720"/>
      <w:contextualSpacing/>
    </w:pPr>
  </w:style>
  <w:style w:type="character" w:styleId="Hyperlink">
    <w:name w:val="Hyperlink"/>
    <w:basedOn w:val="DefaultParagraphFont"/>
    <w:rsid w:val="006F0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bert.stemberger@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FFE5-F662-4508-9D78-447DE733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3574</Words>
  <Characters>20375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Mošnja Mirna</cp:lastModifiedBy>
  <cp:revision>2</cp:revision>
  <cp:lastPrinted>2019-05-13T07:37:00Z</cp:lastPrinted>
  <dcterms:created xsi:type="dcterms:W3CDTF">2019-06-17T09:44:00Z</dcterms:created>
  <dcterms:modified xsi:type="dcterms:W3CDTF">2019-06-17T09:44:00Z</dcterms:modified>
</cp:coreProperties>
</file>