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FC" w:rsidRPr="00B500D6" w:rsidRDefault="00D065FC" w:rsidP="00D065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Sukladno čl</w:t>
      </w:r>
      <w:r w:rsidR="007F07D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anku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1. Odluke Grada Pule o povjeravanju poslova organizacije gradskih manifestacija u 2022. godini, KLASA:</w:t>
      </w:r>
      <w:r w:rsidR="007F07D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024-02/22-01/81, URBROJ:</w:t>
      </w:r>
      <w:r w:rsidR="007F07D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2163-7-01-01-0019-22-2 od 28.04.2022. godine kao i Dopuni Odluke Grada Pule o povjeravanju poslova organizacije gradskih manifestacija u 2022. godini </w:t>
      </w:r>
      <w:r w:rsidRPr="00B500D6">
        <w:rPr>
          <w:rFonts w:asciiTheme="majorHAnsi" w:hAnsiTheme="majorHAnsi" w:cstheme="majorHAnsi"/>
          <w:color w:val="000000" w:themeColor="text1"/>
          <w:sz w:val="24"/>
          <w:szCs w:val="24"/>
        </w:rPr>
        <w:t>KLASA:0</w:t>
      </w:r>
      <w:r w:rsidR="007F07D9" w:rsidRPr="00B500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500D6">
        <w:rPr>
          <w:rFonts w:asciiTheme="majorHAnsi" w:hAnsiTheme="majorHAnsi" w:cstheme="majorHAnsi"/>
          <w:color w:val="000000" w:themeColor="text1"/>
          <w:sz w:val="24"/>
          <w:szCs w:val="24"/>
        </w:rPr>
        <w:t>24-02/22-01/81, URBROJ:</w:t>
      </w:r>
      <w:r w:rsidR="007F07D9" w:rsidRPr="00B500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500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2163-7-01-01-0019-22-4 od 09.05.2022. godine,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Javna ustanova Pula Film Festival objavljuje sljedeći</w:t>
      </w:r>
    </w:p>
    <w:p w:rsidR="00D22323" w:rsidRPr="00B500D6" w:rsidRDefault="00D22323" w:rsidP="00017A78">
      <w:pPr>
        <w:shd w:val="clear" w:color="auto" w:fill="FFFFFF"/>
        <w:spacing w:before="199" w:after="12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</w:pPr>
    </w:p>
    <w:p w:rsidR="00357715" w:rsidRPr="00B500D6" w:rsidRDefault="00D22323" w:rsidP="000D663F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</w:pPr>
      <w:bookmarkStart w:id="0" w:name="_GoBack"/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  <w:t xml:space="preserve">JAVNI POZIV ZA </w:t>
      </w:r>
      <w:r w:rsidR="00FA0BC8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  <w:t>PRIKUPLJANJE</w:t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  <w:t xml:space="preserve"> PONUDA ZA ORGANIZACIJU GASTRO – ENO MANIFESTACIJE </w:t>
      </w:r>
      <w:r w:rsidR="00E34E7C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  <w:t xml:space="preserve">U </w:t>
      </w:r>
      <w:r w:rsidR="00952FAA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  <w:t>SKLOPU</w:t>
      </w:r>
      <w:r w:rsidR="00E34E7C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  <w:t xml:space="preserve"> PULSKOG KULTURNOG LJETA </w:t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  <w:t>U TITOVOM PARKU</w:t>
      </w:r>
    </w:p>
    <w:bookmarkEnd w:id="0"/>
    <w:p w:rsidR="00357715" w:rsidRPr="00B500D6" w:rsidRDefault="00357715" w:rsidP="00357715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r-HR"/>
        </w:rPr>
      </w:pPr>
    </w:p>
    <w:p w:rsidR="00357715" w:rsidRPr="00B500D6" w:rsidRDefault="00357715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1. PREDMET JAVNOG POZIVA:</w:t>
      </w:r>
    </w:p>
    <w:p w:rsidR="00C95E0F" w:rsidRPr="00B500D6" w:rsidRDefault="005A787C" w:rsidP="00357715">
      <w:pPr>
        <w:shd w:val="clear" w:color="auto" w:fill="FFFFFF"/>
        <w:spacing w:after="276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Organizacija</w:t>
      </w:r>
      <w:r w:rsidR="008A3197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gastro</w:t>
      </w:r>
      <w:proofErr w:type="spellEnd"/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– eno manifestacije</w:t>
      </w:r>
      <w:r w:rsidR="008A3197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r w:rsidR="00E34E7C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 sklopu Pulskog kulturnog ljeta</w:t>
      </w:r>
    </w:p>
    <w:p w:rsidR="00CE236F" w:rsidRPr="00B500D6" w:rsidRDefault="00CE236F" w:rsidP="00CE236F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357715" w:rsidRPr="00B500D6" w:rsidRDefault="00357715" w:rsidP="00CE236F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2. LOKACIJA:</w:t>
      </w:r>
    </w:p>
    <w:p w:rsidR="00357715" w:rsidRPr="00B500D6" w:rsidRDefault="008A3197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Titov park, Pula</w:t>
      </w:r>
    </w:p>
    <w:p w:rsidR="00C95E0F" w:rsidRPr="00B500D6" w:rsidRDefault="00C95E0F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:rsidR="008A3197" w:rsidRPr="00B500D6" w:rsidRDefault="008A3197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357715" w:rsidRPr="00B500D6" w:rsidRDefault="00357715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3. VRIJEME ODRŽAVANJA:</w:t>
      </w:r>
    </w:p>
    <w:p w:rsidR="00C95E0F" w:rsidRPr="00B500D6" w:rsidRDefault="00357715" w:rsidP="00357715">
      <w:pPr>
        <w:shd w:val="clear" w:color="auto" w:fill="FFFFFF"/>
        <w:spacing w:after="276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Od </w:t>
      </w:r>
      <w:r w:rsidR="00D465F6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14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. </w:t>
      </w:r>
      <w:r w:rsidR="008A3197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srpnja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do </w:t>
      </w:r>
      <w:r w:rsidR="00581720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28</w:t>
      </w:r>
      <w:r w:rsidR="008A3197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. kolovoza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202</w:t>
      </w:r>
      <w:r w:rsidR="008A3197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2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. godine (</w:t>
      </w:r>
      <w:r w:rsidR="008A3197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svakodnevno, u vremenu od </w:t>
      </w:r>
      <w:r w:rsidR="00D22323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1</w:t>
      </w:r>
      <w:r w:rsidR="008243FA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8</w:t>
      </w:r>
      <w:r w:rsidR="00D22323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:00 </w:t>
      </w:r>
      <w:r w:rsidR="008A3197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do</w:t>
      </w:r>
      <w:r w:rsidR="00D22323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  <w:r w:rsidR="008243FA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0</w:t>
      </w:r>
      <w:r w:rsidR="00D22323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:00</w:t>
      </w:r>
      <w:r w:rsidR="008A3197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sati</w:t>
      </w: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)</w:t>
      </w:r>
    </w:p>
    <w:p w:rsidR="00CE236F" w:rsidRPr="00B500D6" w:rsidRDefault="00CE236F" w:rsidP="00CE236F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:rsidR="00357715" w:rsidRPr="00B500D6" w:rsidRDefault="009E71CC" w:rsidP="00CE236F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4. </w:t>
      </w:r>
      <w:r w:rsidR="00D465F6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JU PULA FILM FESTIVAL</w:t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OSIGURAVA</w:t>
      </w:r>
      <w:r w:rsidR="00357715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:</w:t>
      </w:r>
    </w:p>
    <w:p w:rsidR="00C20859" w:rsidRPr="00B500D6" w:rsidRDefault="009E71CC" w:rsidP="00E6178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korištenje j</w:t>
      </w:r>
      <w:r w:rsidR="00357715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avn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e površine Titovog </w:t>
      </w:r>
      <w:r w:rsidR="00C2085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parka, Pula</w:t>
      </w:r>
      <w:r w:rsidR="00426C2A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; </w:t>
      </w:r>
    </w:p>
    <w:p w:rsidR="0041688D" w:rsidRPr="00B500D6" w:rsidRDefault="00203932" w:rsidP="005E188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priključak na </w:t>
      </w:r>
      <w:r w:rsidR="001E03F3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električni ormarić</w:t>
      </w:r>
    </w:p>
    <w:p w:rsidR="004662BA" w:rsidRPr="00B500D6" w:rsidRDefault="004662BA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:rsidR="00357715" w:rsidRPr="00B500D6" w:rsidRDefault="00357715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5. OBVEZE IZABRANOG PONUDITELJA:</w:t>
      </w:r>
    </w:p>
    <w:p w:rsidR="00C95E0F" w:rsidRPr="00B500D6" w:rsidRDefault="00C95E0F" w:rsidP="00034D4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osmisliti koncept manifestacije</w:t>
      </w:r>
      <w:r w:rsidR="005A787C"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;</w:t>
      </w:r>
    </w:p>
    <w:p w:rsidR="00E91BA0" w:rsidRPr="00B500D6" w:rsidRDefault="00E91BA0" w:rsidP="00034D4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osigurati postavljanje pokretne opreme (drveni </w:t>
      </w:r>
      <w:proofErr w:type="spellStart"/>
      <w:r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podest</w:t>
      </w:r>
      <w:proofErr w:type="spellEnd"/>
      <w:r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, odgovarajuće univerzalne kućice, </w:t>
      </w:r>
      <w:r w:rsidR="001E03F3" w:rsidRPr="00B500D6">
        <w:rPr>
          <w:rFonts w:asciiTheme="majorHAnsi" w:eastAsia="Times New Roman" w:hAnsiTheme="majorHAnsi" w:cstheme="majorHAnsi"/>
          <w:bCs/>
          <w:sz w:val="24"/>
          <w:szCs w:val="24"/>
          <w:bdr w:val="none" w:sz="0" w:space="0" w:color="auto" w:frame="1"/>
          <w:lang w:eastAsia="hr-HR"/>
        </w:rPr>
        <w:t xml:space="preserve">maksimalno 4 visoka barska stola po kućici (bez sjedećih mjesta), </w:t>
      </w:r>
      <w:r w:rsidR="00581720"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minimalno 3 kemijska </w:t>
      </w:r>
      <w:r w:rsidR="00C155D8"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toaleta</w:t>
      </w:r>
      <w:r w:rsidRPr="00B500D6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);</w:t>
      </w:r>
    </w:p>
    <w:p w:rsidR="00E61786" w:rsidRPr="00B500D6" w:rsidRDefault="00357715" w:rsidP="00034D43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organizirati ugostiteljs</w:t>
      </w:r>
      <w:r w:rsidR="00C95E0F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ku djelatnost na manifestaciji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sukladno Zako</w:t>
      </w:r>
      <w:r w:rsidR="00CD33E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n</w:t>
      </w:r>
      <w:r w:rsidR="00FE1C53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</w:t>
      </w:r>
      <w:r w:rsidR="00CD33E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o </w:t>
      </w:r>
      <w:r w:rsidR="00F87D01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ugostiteljskoj djelatnosti i pozitivnim zakonskim propisima RH</w:t>
      </w:r>
      <w:r w:rsidR="005A787C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;</w:t>
      </w:r>
    </w:p>
    <w:p w:rsidR="00E61786" w:rsidRPr="00B500D6" w:rsidRDefault="00C95E0F" w:rsidP="00D930DD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osigurati potreban razglas i rasvjetu</w:t>
      </w:r>
      <w:r w:rsidR="001E03F3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  <w:r w:rsidR="00D930DD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u skladu s Odlukom </w:t>
      </w:r>
      <w:r w:rsidR="00EC188A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o komunalnom redu, KLASA:947-03/21-01/799, URBROJ:2168/01-05-03-0270-21-3 od 16. studenoga 2021. </w:t>
      </w:r>
      <w:r w:rsidR="00D930DD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vodeći računa da razina buke bude unutar granica dopuštenih vrijednosti određenih posebnim propisima</w:t>
      </w:r>
      <w:r w:rsidR="00736359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.</w:t>
      </w:r>
    </w:p>
    <w:p w:rsidR="00C20859" w:rsidRPr="00B500D6" w:rsidRDefault="00357715" w:rsidP="005F414B">
      <w:pPr>
        <w:pStyle w:val="ListParagraph"/>
        <w:numPr>
          <w:ilvl w:val="0"/>
          <w:numId w:val="11"/>
        </w:numPr>
        <w:spacing w:after="0"/>
        <w:ind w:left="714" w:hanging="357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organizirati zaštitarsku službu</w:t>
      </w:r>
      <w:r w:rsidR="00C2085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za čuvanje kućica i čuvanje javnog reda i mira na javnom skupu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;</w:t>
      </w:r>
    </w:p>
    <w:p w:rsidR="00E61786" w:rsidRPr="00B500D6" w:rsidRDefault="00C20859" w:rsidP="005F414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ugovoriti osiguranje od odgovornosti prema trećim osobama;</w:t>
      </w:r>
    </w:p>
    <w:p w:rsidR="00CD33E9" w:rsidRPr="00B500D6" w:rsidRDefault="00357715" w:rsidP="005F414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osigurati čistoću (</w:t>
      </w:r>
      <w:r w:rsidR="00CD33E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svakodnevno</w:t>
      </w:r>
      <w:r w:rsidR="00FE1C53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čišćenje</w:t>
      </w:r>
      <w:r w:rsidR="00CD33E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te </w:t>
      </w:r>
      <w:r w:rsidR="00E91BA0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vraćanje lokacije </w:t>
      </w:r>
      <w:r w:rsidR="00863C2D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u </w:t>
      </w:r>
      <w:r w:rsidR="00E91BA0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prvobitno stanje </w:t>
      </w:r>
      <w:r w:rsidR="00952384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 roku od 5 dana od završetka manifestacije</w:t>
      </w:r>
      <w:r w:rsidR="00581720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, briga o čistoći i upotrebljivosti </w:t>
      </w:r>
      <w:r w:rsidR="00C155D8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toaleta</w:t>
      </w:r>
      <w:r w:rsidR="00FE1C53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)</w:t>
      </w:r>
      <w:r w:rsidR="00CD33E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;</w:t>
      </w:r>
    </w:p>
    <w:p w:rsidR="00F1037D" w:rsidRPr="00B500D6" w:rsidRDefault="00F1037D" w:rsidP="005F414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s</w:t>
      </w:r>
      <w:r w:rsidR="00C95E0F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Pula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Herculaneom</w:t>
      </w:r>
      <w:proofErr w:type="spellEnd"/>
      <w:r w:rsidR="00C95E0F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d.o.o.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dogovoriti odvoz otpada i bio otpada čiji trošak snosi </w:t>
      </w:r>
      <w:r w:rsidR="00C155D8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Ponuditelj</w:t>
      </w:r>
    </w:p>
    <w:p w:rsidR="00055CA1" w:rsidRPr="00B500D6" w:rsidRDefault="002D2B1E" w:rsidP="005F414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lastRenderedPageBreak/>
        <w:t>snositi trošak električne energije</w:t>
      </w:r>
      <w:r w:rsidR="0027643E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(opskrba i mreža</w:t>
      </w:r>
      <w:r w:rsidR="00055CA1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)</w:t>
      </w:r>
      <w:r w:rsidR="00C9006F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sukladno</w:t>
      </w:r>
      <w:r w:rsidR="00055CA1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obračunu HEP-a. </w:t>
      </w:r>
      <w:r w:rsidR="00C9006F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Obračun se vrši po tarifnom modelu Crveni. </w:t>
      </w:r>
    </w:p>
    <w:p w:rsidR="00C20859" w:rsidRPr="00B500D6" w:rsidRDefault="00C20859" w:rsidP="005F414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osigurati električara koji će izvršiti spajanje kućica na struju, a po potrebi i vodoinstalatera;</w:t>
      </w:r>
    </w:p>
    <w:p w:rsidR="00C95E0F" w:rsidRPr="00B500D6" w:rsidRDefault="00C95E0F" w:rsidP="00034D4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osmisliti vizualni identitet i promovirati manifestaciju</w:t>
      </w:r>
      <w:r w:rsidR="005A787C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;</w:t>
      </w:r>
    </w:p>
    <w:p w:rsidR="00426C2A" w:rsidRPr="00B500D6" w:rsidRDefault="00357715" w:rsidP="00946A6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osigurati poštivanje svih ostalih zakonskih pretpostavku nužnih za održavanje manifestacije (prijava javnog skupa, </w:t>
      </w:r>
      <w:r w:rsidR="00C2085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ZAMP, </w:t>
      </w:r>
      <w:r w:rsidR="00F1037D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suglasnost nadležnog Stožera civilne zaštite, </w:t>
      </w:r>
      <w:r w:rsidR="00F87D01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sanitarni uvjeti i sl.). U slučaju da inspekcijski ili neki drugi nadzor nadležnih tijela utvrdi nepravilnosti u poslovanju, </w:t>
      </w:r>
      <w:r w:rsidR="009A2CA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JU Pula Film Festival</w:t>
      </w:r>
      <w:r w:rsidR="00F87D01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ne sn</w:t>
      </w:r>
      <w:r w:rsidR="00C95E0F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osi nikakvu odgovornost za isto</w:t>
      </w:r>
      <w:r w:rsidR="005457DE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.</w:t>
      </w:r>
    </w:p>
    <w:p w:rsidR="005457DE" w:rsidRPr="00B500D6" w:rsidRDefault="005457DE" w:rsidP="005457DE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:rsidR="00EE403B" w:rsidRPr="00B500D6" w:rsidRDefault="00EE403B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hr-HR"/>
        </w:rPr>
      </w:pPr>
    </w:p>
    <w:p w:rsidR="00357715" w:rsidRPr="00B500D6" w:rsidRDefault="00C95E0F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6</w:t>
      </w:r>
      <w:r w:rsidR="00357715" w:rsidRPr="00B500D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hr-HR"/>
        </w:rPr>
        <w:t>. DOKUMENTACIJA KOJA SE PRILAŽE UZ PONUDU:</w:t>
      </w:r>
    </w:p>
    <w:p w:rsidR="00E61786" w:rsidRPr="00B500D6" w:rsidRDefault="00357715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naziv natjecatelja, OIB, adresa sjedišta natjecatelja, odgovorna osoba – za pravnu osobu;</w:t>
      </w:r>
      <w:r w:rsidR="00581720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a u slučaju zajednice ponuditelja navedeni podaci za sve članove zajednice</w:t>
      </w:r>
    </w:p>
    <w:p w:rsidR="00E61786" w:rsidRPr="00B500D6" w:rsidRDefault="00357715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kontakt osoba</w:t>
      </w:r>
      <w:r w:rsidR="002A1D5E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(ime i prezime, e-mail, telefonski broj)</w:t>
      </w:r>
      <w:r w:rsidR="00E91BA0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;</w:t>
      </w:r>
    </w:p>
    <w:p w:rsidR="00E61786" w:rsidRPr="00B500D6" w:rsidRDefault="00357715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preslika obrtnice (za natjecatelja fizičku osobu – obrtnika), odnosno preslika rješenja nadležnog trgovačkog suda o upisu u sudski registar, izvadak iz sudskog registra ili registra udruga (za </w:t>
      </w:r>
      <w:r w:rsidR="00F44D1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ponuditelja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pravnu osobu) iz kojeg mora biti vidljivo da je </w:t>
      </w:r>
      <w:r w:rsidR="00F44D1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ponuditelj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registriran za obavljanje djelatnosti organizacije manifestacija;</w:t>
      </w:r>
      <w:r w:rsidR="00673546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</w:p>
    <w:p w:rsidR="008454CF" w:rsidRPr="00B500D6" w:rsidRDefault="008454CF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detaljan opis</w:t>
      </w:r>
      <w:r w:rsidR="00F44D1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ugostiteljske ponude</w:t>
      </w:r>
      <w:r w:rsidR="00357715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r w:rsidR="00F44D1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te opis i raspored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odvijanja </w:t>
      </w:r>
      <w:r w:rsidR="00F44D1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planiranog zabavnog programa</w:t>
      </w:r>
      <w:r w:rsidR="005A787C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;</w:t>
      </w:r>
    </w:p>
    <w:p w:rsidR="00C04AE6" w:rsidRPr="00B500D6" w:rsidRDefault="00C04AE6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grafički prikaz </w:t>
      </w:r>
      <w:r w:rsidR="00611C06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prijedloga razmještaja opreme/kućica u prostoru (Titov park)</w:t>
      </w:r>
      <w:r w:rsidR="005A787C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;</w:t>
      </w:r>
    </w:p>
    <w:p w:rsidR="005A787C" w:rsidRPr="00B500D6" w:rsidRDefault="005A787C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prijedlog vizualnog identiteta i plan promocije manifestacije;</w:t>
      </w:r>
    </w:p>
    <w:p w:rsidR="00F87D01" w:rsidRPr="00B500D6" w:rsidRDefault="00F87D01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popis</w:t>
      </w:r>
      <w:r w:rsidR="00695B5C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i opis </w:t>
      </w:r>
      <w:r w:rsidR="009A2CA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dosadašnjih </w:t>
      </w:r>
      <w:r w:rsidR="006C0867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realiziranih </w:t>
      </w:r>
      <w:r w:rsidR="00695B5C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manifestacija u organizaciji Ponuditelja</w:t>
      </w:r>
      <w:r w:rsidR="005A787C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;</w:t>
      </w:r>
    </w:p>
    <w:p w:rsidR="007F41D7" w:rsidRPr="00B500D6" w:rsidRDefault="00673546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dokaz da Ponuditelj nema nepodmirenih obveza prema Gradu Puli</w:t>
      </w:r>
      <w:r w:rsidR="005A787C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;</w:t>
      </w:r>
      <w:r w:rsidR="007F41D7"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</w:p>
    <w:p w:rsidR="00673546" w:rsidRPr="00B500D6" w:rsidRDefault="00673546" w:rsidP="00D14A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dokaz da se protiv pravne osobe Ponuditelja i odgovorne osobe u pravnoj osobi, odnosno fizičke osobe Ponuditelja ne vodi kazneni postupak po službenoj dužnosti (potvrda ne starija od mjesec dana od dana objavljivanja ovog javnog poziva),</w:t>
      </w:r>
    </w:p>
    <w:p w:rsidR="003668FB" w:rsidRPr="00B500D6" w:rsidRDefault="003668FB" w:rsidP="003668F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izjava da nad Ponuditeljem nije pokrenut stečajni postupak i da se Ponuditelj ne nalazi u postupku likvidacije,</w:t>
      </w:r>
    </w:p>
    <w:p w:rsidR="003668FB" w:rsidRPr="00B500D6" w:rsidRDefault="003668FB" w:rsidP="003668F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sz w:val="24"/>
          <w:szCs w:val="24"/>
          <w:lang w:eastAsia="hr-HR"/>
        </w:rPr>
        <w:t>izjava da Ponuditelj nije u postupku obustavljanja poslovne djelatnosti ili da je nije već obustavio.</w:t>
      </w:r>
    </w:p>
    <w:p w:rsidR="005A787C" w:rsidRPr="00B500D6" w:rsidRDefault="005A787C" w:rsidP="0035771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hr-HR"/>
        </w:rPr>
      </w:pPr>
    </w:p>
    <w:p w:rsidR="00C95E0F" w:rsidRPr="00B500D6" w:rsidRDefault="00C95E0F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hr-HR"/>
        </w:rPr>
      </w:pPr>
    </w:p>
    <w:p w:rsidR="00357715" w:rsidRPr="00B500D6" w:rsidRDefault="00C95E0F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7</w:t>
      </w:r>
      <w:r w:rsidR="00357715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. ROK ZA PODNOŠENJE I NAČIN DOSTAVE PONUDE:</w:t>
      </w:r>
    </w:p>
    <w:p w:rsidR="00357715" w:rsidRPr="00B500D6" w:rsidRDefault="00611C06" w:rsidP="002561A3">
      <w:pPr>
        <w:shd w:val="clear" w:color="auto" w:fill="FFFFFF"/>
        <w:spacing w:after="276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Pismena ponuda se dostavlja</w:t>
      </w:r>
      <w:r w:rsidR="00357715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poštom</w:t>
      </w:r>
      <w:r w:rsidR="00CC4869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preporučeno</w:t>
      </w:r>
      <w:r w:rsidR="00357715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ili osobno u zatvorenoj omotnici s naznakom:</w:t>
      </w:r>
    </w:p>
    <w:p w:rsidR="009A2CAB" w:rsidRPr="00B500D6" w:rsidRDefault="009A2CAB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„Javni poziv za organizaciju </w:t>
      </w:r>
      <w:proofErr w:type="spellStart"/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gastro</w:t>
      </w:r>
      <w:proofErr w:type="spellEnd"/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eno manifestacije u Titovom parku</w:t>
      </w:r>
      <w:r w:rsidR="00E61786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“</w:t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</w:t>
      </w:r>
      <w:r w:rsidR="00E61786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– NE OTVARATI</w:t>
      </w:r>
    </w:p>
    <w:p w:rsidR="009A2CAB" w:rsidRPr="00B500D6" w:rsidRDefault="009A2CAB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Pula Film Festival</w:t>
      </w:r>
    </w:p>
    <w:p w:rsidR="009A2CAB" w:rsidRPr="00B500D6" w:rsidRDefault="009A2CAB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Uspon na Kaštel 2</w:t>
      </w:r>
    </w:p>
    <w:p w:rsidR="00357715" w:rsidRPr="00B500D6" w:rsidRDefault="009A2CAB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52 100 Pula</w:t>
      </w:r>
    </w:p>
    <w:p w:rsidR="009A2CAB" w:rsidRPr="00B500D6" w:rsidRDefault="009A2CAB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357715" w:rsidRPr="00B500D6" w:rsidRDefault="00357715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Rok za zaprimanje ponuda je </w:t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zaključno do</w:t>
      </w:r>
      <w:r w:rsidR="005B3C0B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</w:t>
      </w:r>
      <w:r w:rsidR="0036323E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2</w:t>
      </w:r>
      <w:r w:rsidR="00D03402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7</w:t>
      </w:r>
      <w:r w:rsidR="009A2CAB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.</w:t>
      </w:r>
      <w:r w:rsidR="0036323E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lipnja </w:t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202</w:t>
      </w:r>
      <w:r w:rsidR="009D19F2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2</w:t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. godine u 1</w:t>
      </w:r>
      <w:r w:rsidR="009D19F2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2</w:t>
      </w:r>
      <w:r w:rsidR="00CC4869"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,00</w:t>
      </w:r>
      <w:r w:rsidRPr="00B500D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sati bez obzira na način dostave. </w:t>
      </w:r>
    </w:p>
    <w:p w:rsidR="009D19F2" w:rsidRPr="00B500D6" w:rsidRDefault="009D19F2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:rsidR="00FE7A5D" w:rsidRPr="00B500D6" w:rsidRDefault="00FE7A5D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  <w:lastRenderedPageBreak/>
        <w:t xml:space="preserve">Zaprimljene prijave otvara Povjerenstvo za otvaranje i ocjenu prijava po javnom pozivu za prikupljanje ponuda za organizaciju </w:t>
      </w:r>
      <w:proofErr w:type="spellStart"/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  <w:t>gastro</w:t>
      </w:r>
      <w:proofErr w:type="spellEnd"/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eno manifestacije u sklopu Pulskog kulturnog ljeta u Titovom parku. </w:t>
      </w:r>
    </w:p>
    <w:p w:rsidR="00FE7A5D" w:rsidRPr="00B500D6" w:rsidRDefault="00FE7A5D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:rsidR="00FE7A5D" w:rsidRPr="00B500D6" w:rsidRDefault="00FE7A5D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Neće se razmatrati prijave koje pristignu izvan roka određenog Javnim pozivom, nepotpune prijave ili prijave koji ne zadovoljavaju kriterije Javnog poziva. Iznimno, ako je to potrebno radi ispunjenja svrhe ovog </w:t>
      </w:r>
      <w:r w:rsidR="00175AD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  <w:t>J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hr-HR"/>
        </w:rPr>
        <w:t>avnog poziva,  Povjerenstvo može pozvati Ponuditelja da u roku od 2 (dva) dana dostavi dodatnu dokumentaciju koja nedostaje uz prijavu.</w:t>
      </w:r>
    </w:p>
    <w:p w:rsidR="00FE7A5D" w:rsidRPr="00B500D6" w:rsidRDefault="00FE7A5D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:rsidR="00FE7A5D" w:rsidRPr="00B500D6" w:rsidRDefault="00FE7A5D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:rsidR="00357715" w:rsidRPr="00B500D6" w:rsidRDefault="00C95E0F" w:rsidP="002561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  <w:lang w:eastAsia="hr-HR"/>
        </w:rPr>
      </w:pPr>
      <w:r w:rsidRPr="00B500D6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  <w:lang w:eastAsia="hr-HR"/>
        </w:rPr>
        <w:t>8</w:t>
      </w:r>
      <w:r w:rsidR="00357715" w:rsidRPr="00B500D6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  <w:lang w:eastAsia="hr-HR"/>
        </w:rPr>
        <w:t xml:space="preserve">. ODABIR </w:t>
      </w:r>
      <w:r w:rsidR="00C6331D" w:rsidRPr="00B500D6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  <w:lang w:eastAsia="hr-HR"/>
        </w:rPr>
        <w:t>PONUDITELJA</w:t>
      </w:r>
      <w:r w:rsidR="00357715" w:rsidRPr="00B500D6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  <w:lang w:eastAsia="hr-HR"/>
        </w:rPr>
        <w:t>:</w:t>
      </w:r>
    </w:p>
    <w:p w:rsidR="00EB66D7" w:rsidRPr="00B500D6" w:rsidRDefault="00357715" w:rsidP="0080368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Kriteriji za odabir </w:t>
      </w:r>
      <w:r w:rsidR="00C6331D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Ponuditelja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su:</w:t>
      </w:r>
    </w:p>
    <w:p w:rsidR="005A787C" w:rsidRPr="00B500D6" w:rsidRDefault="005A787C" w:rsidP="0080368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Kvaliteta i raznolikost ugostiteljske ponude</w:t>
      </w:r>
    </w:p>
    <w:p w:rsidR="005A787C" w:rsidRPr="00B500D6" w:rsidRDefault="00E61786" w:rsidP="00803681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hAnsiTheme="majorHAnsi" w:cstheme="majorHAnsi"/>
          <w:color w:val="000000" w:themeColor="text1"/>
          <w:sz w:val="24"/>
          <w:szCs w:val="24"/>
          <w:lang w:eastAsia="hr-HR"/>
        </w:rPr>
        <w:t>Plan promocije</w:t>
      </w:r>
    </w:p>
    <w:p w:rsidR="00F44D1B" w:rsidRPr="00B500D6" w:rsidRDefault="00F44D1B" w:rsidP="0080368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Dosadašnje dokazivo iskustvo u organiziranju sličnih manifestacija</w:t>
      </w:r>
    </w:p>
    <w:p w:rsidR="00C36D83" w:rsidRPr="00B500D6" w:rsidRDefault="00C36D83" w:rsidP="00C36D8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C36D83" w:rsidRPr="00B500D6" w:rsidRDefault="00C36D83" w:rsidP="00C36D8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Ukupan broj bodova po kategoriji definiran je u tablici u nastavku:</w:t>
      </w:r>
    </w:p>
    <w:p w:rsidR="00C36D83" w:rsidRPr="00B500D6" w:rsidRDefault="00C36D83" w:rsidP="00C36D83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1"/>
        <w:gridCol w:w="5670"/>
        <w:gridCol w:w="2075"/>
      </w:tblGrid>
      <w:tr w:rsidR="006C0044" w:rsidRPr="00B500D6" w:rsidTr="00FD2196">
        <w:tc>
          <w:tcPr>
            <w:tcW w:w="1271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5670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KRITERIJ</w:t>
            </w:r>
          </w:p>
        </w:tc>
        <w:tc>
          <w:tcPr>
            <w:tcW w:w="2075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BROJ BODOVA</w:t>
            </w:r>
          </w:p>
        </w:tc>
      </w:tr>
      <w:tr w:rsidR="006C0044" w:rsidRPr="00B500D6" w:rsidTr="00FD2196">
        <w:tc>
          <w:tcPr>
            <w:tcW w:w="1271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Kvaliteta i raznolikost ugostiteljske ponude</w:t>
            </w:r>
          </w:p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C36D83" w:rsidRPr="00B500D6" w:rsidRDefault="00C36D83" w:rsidP="00FD21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36D83" w:rsidRPr="00B500D6" w:rsidRDefault="00C36D83" w:rsidP="00FD21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1-20</w:t>
            </w:r>
          </w:p>
        </w:tc>
      </w:tr>
      <w:tr w:rsidR="006C0044" w:rsidRPr="00B500D6" w:rsidTr="00FD2196">
        <w:tc>
          <w:tcPr>
            <w:tcW w:w="1271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Plan promocije</w:t>
            </w:r>
          </w:p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C36D83" w:rsidRPr="00B500D6" w:rsidRDefault="00C36D83" w:rsidP="00FD21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36D83" w:rsidRPr="00B500D6" w:rsidRDefault="00C36D83" w:rsidP="00FD21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1-5</w:t>
            </w:r>
          </w:p>
        </w:tc>
      </w:tr>
      <w:tr w:rsidR="006C0044" w:rsidRPr="00B500D6" w:rsidTr="00FD2196">
        <w:tc>
          <w:tcPr>
            <w:tcW w:w="1271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Dosadašnje dokazivo iskustvo u organiziranju sličnih manifestacija</w:t>
            </w:r>
          </w:p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36D83" w:rsidRPr="00B500D6" w:rsidRDefault="00C36D83" w:rsidP="00FD2196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C36D83" w:rsidRPr="00B500D6" w:rsidRDefault="00C36D83" w:rsidP="00FD21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36D83" w:rsidRPr="00B500D6" w:rsidRDefault="00C36D83" w:rsidP="00FD21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00D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1-15</w:t>
            </w:r>
          </w:p>
        </w:tc>
      </w:tr>
    </w:tbl>
    <w:p w:rsidR="00C36D83" w:rsidRPr="00B500D6" w:rsidRDefault="00C36D83" w:rsidP="00C36D8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C36D83" w:rsidRPr="00B500D6" w:rsidRDefault="00C36D83" w:rsidP="00C36D8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Povjerenstvo za odabir razmotrit će pristigle ponude. Ponuditelj čija je ponuda ocijenjena najvišim brojem bodova bit će odabran.</w:t>
      </w:r>
    </w:p>
    <w:p w:rsidR="00C36D83" w:rsidRPr="00B500D6" w:rsidRDefault="00C36D83" w:rsidP="00C36D8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C36D83" w:rsidRPr="00B500D6" w:rsidRDefault="00C36D83" w:rsidP="00C36D8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Vrednovanje ponuda temelji se na diskrecijskoj ocjeni ponuda od strane članova Povjerenstva.</w:t>
      </w:r>
    </w:p>
    <w:p w:rsidR="00F44D1B" w:rsidRPr="00B500D6" w:rsidRDefault="00F44D1B" w:rsidP="0080368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5837C6" w:rsidRPr="00B500D6" w:rsidRDefault="00997361" w:rsidP="0080368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Ponude se ne otvaraju javno, a o rezultatu </w:t>
      </w:r>
      <w:r w:rsidR="0012330A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će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r w:rsidR="00FE7A5D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onuditelji biti obaviješteni najkasnije u roku </w:t>
      </w:r>
      <w:r w:rsidR="009A2CAB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10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r w:rsidR="00FE7A5D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(deset)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dana od </w:t>
      </w:r>
      <w:r w:rsidR="00952FAA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isteka roka za dostavljanje ponude</w:t>
      </w:r>
      <w:r w:rsidR="005837C6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putem elektroničke adrese navedene u prijavi.</w:t>
      </w:r>
    </w:p>
    <w:p w:rsidR="005837C6" w:rsidRPr="00B500D6" w:rsidRDefault="005837C6" w:rsidP="0080368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FC1BDA" w:rsidRPr="00B500D6" w:rsidRDefault="00FC1BDA" w:rsidP="0080368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JU Pula Film Festival nije dužan odabrati ponudu te je ovlašten u bilo kojoj fazi postupka odustati od prihvata ponude, sve do trenutka sklapanja ugovora s odabranim Ponuditeljem, bez prava bilo kojeg Ponuditelja na naknadu bilo kakve štete koja mu zbog tog razloga nastane ili može nastati.</w:t>
      </w:r>
    </w:p>
    <w:p w:rsidR="00FC1BDA" w:rsidRPr="00B500D6" w:rsidRDefault="00FC1BDA" w:rsidP="0080368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811EC8" w:rsidRPr="00B500D6" w:rsidRDefault="00C155D8" w:rsidP="00811EC8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Za predmet </w:t>
      </w:r>
      <w:r w:rsidR="00811EC8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J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avnog poziva sklopit će se ugovor o organizaciji programa s jednim odabranim</w:t>
      </w:r>
      <w:r w:rsidR="00811EC8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ponuditeljem</w:t>
      </w:r>
      <w:r w:rsidR="00811EC8"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kojim će se regulirati međusobna prava i obveze Ponuditelja. U svrhu osiguranja ravnopravnosti svih potencijalnih Ponuditelja, Pula Film Festival ne može davati prethodna mišljenja o prihvatljivosti prijavljene ponude, aktivnosti ili troškova navedenih u prijavi. </w:t>
      </w:r>
    </w:p>
    <w:p w:rsidR="00811EC8" w:rsidRPr="00B500D6" w:rsidRDefault="00811EC8" w:rsidP="00811EC8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8F6F89" w:rsidRPr="00B500D6" w:rsidRDefault="008F6F89" w:rsidP="00811EC8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8F6F89" w:rsidRPr="00B500D6" w:rsidRDefault="008F6F89" w:rsidP="00811EC8">
      <w:pPr>
        <w:spacing w:after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B500D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9. ZAVRŠNE ODREDBE:</w:t>
      </w:r>
    </w:p>
    <w:p w:rsidR="008F6F89" w:rsidRPr="00B500D6" w:rsidRDefault="008F6F89" w:rsidP="00811EC8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A1A94" w:rsidRPr="00B500D6" w:rsidRDefault="008A1A94" w:rsidP="008A1A9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Ponuditelj je prijavom na ovaj Javni poziv suglasan da se sve obavijesti dostavljaju, te da se sva komunikacija vrši putem elektroničke adrese navedene u prijavi. </w:t>
      </w:r>
    </w:p>
    <w:p w:rsidR="008A1A94" w:rsidRPr="00B500D6" w:rsidRDefault="008A1A94" w:rsidP="00811EC8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11EC8" w:rsidRPr="00B500D6" w:rsidRDefault="00811EC8" w:rsidP="00811EC8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00D6">
        <w:rPr>
          <w:rFonts w:asciiTheme="majorHAnsi" w:hAnsiTheme="majorHAnsi" w:cstheme="majorHAnsi"/>
          <w:color w:val="000000" w:themeColor="text1"/>
          <w:sz w:val="24"/>
          <w:szCs w:val="24"/>
        </w:rPr>
        <w:t>Zaprimljene prijave na Javni poziv se ne vraćaju.</w:t>
      </w:r>
    </w:p>
    <w:p w:rsidR="00811EC8" w:rsidRPr="00B500D6" w:rsidRDefault="00811EC8" w:rsidP="00811EC8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11EC8" w:rsidRPr="00B500D6" w:rsidRDefault="00811EC8" w:rsidP="00811EC8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00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Pula Film Festival, kao voditelj obrade osobnih podataka, će s osobnim podacima fizičkih osoba (osobe ovlaštene za zastupanje nakladnika, voditelji projekata i dr.) postupati sukladno Općoj uredbi (EU) 2016/679 o zaštiti pojedinaca u vezi s obradom osobnih podataka i slobodnom kretanju takvih podataka, nacionalnim zakonom Republike Hrvatske temeljenom na predmetnoj Uredbi uz primjenu odgovarajućih tehničkih i sigurnosnih mjera zaštite osobnih podataka od neovlaštenog pristupa, zlouporabe, otkrivanja, gubitka ili uništenja. Svi prijavitelji podnošenjem prijave daju svoju suglasnost Pula Film Festivalu da u njoj navedene osobne podatke prikuplja i obrađuje u svrhu obrade i financiranja prijavljenih programa, te da ih može koristiti u svrhu organizacije manifestacije, kontaktiranja i objave na internetskim stranicama i/ili u javnom glasilu. Prava prijavitelja i postupanje u odnosu na njegove osobne podatke objavljena su na </w:t>
      </w:r>
      <w:hyperlink r:id="rId5" w:history="1">
        <w:r w:rsidRPr="00B500D6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</w:rPr>
          <w:t>http://www.pula.hr/hr/rad-gradske-uprave/gdpr/</w:t>
        </w:r>
      </w:hyperlink>
    </w:p>
    <w:p w:rsidR="00811EC8" w:rsidRPr="00B500D6" w:rsidRDefault="00811EC8" w:rsidP="00811EC8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11EC8" w:rsidRPr="00B500D6" w:rsidRDefault="00811EC8" w:rsidP="00811EC8">
      <w:pPr>
        <w:spacing w:after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B500D6">
        <w:rPr>
          <w:rFonts w:asciiTheme="majorHAnsi" w:hAnsiTheme="majorHAnsi" w:cstheme="majorHAnsi"/>
          <w:color w:val="000000" w:themeColor="text1"/>
          <w:sz w:val="24"/>
          <w:szCs w:val="24"/>
        </w:rPr>
        <w:t>Izrazi koji se koriste u ovom pozivu, a imaju rodno značenje, bez obzira na to jesu li korišteni u muškom ili ženskom rodu, odnose se na jednak način na muški i ženski rod.</w:t>
      </w:r>
    </w:p>
    <w:p w:rsidR="00997361" w:rsidRPr="00B500D6" w:rsidRDefault="00811EC8" w:rsidP="00811EC8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</w:p>
    <w:p w:rsidR="008F6F89" w:rsidRPr="00B500D6" w:rsidRDefault="008F6F89" w:rsidP="008F6F8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 w:rsidRPr="00B500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Pula Film Festival zadržava pravo ne izabrati niti jednog Ponuditelja te pravo poništenja Javnog poziva bez obrazloženja u tijeku trajanja javnog poziva ili nakon dovršetka.</w:t>
      </w:r>
    </w:p>
    <w:p w:rsidR="00863454" w:rsidRPr="00B500D6" w:rsidRDefault="00863454">
      <w:pPr>
        <w:rPr>
          <w:rFonts w:asciiTheme="majorHAnsi" w:hAnsiTheme="majorHAnsi" w:cstheme="majorHAnsi"/>
          <w:sz w:val="24"/>
          <w:szCs w:val="24"/>
        </w:rPr>
      </w:pPr>
    </w:p>
    <w:p w:rsidR="0027643E" w:rsidRPr="00B500D6" w:rsidRDefault="0027643E">
      <w:pPr>
        <w:rPr>
          <w:rFonts w:asciiTheme="majorHAnsi" w:hAnsiTheme="majorHAnsi" w:cstheme="majorHAnsi"/>
          <w:b/>
          <w:sz w:val="24"/>
          <w:szCs w:val="24"/>
        </w:rPr>
      </w:pPr>
      <w:r w:rsidRPr="00B500D6">
        <w:rPr>
          <w:rFonts w:asciiTheme="majorHAnsi" w:hAnsiTheme="majorHAnsi" w:cstheme="majorHAnsi"/>
          <w:b/>
          <w:sz w:val="24"/>
          <w:szCs w:val="24"/>
        </w:rPr>
        <w:t>10. OSTALO</w:t>
      </w:r>
    </w:p>
    <w:p w:rsidR="0027643E" w:rsidRPr="00B500D6" w:rsidRDefault="0027643E">
      <w:pPr>
        <w:rPr>
          <w:rFonts w:asciiTheme="majorHAnsi" w:hAnsiTheme="majorHAnsi" w:cstheme="majorHAnsi"/>
          <w:sz w:val="24"/>
          <w:szCs w:val="24"/>
        </w:rPr>
      </w:pPr>
      <w:r w:rsidRPr="00B500D6">
        <w:rPr>
          <w:rFonts w:asciiTheme="majorHAnsi" w:hAnsiTheme="majorHAnsi" w:cstheme="majorHAnsi"/>
          <w:sz w:val="24"/>
          <w:szCs w:val="24"/>
        </w:rPr>
        <w:t>Kontakt: info@pulafilmfestival.hr</w:t>
      </w:r>
    </w:p>
    <w:sectPr w:rsidR="0027643E" w:rsidRPr="00B500D6" w:rsidSect="00F97B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848"/>
    <w:multiLevelType w:val="hybridMultilevel"/>
    <w:tmpl w:val="68749AA2"/>
    <w:lvl w:ilvl="0" w:tplc="4BCC453C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05151"/>
    <w:multiLevelType w:val="hybridMultilevel"/>
    <w:tmpl w:val="A7FE2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067A"/>
    <w:multiLevelType w:val="hybridMultilevel"/>
    <w:tmpl w:val="42E6D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82471"/>
    <w:multiLevelType w:val="hybridMultilevel"/>
    <w:tmpl w:val="62B29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E538D"/>
    <w:multiLevelType w:val="hybridMultilevel"/>
    <w:tmpl w:val="783ACA3C"/>
    <w:lvl w:ilvl="0" w:tplc="F5346950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46E2"/>
    <w:multiLevelType w:val="hybridMultilevel"/>
    <w:tmpl w:val="087CD426"/>
    <w:lvl w:ilvl="0" w:tplc="B52CFC5C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0678A"/>
    <w:multiLevelType w:val="hybridMultilevel"/>
    <w:tmpl w:val="4600E8E6"/>
    <w:lvl w:ilvl="0" w:tplc="0E16A7BC">
      <w:start w:val="1"/>
      <w:numFmt w:val="bullet"/>
      <w:lvlText w:val="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41E84"/>
    <w:multiLevelType w:val="hybridMultilevel"/>
    <w:tmpl w:val="A0382D26"/>
    <w:lvl w:ilvl="0" w:tplc="4C363D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F5813"/>
    <w:multiLevelType w:val="hybridMultilevel"/>
    <w:tmpl w:val="0C8A7C62"/>
    <w:lvl w:ilvl="0" w:tplc="4C363D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82D00"/>
    <w:multiLevelType w:val="hybridMultilevel"/>
    <w:tmpl w:val="1B981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7172A"/>
    <w:multiLevelType w:val="hybridMultilevel"/>
    <w:tmpl w:val="ABEE5868"/>
    <w:lvl w:ilvl="0" w:tplc="4C363D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8045F"/>
    <w:multiLevelType w:val="hybridMultilevel"/>
    <w:tmpl w:val="DAC681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2073F"/>
    <w:multiLevelType w:val="hybridMultilevel"/>
    <w:tmpl w:val="BB10C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42138"/>
    <w:multiLevelType w:val="hybridMultilevel"/>
    <w:tmpl w:val="5D2E2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C2CD1"/>
    <w:multiLevelType w:val="hybridMultilevel"/>
    <w:tmpl w:val="34BA4FBC"/>
    <w:lvl w:ilvl="0" w:tplc="4C363D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357D4"/>
    <w:multiLevelType w:val="hybridMultilevel"/>
    <w:tmpl w:val="49441812"/>
    <w:lvl w:ilvl="0" w:tplc="B21EB8DC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57715"/>
    <w:rsid w:val="00017A78"/>
    <w:rsid w:val="0002463A"/>
    <w:rsid w:val="00034D43"/>
    <w:rsid w:val="00054AF4"/>
    <w:rsid w:val="00055CA1"/>
    <w:rsid w:val="00092BF2"/>
    <w:rsid w:val="000D5076"/>
    <w:rsid w:val="000D663F"/>
    <w:rsid w:val="000F7C34"/>
    <w:rsid w:val="00112C0B"/>
    <w:rsid w:val="0012330A"/>
    <w:rsid w:val="00175ADB"/>
    <w:rsid w:val="0019203E"/>
    <w:rsid w:val="001C2376"/>
    <w:rsid w:val="001E03F3"/>
    <w:rsid w:val="00203932"/>
    <w:rsid w:val="00223DBB"/>
    <w:rsid w:val="002561A3"/>
    <w:rsid w:val="00261F22"/>
    <w:rsid w:val="002751E4"/>
    <w:rsid w:val="0027643E"/>
    <w:rsid w:val="00282BB0"/>
    <w:rsid w:val="00283ECB"/>
    <w:rsid w:val="002A1D5E"/>
    <w:rsid w:val="002A480F"/>
    <w:rsid w:val="002D2B1E"/>
    <w:rsid w:val="003205F2"/>
    <w:rsid w:val="003205FD"/>
    <w:rsid w:val="00357715"/>
    <w:rsid w:val="00361EA7"/>
    <w:rsid w:val="0036323E"/>
    <w:rsid w:val="003668FB"/>
    <w:rsid w:val="00402180"/>
    <w:rsid w:val="0041688D"/>
    <w:rsid w:val="00426C2A"/>
    <w:rsid w:val="004662BA"/>
    <w:rsid w:val="00483A76"/>
    <w:rsid w:val="004D5F77"/>
    <w:rsid w:val="00500E38"/>
    <w:rsid w:val="005103B2"/>
    <w:rsid w:val="005457DE"/>
    <w:rsid w:val="00581720"/>
    <w:rsid w:val="005837C6"/>
    <w:rsid w:val="005A787C"/>
    <w:rsid w:val="005B3C0B"/>
    <w:rsid w:val="005F414B"/>
    <w:rsid w:val="00611C06"/>
    <w:rsid w:val="006168CC"/>
    <w:rsid w:val="00631A83"/>
    <w:rsid w:val="006459F9"/>
    <w:rsid w:val="00646BB5"/>
    <w:rsid w:val="0065463A"/>
    <w:rsid w:val="00673546"/>
    <w:rsid w:val="00695B5C"/>
    <w:rsid w:val="006B66F3"/>
    <w:rsid w:val="006C0044"/>
    <w:rsid w:val="006C0867"/>
    <w:rsid w:val="00710764"/>
    <w:rsid w:val="007213BC"/>
    <w:rsid w:val="00736359"/>
    <w:rsid w:val="0078135C"/>
    <w:rsid w:val="007903F1"/>
    <w:rsid w:val="007F07D9"/>
    <w:rsid w:val="007F41D7"/>
    <w:rsid w:val="00803681"/>
    <w:rsid w:val="00810453"/>
    <w:rsid w:val="00811EC8"/>
    <w:rsid w:val="008243FA"/>
    <w:rsid w:val="008262B8"/>
    <w:rsid w:val="008454CF"/>
    <w:rsid w:val="00863454"/>
    <w:rsid w:val="00863C2D"/>
    <w:rsid w:val="008A1A94"/>
    <w:rsid w:val="008A3197"/>
    <w:rsid w:val="008F6F89"/>
    <w:rsid w:val="00917544"/>
    <w:rsid w:val="009270F9"/>
    <w:rsid w:val="00952384"/>
    <w:rsid w:val="00952FAA"/>
    <w:rsid w:val="00987F5F"/>
    <w:rsid w:val="00997361"/>
    <w:rsid w:val="009A2CAB"/>
    <w:rsid w:val="009C5380"/>
    <w:rsid w:val="009C5859"/>
    <w:rsid w:val="009D19F2"/>
    <w:rsid w:val="009E71CC"/>
    <w:rsid w:val="00A24E03"/>
    <w:rsid w:val="00A41AF6"/>
    <w:rsid w:val="00A42D0D"/>
    <w:rsid w:val="00A710FA"/>
    <w:rsid w:val="00AD71F7"/>
    <w:rsid w:val="00B41272"/>
    <w:rsid w:val="00B500D6"/>
    <w:rsid w:val="00B61519"/>
    <w:rsid w:val="00C04AE6"/>
    <w:rsid w:val="00C155D8"/>
    <w:rsid w:val="00C20859"/>
    <w:rsid w:val="00C36D83"/>
    <w:rsid w:val="00C47197"/>
    <w:rsid w:val="00C55F51"/>
    <w:rsid w:val="00C6331D"/>
    <w:rsid w:val="00C80EBC"/>
    <w:rsid w:val="00C9006F"/>
    <w:rsid w:val="00C95E0F"/>
    <w:rsid w:val="00CB692E"/>
    <w:rsid w:val="00CC4869"/>
    <w:rsid w:val="00CD33E9"/>
    <w:rsid w:val="00CE236F"/>
    <w:rsid w:val="00D03402"/>
    <w:rsid w:val="00D065FC"/>
    <w:rsid w:val="00D14A65"/>
    <w:rsid w:val="00D22323"/>
    <w:rsid w:val="00D3115D"/>
    <w:rsid w:val="00D465F6"/>
    <w:rsid w:val="00D521EF"/>
    <w:rsid w:val="00D82D2C"/>
    <w:rsid w:val="00D930DD"/>
    <w:rsid w:val="00DE24C4"/>
    <w:rsid w:val="00E07822"/>
    <w:rsid w:val="00E12E09"/>
    <w:rsid w:val="00E34E7C"/>
    <w:rsid w:val="00E61786"/>
    <w:rsid w:val="00E91BA0"/>
    <w:rsid w:val="00EB3848"/>
    <w:rsid w:val="00EB66D7"/>
    <w:rsid w:val="00EC188A"/>
    <w:rsid w:val="00EC4B71"/>
    <w:rsid w:val="00EE403B"/>
    <w:rsid w:val="00F06274"/>
    <w:rsid w:val="00F1037D"/>
    <w:rsid w:val="00F44D1B"/>
    <w:rsid w:val="00F7127B"/>
    <w:rsid w:val="00F76F8B"/>
    <w:rsid w:val="00F87D01"/>
    <w:rsid w:val="00F97BE5"/>
    <w:rsid w:val="00FA0BC8"/>
    <w:rsid w:val="00FC1BDA"/>
    <w:rsid w:val="00FE1C53"/>
    <w:rsid w:val="00FE278F"/>
    <w:rsid w:val="00FE68F8"/>
    <w:rsid w:val="00F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E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la.hr/hr/rad-gradske-uprave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slicardo</cp:lastModifiedBy>
  <cp:revision>2</cp:revision>
  <cp:lastPrinted>2022-05-04T07:32:00Z</cp:lastPrinted>
  <dcterms:created xsi:type="dcterms:W3CDTF">2022-05-27T09:09:00Z</dcterms:created>
  <dcterms:modified xsi:type="dcterms:W3CDTF">2022-05-27T09:09:00Z</dcterms:modified>
</cp:coreProperties>
</file>