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294AF" w14:textId="414878A7" w:rsidR="00F32075" w:rsidRDefault="00F32075" w:rsidP="004D6A30">
      <w:pPr>
        <w:ind w:firstLine="720"/>
        <w:jc w:val="both"/>
      </w:pPr>
      <w:r>
        <w:fldChar w:fldCharType="begin"/>
      </w:r>
      <w:r>
        <w:fldChar w:fldCharType="end"/>
      </w:r>
      <w:r>
        <w:t xml:space="preserve">Ai sensi della Delibera sull’indizione dell'Invito pubblico e delle modalità di </w:t>
      </w:r>
      <w:r w:rsidR="00AD0DFE">
        <w:t xml:space="preserve">ripartizione </w:t>
      </w:r>
      <w:r>
        <w:t>dei fondi disponibili d</w:t>
      </w:r>
      <w:r w:rsidR="00F06A30">
        <w:t>i</w:t>
      </w:r>
      <w:r>
        <w:t xml:space="preserve"> Bilancio della Città di Pula-Pola per l'anno 2023 destinati al finanziamento di programmi e progetti nell’ambito dell'assistenza sociale, della sanità e della veterinaria di interesse pubblico svolti dalle associazioni e altre organizzazioni senza scopo di lucro sul territorio della Città di Pula-Pola, Città di Pula-Pola il </w:t>
      </w:r>
      <w:r w:rsidR="007E0882">
        <w:t>23</w:t>
      </w:r>
      <w:r>
        <w:t xml:space="preserve"> gennaio 2023 indice l’</w:t>
      </w:r>
    </w:p>
    <w:p w14:paraId="3B936F84" w14:textId="77777777" w:rsidR="008D5AE0" w:rsidRDefault="008D5AE0" w:rsidP="00F32075">
      <w:pPr>
        <w:ind w:firstLine="720"/>
      </w:pPr>
    </w:p>
    <w:p w14:paraId="6F1EF6B1" w14:textId="77777777" w:rsidR="008D5AE0" w:rsidRDefault="008D5AE0" w:rsidP="00F32075">
      <w:pPr>
        <w:pStyle w:val="NoSpacing"/>
        <w:jc w:val="center"/>
        <w:rPr>
          <w:rFonts w:ascii="Times New Roman" w:hAnsi="Times New Roman"/>
          <w:b/>
          <w:sz w:val="24"/>
          <w:szCs w:val="24"/>
        </w:rPr>
      </w:pPr>
    </w:p>
    <w:p w14:paraId="7BEDF35D" w14:textId="77777777" w:rsidR="008D5AE0" w:rsidRDefault="008D5AE0" w:rsidP="00F32075">
      <w:pPr>
        <w:pStyle w:val="NoSpacing"/>
        <w:jc w:val="center"/>
        <w:rPr>
          <w:rFonts w:ascii="Times New Roman" w:hAnsi="Times New Roman"/>
          <w:b/>
          <w:sz w:val="24"/>
          <w:szCs w:val="24"/>
        </w:rPr>
      </w:pPr>
    </w:p>
    <w:p w14:paraId="67B4D986" w14:textId="6DA3BC14" w:rsidR="00F32075" w:rsidRDefault="00F32075" w:rsidP="00F32075">
      <w:pPr>
        <w:pStyle w:val="NoSpacing"/>
        <w:jc w:val="center"/>
        <w:rPr>
          <w:rFonts w:ascii="Times New Roman" w:hAnsi="Times New Roman"/>
          <w:b/>
          <w:sz w:val="24"/>
          <w:szCs w:val="24"/>
        </w:rPr>
      </w:pPr>
      <w:r>
        <w:rPr>
          <w:rFonts w:ascii="Times New Roman" w:hAnsi="Times New Roman"/>
          <w:b/>
          <w:sz w:val="24"/>
        </w:rPr>
        <w:t>INVITO PUBBLICO</w:t>
      </w:r>
    </w:p>
    <w:p w14:paraId="2009D9DA" w14:textId="77777777" w:rsidR="00F32075" w:rsidRDefault="00F32075" w:rsidP="00F32075">
      <w:pPr>
        <w:pStyle w:val="NoSpacing"/>
        <w:jc w:val="center"/>
        <w:rPr>
          <w:rFonts w:ascii="Times New Roman" w:hAnsi="Times New Roman"/>
          <w:b/>
          <w:sz w:val="24"/>
          <w:szCs w:val="24"/>
        </w:rPr>
      </w:pPr>
    </w:p>
    <w:p w14:paraId="34F73073" w14:textId="0D529437" w:rsidR="00F32075" w:rsidRDefault="00F32075" w:rsidP="00F32075">
      <w:pPr>
        <w:pStyle w:val="NoSpacing"/>
        <w:jc w:val="center"/>
        <w:rPr>
          <w:rFonts w:ascii="Times New Roman" w:hAnsi="Times New Roman"/>
          <w:b/>
          <w:sz w:val="24"/>
          <w:szCs w:val="24"/>
        </w:rPr>
      </w:pPr>
      <w:r>
        <w:rPr>
          <w:rFonts w:ascii="Times New Roman" w:hAnsi="Times New Roman"/>
          <w:b/>
          <w:sz w:val="24"/>
        </w:rPr>
        <w:t xml:space="preserve">per il finanziamento di programmi e progetti nell’ambito dell'assistenza sociale, sanitaria e veterinaria di interesse pubblico svolti da associazioni e da altre organizzazioni senza scopo di lucro sul territorio della Città di Pola - Pola nel 2023 </w:t>
      </w:r>
    </w:p>
    <w:p w14:paraId="0A0A84B9" w14:textId="77777777" w:rsidR="00F32075" w:rsidRDefault="00F32075" w:rsidP="00F32075">
      <w:pPr>
        <w:pStyle w:val="NoSpacing"/>
        <w:jc w:val="center"/>
        <w:rPr>
          <w:rFonts w:ascii="Times New Roman" w:hAnsi="Times New Roman"/>
          <w:b/>
          <w:color w:val="FF0000"/>
          <w:sz w:val="24"/>
          <w:szCs w:val="24"/>
        </w:rPr>
      </w:pPr>
    </w:p>
    <w:p w14:paraId="7D1DA61B" w14:textId="77777777" w:rsidR="00E17DCF" w:rsidRDefault="00E17DCF" w:rsidP="00F32075">
      <w:pPr>
        <w:pStyle w:val="NoSpacing"/>
        <w:rPr>
          <w:rFonts w:ascii="Times New Roman" w:hAnsi="Times New Roman"/>
          <w:sz w:val="24"/>
          <w:szCs w:val="24"/>
        </w:rPr>
      </w:pPr>
    </w:p>
    <w:p w14:paraId="24BF3205" w14:textId="2229EFB3" w:rsidR="008D5AE0" w:rsidRDefault="00F32075" w:rsidP="00F32075">
      <w:pPr>
        <w:pStyle w:val="NoSpacing"/>
        <w:rPr>
          <w:rFonts w:ascii="Times New Roman" w:hAnsi="Times New Roman"/>
          <w:b/>
          <w:sz w:val="24"/>
          <w:szCs w:val="24"/>
        </w:rPr>
      </w:pPr>
      <w:r>
        <w:tab/>
      </w:r>
      <w:r>
        <w:tab/>
      </w:r>
      <w:r>
        <w:tab/>
      </w:r>
      <w:r>
        <w:tab/>
      </w:r>
      <w:r>
        <w:tab/>
      </w:r>
      <w:r>
        <w:tab/>
      </w:r>
      <w:r>
        <w:rPr>
          <w:rFonts w:ascii="Times New Roman" w:hAnsi="Times New Roman"/>
          <w:b/>
          <w:sz w:val="24"/>
        </w:rPr>
        <w:t>I.</w:t>
      </w:r>
    </w:p>
    <w:p w14:paraId="3DDD6A36" w14:textId="77777777" w:rsidR="008D5AE0" w:rsidRDefault="008D5AE0" w:rsidP="00F32075">
      <w:pPr>
        <w:pStyle w:val="NoSpacing"/>
        <w:rPr>
          <w:rFonts w:ascii="Times New Roman" w:hAnsi="Times New Roman"/>
          <w:b/>
          <w:sz w:val="24"/>
          <w:szCs w:val="24"/>
        </w:rPr>
      </w:pPr>
    </w:p>
    <w:p w14:paraId="226B8541" w14:textId="0C823053" w:rsidR="00F32075" w:rsidRDefault="00F32075" w:rsidP="00F32075">
      <w:pPr>
        <w:jc w:val="both"/>
      </w:pPr>
      <w:r>
        <w:t xml:space="preserve">La Città di Pula-Pola invita le associazioni e altre organizzazioni senza scopo di lucro i cui programmi sono orientati al lavoro nelle aree indicate dal presente Invito pubblico a richiedere un sostegno finanziario per programmi e progetti che contribuiscono allo sviluppo delle aree prioritarie del presente Invito pubblico. </w:t>
      </w:r>
    </w:p>
    <w:p w14:paraId="7984A2E9" w14:textId="77777777" w:rsidR="008D5AE0" w:rsidRDefault="008D5AE0" w:rsidP="00F32075">
      <w:pPr>
        <w:jc w:val="both"/>
      </w:pPr>
    </w:p>
    <w:p w14:paraId="425686E7" w14:textId="72407EB1" w:rsidR="008D5AE0" w:rsidRDefault="00F32075" w:rsidP="008D5AE0">
      <w:pPr>
        <w:ind w:left="3540" w:firstLine="708"/>
        <w:jc w:val="both"/>
        <w:rPr>
          <w:b/>
        </w:rPr>
      </w:pPr>
      <w:r>
        <w:rPr>
          <w:b/>
        </w:rPr>
        <w:t>II</w:t>
      </w:r>
    </w:p>
    <w:p w14:paraId="2F494DC7" w14:textId="77777777" w:rsidR="008D5AE0" w:rsidRDefault="008D5AE0" w:rsidP="008D5AE0">
      <w:pPr>
        <w:ind w:left="3540" w:firstLine="708"/>
        <w:jc w:val="both"/>
        <w:rPr>
          <w:b/>
        </w:rPr>
      </w:pPr>
    </w:p>
    <w:p w14:paraId="6EFFAFAC" w14:textId="77777777" w:rsidR="004D6A30" w:rsidRDefault="00F32075" w:rsidP="004D6A30">
      <w:pPr>
        <w:jc w:val="both"/>
      </w:pPr>
      <w:r>
        <w:t>Le associazioni e le altre organizzazioni senza scopo di lucro possono, ai sensi del presente Invito, presentare programmi e progetti che contribuiscono allo sviluppo della priorità P3 Città inclusiva e digitale dal documento strategico di pianificazione e sviluppo della Città di Pola "Programma attuativo della Città di Pola per il periodo 2021-2025"</w:t>
      </w:r>
    </w:p>
    <w:p w14:paraId="6DD28D66" w14:textId="326BDCBB" w:rsidR="00F32075" w:rsidRDefault="004D6A30" w:rsidP="004D6A30">
      <w:pPr>
        <w:jc w:val="both"/>
      </w:pPr>
      <w:r>
        <w:t xml:space="preserve"> </w:t>
      </w:r>
      <w:hyperlink r:id="rId7" w:history="1">
        <w:r w:rsidRPr="00AC3CB2">
          <w:rPr>
            <w:rStyle w:val="Hyperlink"/>
          </w:rPr>
          <w:t>https://www.pula.hr/hr/uprava/gradonacelnik/provedbeni-program-grada-pule/</w:t>
        </w:r>
      </w:hyperlink>
      <w:r w:rsidR="00F32075">
        <w:t xml:space="preserve"> realizzando la misura 3.2 Sostegno all'inclusione sociale, alla salute e allo sviluppo generale della comunità attraverso la realizzazione delle seguenti attività:</w:t>
      </w:r>
    </w:p>
    <w:p w14:paraId="1CA9E1C6" w14:textId="3C472DCA" w:rsidR="009B28F7" w:rsidRDefault="009B28F7" w:rsidP="00F32075">
      <w:pPr>
        <w:jc w:val="both"/>
      </w:pPr>
    </w:p>
    <w:p w14:paraId="306E68EC" w14:textId="77777777" w:rsidR="00764E08" w:rsidRPr="009D0E31" w:rsidRDefault="00764E08" w:rsidP="00764E08">
      <w:pPr>
        <w:pStyle w:val="Default"/>
        <w:rPr>
          <w:rFonts w:ascii="Times New Roman" w:hAnsi="Times New Roman" w:cs="Times New Roman"/>
        </w:rPr>
      </w:pPr>
      <w:r>
        <w:rPr>
          <w:rFonts w:ascii="Times New Roman" w:hAnsi="Times New Roman"/>
        </w:rPr>
        <w:t xml:space="preserve">3.2.2 Sostegno a progetti che contribuiscono all'inclusione sociale di gruppi emarginati e persone con disabilità </w:t>
      </w:r>
    </w:p>
    <w:p w14:paraId="16BBF756" w14:textId="77777777" w:rsidR="00764E08" w:rsidRPr="009D0E31" w:rsidRDefault="00764E08" w:rsidP="00764E08">
      <w:pPr>
        <w:pStyle w:val="Default"/>
        <w:rPr>
          <w:rFonts w:ascii="Times New Roman" w:hAnsi="Times New Roman" w:cs="Times New Roman"/>
        </w:rPr>
      </w:pPr>
      <w:r>
        <w:rPr>
          <w:rFonts w:ascii="Times New Roman" w:hAnsi="Times New Roman"/>
        </w:rPr>
        <w:t xml:space="preserve">3.2.3 Fornire supporto ai servizi sociali </w:t>
      </w:r>
    </w:p>
    <w:p w14:paraId="440C4A4D" w14:textId="77777777" w:rsidR="00764E08" w:rsidRPr="009D0E31" w:rsidRDefault="00764E08" w:rsidP="00764E08">
      <w:pPr>
        <w:pStyle w:val="Default"/>
        <w:rPr>
          <w:rFonts w:ascii="Times New Roman" w:hAnsi="Times New Roman" w:cs="Times New Roman"/>
        </w:rPr>
      </w:pPr>
      <w:r>
        <w:rPr>
          <w:rFonts w:ascii="Times New Roman" w:hAnsi="Times New Roman"/>
        </w:rPr>
        <w:t xml:space="preserve">3.2.4 Organizzare attività promozionali sull'importanza di uno stile di vita sano </w:t>
      </w:r>
    </w:p>
    <w:p w14:paraId="268B3E52" w14:textId="77777777" w:rsidR="00764E08" w:rsidRPr="009D0E31" w:rsidRDefault="00764E08" w:rsidP="00764E08">
      <w:pPr>
        <w:pStyle w:val="Default"/>
        <w:rPr>
          <w:rFonts w:ascii="Times New Roman" w:hAnsi="Times New Roman" w:cs="Times New Roman"/>
        </w:rPr>
      </w:pPr>
      <w:r>
        <w:rPr>
          <w:rFonts w:ascii="Times New Roman" w:hAnsi="Times New Roman"/>
        </w:rPr>
        <w:t xml:space="preserve">3.2.5 Sviluppo di una rete di defibrillatori pubblici con relativa promozione e corsi di formazione per il loro utilizzo  </w:t>
      </w:r>
    </w:p>
    <w:p w14:paraId="6610C462" w14:textId="2DA8C0B8" w:rsidR="00764E08" w:rsidRDefault="00764E08" w:rsidP="00764E08">
      <w:r>
        <w:t>3.2.8 Investire nello sviluppo e nel miglioramento della sanità e della veterinaria</w:t>
      </w:r>
    </w:p>
    <w:p w14:paraId="3DF61096" w14:textId="23E717BF" w:rsidR="009755BF" w:rsidRDefault="009755BF" w:rsidP="00764E08"/>
    <w:p w14:paraId="7386B846" w14:textId="54C1DACD" w:rsidR="009755BF" w:rsidRDefault="009755BF" w:rsidP="009755BF">
      <w:pPr>
        <w:jc w:val="center"/>
        <w:rPr>
          <w:b/>
          <w:bCs/>
        </w:rPr>
      </w:pPr>
      <w:r>
        <w:rPr>
          <w:b/>
        </w:rPr>
        <w:t>III.</w:t>
      </w:r>
    </w:p>
    <w:p w14:paraId="2BF3BFAB" w14:textId="410CCAC1" w:rsidR="009755BF" w:rsidRDefault="009755BF" w:rsidP="009755BF">
      <w:pPr>
        <w:jc w:val="center"/>
        <w:rPr>
          <w:b/>
          <w:bCs/>
        </w:rPr>
      </w:pPr>
    </w:p>
    <w:p w14:paraId="22CB1A78" w14:textId="70D2469B" w:rsidR="009755BF" w:rsidRDefault="009755BF" w:rsidP="009755BF">
      <w:r>
        <w:t>I fondi finanziari assegnati dalla Città mediante il presente Invito pubblico si riferiscono al sostegno finanziario di un anno per programmi e progetti che saranno realizzati nell'anno solare come dal presente Invito (2023).</w:t>
      </w:r>
    </w:p>
    <w:p w14:paraId="4DEBA570" w14:textId="6436A0B6" w:rsidR="009755BF" w:rsidRDefault="009755BF" w:rsidP="009755BF"/>
    <w:p w14:paraId="1EC05CF5" w14:textId="63D06F2F" w:rsidR="009755BF" w:rsidRDefault="009755BF" w:rsidP="009755BF">
      <w:pPr>
        <w:jc w:val="center"/>
        <w:rPr>
          <w:b/>
          <w:bCs/>
        </w:rPr>
      </w:pPr>
      <w:r>
        <w:rPr>
          <w:b/>
        </w:rPr>
        <w:t>IV.</w:t>
      </w:r>
    </w:p>
    <w:p w14:paraId="4E465C2E" w14:textId="7C4B1F15" w:rsidR="009755BF" w:rsidRDefault="009755BF" w:rsidP="009755BF">
      <w:pPr>
        <w:jc w:val="center"/>
        <w:rPr>
          <w:b/>
          <w:bCs/>
        </w:rPr>
      </w:pPr>
    </w:p>
    <w:p w14:paraId="0360C563" w14:textId="5F5C52AA" w:rsidR="009755BF" w:rsidRPr="000704E0" w:rsidRDefault="009755BF" w:rsidP="009755BF">
      <w:pPr>
        <w:widowControl w:val="0"/>
        <w:overflowPunct w:val="0"/>
        <w:autoSpaceDE w:val="0"/>
        <w:autoSpaceDN w:val="0"/>
        <w:adjustRightInd w:val="0"/>
        <w:jc w:val="both"/>
      </w:pPr>
      <w:bookmarkStart w:id="0" w:name="_Hlk92455989"/>
      <w:bookmarkStart w:id="1" w:name="_Hlk92455948"/>
      <w:r>
        <w:t xml:space="preserve">Il diritto di aderire al presente </w:t>
      </w:r>
      <w:r w:rsidR="00F06A30">
        <w:t>I</w:t>
      </w:r>
      <w:r>
        <w:t xml:space="preserve">nvito è riservato alle associazioni e alle altre organizzazioni senza scopo di lucro che svolgono attività negli ambiti indicati nel presente Invito e che </w:t>
      </w:r>
      <w:r>
        <w:lastRenderedPageBreak/>
        <w:t>soddisfano le seguenti condizioni:</w:t>
      </w:r>
    </w:p>
    <w:p w14:paraId="32812934" w14:textId="77777777" w:rsidR="009755BF" w:rsidRPr="005165A3" w:rsidRDefault="009755BF" w:rsidP="004D6A30">
      <w:pPr>
        <w:pStyle w:val="ListParagraph"/>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rPr>
        <w:t>iscrizione nel Registro delle associazioni o altro opportuno registro,</w:t>
      </w:r>
    </w:p>
    <w:p w14:paraId="2016793F" w14:textId="77777777" w:rsidR="009755BF" w:rsidRPr="005165A3" w:rsidRDefault="009755BF" w:rsidP="004D6A30">
      <w:pPr>
        <w:pStyle w:val="ListParagraph"/>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rPr>
        <w:t>iscrizione nel Registro delle organizzazioni senza scopo di lucro,</w:t>
      </w:r>
    </w:p>
    <w:p w14:paraId="1936390F" w14:textId="7204A9CF" w:rsidR="009755BF" w:rsidRPr="005165A3" w:rsidRDefault="00F06A30" w:rsidP="004D6A30">
      <w:pPr>
        <w:pStyle w:val="ListParagraph"/>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rPr>
        <w:t>disposizioni statutarie indicanti l’orientamento dell'associazione verso attività afferenti all'area prioritaria di riferimento dell’Invito,</w:t>
      </w:r>
    </w:p>
    <w:p w14:paraId="5037BFC0" w14:textId="77777777" w:rsidR="009755BF" w:rsidRPr="005165A3" w:rsidRDefault="009755BF" w:rsidP="004D6A30">
      <w:pPr>
        <w:pStyle w:val="ListParagraph"/>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rPr>
        <w:t>regolare adempimento degli obblighi derivanti da tutti i contratti di finanziamento mediante il bilancio della Città di Pula-Pola stipulati in precedenza;</w:t>
      </w:r>
    </w:p>
    <w:p w14:paraId="05C417A6" w14:textId="4C87AB88" w:rsidR="009755BF" w:rsidRPr="00C21E54" w:rsidRDefault="009755BF" w:rsidP="004D6A30">
      <w:pPr>
        <w:pStyle w:val="ListParagraph"/>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rPr>
        <w:t xml:space="preserve">nei confronti del richiedente, rispettivamente della persona </w:t>
      </w:r>
      <w:bookmarkStart w:id="2" w:name="_Hlk123729380"/>
      <w:r>
        <w:rPr>
          <w:rFonts w:ascii="Times New Roman" w:hAnsi="Times New Roman"/>
          <w:sz w:val="24"/>
        </w:rPr>
        <w:t>autorizzata a rappresentare l'associazione e il responsabile del progetto/programma non è in atto un procedimento penale e non è stato/a condannato/a con sentenza passata in giudicato per una contravvenzione di cui all'art. 48 comma 2 alinea c) del Regolamento sui criteri, le misure e i procedimenti di finanziamento e contrattazione dei programmi e progetti d'interesse per il bene pubblico, attuati dalle associazioni ("Gazzetta ufficiale" n. 26/15), o condannato/a con sentenza passata in giudicato per un reato stabilito dall'art. 48 comma 2 alinea d) del Regolamento;</w:t>
      </w:r>
    </w:p>
    <w:p w14:paraId="4ECBE830" w14:textId="77777777" w:rsidR="009755BF" w:rsidRPr="00D86DD0" w:rsidRDefault="009755BF" w:rsidP="004D6A30">
      <w:pPr>
        <w:pStyle w:val="ListParagraph"/>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rPr>
        <w:t>possiedono un modello consolidato di buona gestione finanziaria e controlli e un modo per prevenire i conflitti di interesse nell’utilizzo dei fondi pubblici,</w:t>
      </w:r>
    </w:p>
    <w:p w14:paraId="7F974BB5" w14:textId="77777777" w:rsidR="009755BF" w:rsidRPr="00D86DD0" w:rsidRDefault="009755BF" w:rsidP="004D6A30">
      <w:pPr>
        <w:pStyle w:val="ListParagraph"/>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rPr>
        <w:t>possiedono un metodo definito di divulgazione pubblica del programma e del rendiconto finanziario sull'attività dell'anno precedente (sito web dell'associazione o altro metodo idoneo),</w:t>
      </w:r>
    </w:p>
    <w:p w14:paraId="6A404986" w14:textId="77777777" w:rsidR="009755BF" w:rsidRPr="00D86DD0" w:rsidRDefault="009755BF" w:rsidP="004D6A30">
      <w:pPr>
        <w:pStyle w:val="ListParagraph"/>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rPr>
        <w:t>possiedono delle capacità organizzative soddisfacenti e delle risorse umane per l'attuazione di progetti/programmi.</w:t>
      </w:r>
    </w:p>
    <w:bookmarkEnd w:id="0"/>
    <w:p w14:paraId="3F5193BD" w14:textId="77777777" w:rsidR="009755BF" w:rsidRPr="000704E0" w:rsidRDefault="009755BF" w:rsidP="004D6A30">
      <w:pPr>
        <w:autoSpaceDE w:val="0"/>
        <w:autoSpaceDN w:val="0"/>
        <w:adjustRightInd w:val="0"/>
      </w:pPr>
    </w:p>
    <w:p w14:paraId="379D8F61" w14:textId="77777777" w:rsidR="009755BF" w:rsidRPr="000704E0" w:rsidRDefault="009755BF" w:rsidP="004D6A30">
      <w:pPr>
        <w:autoSpaceDE w:val="0"/>
        <w:autoSpaceDN w:val="0"/>
        <w:adjustRightInd w:val="0"/>
      </w:pPr>
    </w:p>
    <w:p w14:paraId="32924E49" w14:textId="77777777" w:rsidR="009755BF" w:rsidRPr="000704E0" w:rsidRDefault="009755BF" w:rsidP="009755BF">
      <w:pPr>
        <w:autoSpaceDE w:val="0"/>
        <w:autoSpaceDN w:val="0"/>
        <w:adjustRightInd w:val="0"/>
      </w:pPr>
      <w:r>
        <w:t>Non hanno il diritto di presentare domanda:</w:t>
      </w:r>
    </w:p>
    <w:p w14:paraId="31D21C63" w14:textId="785B273B" w:rsidR="009755BF" w:rsidRPr="005165A3" w:rsidRDefault="009755BF" w:rsidP="009755BF">
      <w:pPr>
        <w:pStyle w:val="ListParagraph"/>
        <w:numPr>
          <w:ilvl w:val="0"/>
          <w:numId w:val="1"/>
        </w:numPr>
        <w:autoSpaceDE w:val="0"/>
        <w:autoSpaceDN w:val="0"/>
        <w:adjustRightInd w:val="0"/>
        <w:spacing w:after="0" w:line="240" w:lineRule="auto"/>
        <w:rPr>
          <w:rFonts w:ascii="Times New Roman" w:hAnsi="Times New Roman"/>
          <w:sz w:val="24"/>
          <w:szCs w:val="24"/>
        </w:rPr>
      </w:pPr>
      <w:bookmarkStart w:id="3" w:name="_Hlk92456054"/>
      <w:r>
        <w:rPr>
          <w:rFonts w:ascii="Times New Roman" w:hAnsi="Times New Roman"/>
          <w:sz w:val="24"/>
        </w:rPr>
        <w:t>associazioni, sezioni, filiali e strutture organizzative analoghe e altre organizzazioni senza scopo di lucro non iscritte nel Registro delle associazioni, o altro opportuno registro, e nel Registro delle organizzazioni senza scopo di lucro,</w:t>
      </w:r>
    </w:p>
    <w:p w14:paraId="6497E1F2" w14:textId="77777777" w:rsidR="009755BF" w:rsidRPr="005165A3" w:rsidRDefault="009755BF" w:rsidP="009755BF">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rPr>
        <w:t>soggetti il cui operato/attività non è attinente alle aree prioritarie di cui al presente Invito,</w:t>
      </w:r>
    </w:p>
    <w:p w14:paraId="31C3F4E7" w14:textId="77777777" w:rsidR="009755BF" w:rsidRPr="005165A3" w:rsidRDefault="009755BF" w:rsidP="009755BF">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rPr>
        <w:t>soggetti che hanno speso in modo non finalizzato le risorse pubbliche assegnate in precedenza,</w:t>
      </w:r>
    </w:p>
    <w:p w14:paraId="459722A6" w14:textId="77777777" w:rsidR="009755BF" w:rsidRPr="005165A3" w:rsidRDefault="009755BF" w:rsidP="009755BF">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rPr>
        <w:t>associazioni e altre organizzazioni senza scopo di lucro che sono in stato di fallimento,</w:t>
      </w:r>
    </w:p>
    <w:p w14:paraId="52192740" w14:textId="77777777" w:rsidR="009755BF" w:rsidRPr="005165A3" w:rsidRDefault="009755BF" w:rsidP="009755BF">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rPr>
        <w:t>soggetti con debiti in essere nei confronti del bilancio della Città di Pula-Pola;</w:t>
      </w:r>
    </w:p>
    <w:p w14:paraId="2A03A023" w14:textId="544C6F56" w:rsidR="009755BF" w:rsidRPr="005165A3" w:rsidRDefault="009755BF" w:rsidP="009755BF">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rPr>
        <w:t xml:space="preserve">associazioni e altre organizzazioni senza scopo di lucro aventi </w:t>
      </w:r>
      <w:r w:rsidR="00F82D67">
        <w:rPr>
          <w:rFonts w:ascii="Times New Roman" w:hAnsi="Times New Roman"/>
          <w:sz w:val="24"/>
        </w:rPr>
        <w:t>t</w:t>
      </w:r>
      <w:r>
        <w:rPr>
          <w:rFonts w:ascii="Times New Roman" w:hAnsi="Times New Roman"/>
          <w:sz w:val="24"/>
        </w:rPr>
        <w:t>ra i propri fondatori un partito politico;</w:t>
      </w:r>
    </w:p>
    <w:p w14:paraId="6823290B" w14:textId="77777777" w:rsidR="009755BF" w:rsidRPr="005165A3" w:rsidRDefault="009755BF" w:rsidP="009755BF">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rPr>
        <w:t>soggetti che non hanno presentato, entro la scadenza stabilita, relazioni valide riguardanti programmi attuati e finanziati, negli anni precedenti, con risorse di bilancio;</w:t>
      </w:r>
    </w:p>
    <w:p w14:paraId="27EA6C08" w14:textId="77777777" w:rsidR="009755BF" w:rsidRPr="005165A3" w:rsidRDefault="009755BF" w:rsidP="009755BF">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rPr>
        <w:t>soggetti che non hanno adempiuto regolarmente agli obblighi derivanti da tutti i contratti di finanziamento mediante il bilancio della Città di Pula-Pola stipulati in precedenza;</w:t>
      </w:r>
    </w:p>
    <w:p w14:paraId="673F2AFF" w14:textId="3672C1E5" w:rsidR="009755BF" w:rsidRPr="005165A3" w:rsidRDefault="009755BF" w:rsidP="009755BF">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rPr>
        <w:t>associazioni ed altre associazioni senza scopo di lucro alle quali si applica la Legge sulle associazioni (GU 74/14, 70/17, 98/19, 151/22) che non hanno armonizzato i propri statuti con detta Legge.</w:t>
      </w:r>
    </w:p>
    <w:bookmarkEnd w:id="1"/>
    <w:bookmarkEnd w:id="2"/>
    <w:bookmarkEnd w:id="3"/>
    <w:p w14:paraId="2FD054D0" w14:textId="77777777" w:rsidR="00D115FE" w:rsidRDefault="00D115FE" w:rsidP="00F32075">
      <w:pPr>
        <w:jc w:val="both"/>
        <w:rPr>
          <w:b/>
        </w:rPr>
      </w:pPr>
    </w:p>
    <w:p w14:paraId="7FA1D954" w14:textId="6A79CDAC" w:rsidR="00F32075" w:rsidRDefault="00D115FE" w:rsidP="008D5AE0">
      <w:pPr>
        <w:jc w:val="center"/>
        <w:rPr>
          <w:b/>
          <w:color w:val="000000"/>
        </w:rPr>
      </w:pPr>
      <w:r>
        <w:rPr>
          <w:b/>
          <w:color w:val="000000"/>
        </w:rPr>
        <w:t>V.</w:t>
      </w:r>
    </w:p>
    <w:p w14:paraId="7FC8E34C" w14:textId="77777777" w:rsidR="008D5AE0" w:rsidRDefault="008D5AE0" w:rsidP="008D5AE0">
      <w:pPr>
        <w:jc w:val="center"/>
        <w:rPr>
          <w:b/>
          <w:color w:val="000000"/>
        </w:rPr>
      </w:pPr>
    </w:p>
    <w:p w14:paraId="7F1B6831" w14:textId="4CCCD919" w:rsidR="00F32075" w:rsidRDefault="00F32075" w:rsidP="00F32075">
      <w:pPr>
        <w:jc w:val="both"/>
      </w:pPr>
      <w:r>
        <w:t xml:space="preserve">L'importo complessivo previsto dell’Invito pubblico è di Euro 120.779,00. </w:t>
      </w:r>
    </w:p>
    <w:p w14:paraId="59792998" w14:textId="64415580" w:rsidR="00F32075" w:rsidRDefault="00F32075" w:rsidP="00F32075">
      <w:pPr>
        <w:jc w:val="both"/>
      </w:pPr>
      <w:r>
        <w:lastRenderedPageBreak/>
        <w:t>Il valore previsto dell'Invito pubblico per area, l'importo minimo e massimo dei fondi per area e il numero previsto di contratti per area sono determinati come segue:</w:t>
      </w:r>
    </w:p>
    <w:p w14:paraId="183D878F" w14:textId="450958B8" w:rsidR="00F32075" w:rsidRDefault="00F32075" w:rsidP="00F32075">
      <w:pPr>
        <w:pStyle w:val="NoSpacing"/>
        <w:jc w:val="both"/>
        <w:rPr>
          <w:rFonts w:ascii="Times New Roman" w:hAnsi="Times New Roman"/>
          <w:sz w:val="24"/>
          <w:szCs w:val="24"/>
        </w:rPr>
      </w:pPr>
    </w:p>
    <w:p w14:paraId="704988F1" w14:textId="77777777" w:rsidR="00E17DCF" w:rsidRDefault="00E17DCF" w:rsidP="00F32075">
      <w:pPr>
        <w:pStyle w:val="NoSpacing"/>
        <w:jc w:val="both"/>
        <w:rPr>
          <w:rFonts w:ascii="Times New Roman" w:hAnsi="Times New Roman"/>
          <w:sz w:val="24"/>
          <w:szCs w:val="24"/>
        </w:rPr>
      </w:pPr>
    </w:p>
    <w:p w14:paraId="0B863C8A" w14:textId="77777777" w:rsidR="00F32075" w:rsidRDefault="00F32075" w:rsidP="00F32075">
      <w:pPr>
        <w:jc w:val="both"/>
        <w:rPr>
          <w:b/>
        </w:rPr>
      </w:pPr>
      <w:r>
        <w:rPr>
          <w:b/>
        </w:rPr>
        <w:t>Tabella 1</w:t>
      </w:r>
    </w:p>
    <w:p w14:paraId="37CD2777" w14:textId="77777777" w:rsidR="00F32075" w:rsidRDefault="00F32075" w:rsidP="00F32075">
      <w:pPr>
        <w:jc w:val="both"/>
        <w:rPr>
          <w:b/>
        </w:rPr>
      </w:pPr>
    </w:p>
    <w:tbl>
      <w:tblPr>
        <w:tblpPr w:leftFromText="180" w:rightFromText="180"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126"/>
        <w:gridCol w:w="1473"/>
        <w:gridCol w:w="1525"/>
        <w:gridCol w:w="1519"/>
        <w:gridCol w:w="1295"/>
      </w:tblGrid>
      <w:tr w:rsidR="00F32075" w14:paraId="4CE75B6F" w14:textId="77777777" w:rsidTr="00F32075">
        <w:tc>
          <w:tcPr>
            <w:tcW w:w="1242" w:type="dxa"/>
            <w:tcBorders>
              <w:top w:val="single" w:sz="4" w:space="0" w:color="auto"/>
              <w:left w:val="single" w:sz="4" w:space="0" w:color="auto"/>
              <w:bottom w:val="single" w:sz="4" w:space="0" w:color="auto"/>
              <w:right w:val="single" w:sz="4" w:space="0" w:color="auto"/>
            </w:tcBorders>
            <w:shd w:val="clear" w:color="auto" w:fill="F2F2F2"/>
          </w:tcPr>
          <w:p w14:paraId="546FD5F3" w14:textId="77777777" w:rsidR="00F32075" w:rsidRDefault="00F32075">
            <w:pPr>
              <w:jc w:val="center"/>
              <w:rPr>
                <w:b/>
                <w:sz w:val="20"/>
                <w:szCs w:val="20"/>
              </w:rPr>
            </w:pPr>
          </w:p>
          <w:p w14:paraId="616F9D52" w14:textId="77777777" w:rsidR="00F32075" w:rsidRDefault="00F32075">
            <w:pPr>
              <w:rPr>
                <w:b/>
                <w:sz w:val="20"/>
                <w:szCs w:val="20"/>
              </w:rPr>
            </w:pPr>
          </w:p>
          <w:p w14:paraId="11F34F06" w14:textId="77777777" w:rsidR="00F32075" w:rsidRDefault="00F32075">
            <w:pPr>
              <w:jc w:val="center"/>
              <w:rPr>
                <w:b/>
                <w:sz w:val="18"/>
                <w:szCs w:val="18"/>
              </w:rPr>
            </w:pPr>
            <w:r>
              <w:rPr>
                <w:b/>
                <w:sz w:val="18"/>
              </w:rPr>
              <w:t>Indicazione</w:t>
            </w:r>
          </w:p>
          <w:p w14:paraId="3E2B52CD" w14:textId="77777777" w:rsidR="00F32075" w:rsidRDefault="00F32075">
            <w:pPr>
              <w:jc w:val="center"/>
              <w:rPr>
                <w:b/>
                <w:sz w:val="18"/>
                <w:szCs w:val="18"/>
              </w:rPr>
            </w:pPr>
            <w:r>
              <w:rPr>
                <w:b/>
                <w:sz w:val="18"/>
              </w:rPr>
              <w:t>dell’area prioritaria</w:t>
            </w:r>
          </w:p>
          <w:p w14:paraId="1F14501A" w14:textId="77777777" w:rsidR="00F32075" w:rsidRDefault="00F32075">
            <w:pPr>
              <w:jc w:val="center"/>
              <w:rPr>
                <w:b/>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6951AFD0" w14:textId="77777777" w:rsidR="00F32075" w:rsidRDefault="00F32075">
            <w:pPr>
              <w:jc w:val="center"/>
              <w:rPr>
                <w:b/>
                <w:sz w:val="20"/>
                <w:szCs w:val="20"/>
              </w:rPr>
            </w:pPr>
          </w:p>
          <w:p w14:paraId="7DD2AB81" w14:textId="77777777" w:rsidR="00F32075" w:rsidRDefault="00F32075">
            <w:pPr>
              <w:rPr>
                <w:b/>
                <w:sz w:val="20"/>
                <w:szCs w:val="20"/>
              </w:rPr>
            </w:pPr>
          </w:p>
          <w:p w14:paraId="160A781D" w14:textId="77777777" w:rsidR="00F32075" w:rsidRDefault="00F32075">
            <w:pPr>
              <w:jc w:val="center"/>
              <w:rPr>
                <w:b/>
                <w:sz w:val="20"/>
                <w:szCs w:val="20"/>
              </w:rPr>
            </w:pPr>
            <w:r>
              <w:rPr>
                <w:b/>
                <w:sz w:val="20"/>
              </w:rPr>
              <w:t xml:space="preserve">Progetti, programmi, attività, manifestazioni </w:t>
            </w:r>
          </w:p>
        </w:tc>
        <w:tc>
          <w:tcPr>
            <w:tcW w:w="1474" w:type="dxa"/>
            <w:tcBorders>
              <w:top w:val="single" w:sz="4" w:space="0" w:color="auto"/>
              <w:left w:val="single" w:sz="4" w:space="0" w:color="auto"/>
              <w:bottom w:val="single" w:sz="4" w:space="0" w:color="auto"/>
              <w:right w:val="single" w:sz="4" w:space="0" w:color="auto"/>
            </w:tcBorders>
            <w:shd w:val="clear" w:color="auto" w:fill="F2F2F2"/>
          </w:tcPr>
          <w:p w14:paraId="2AAEBAF1" w14:textId="77777777" w:rsidR="00F32075" w:rsidRDefault="00F32075">
            <w:pPr>
              <w:jc w:val="center"/>
              <w:rPr>
                <w:b/>
                <w:sz w:val="20"/>
                <w:szCs w:val="20"/>
              </w:rPr>
            </w:pPr>
          </w:p>
          <w:p w14:paraId="0C467131" w14:textId="77777777" w:rsidR="00F32075" w:rsidRDefault="00F32075">
            <w:pPr>
              <w:rPr>
                <w:b/>
                <w:sz w:val="20"/>
                <w:szCs w:val="20"/>
              </w:rPr>
            </w:pPr>
          </w:p>
          <w:p w14:paraId="05711CC7" w14:textId="77777777" w:rsidR="00F32075" w:rsidRDefault="00F32075">
            <w:pPr>
              <w:jc w:val="center"/>
              <w:rPr>
                <w:b/>
                <w:sz w:val="20"/>
                <w:szCs w:val="20"/>
              </w:rPr>
            </w:pPr>
            <w:r>
              <w:rPr>
                <w:b/>
                <w:sz w:val="20"/>
              </w:rPr>
              <w:t xml:space="preserve">Importo dei fondi finanziari </w:t>
            </w:r>
          </w:p>
          <w:p w14:paraId="5F69A5B4" w14:textId="55F271FF" w:rsidR="00F32075" w:rsidRDefault="00F32075">
            <w:pPr>
              <w:jc w:val="center"/>
              <w:rPr>
                <w:b/>
                <w:sz w:val="20"/>
                <w:szCs w:val="20"/>
              </w:rPr>
            </w:pPr>
            <w:r>
              <w:rPr>
                <w:b/>
                <w:sz w:val="20"/>
              </w:rPr>
              <w:t xml:space="preserve"> in euro</w:t>
            </w:r>
          </w:p>
        </w:tc>
        <w:tc>
          <w:tcPr>
            <w:tcW w:w="1526" w:type="dxa"/>
            <w:tcBorders>
              <w:top w:val="single" w:sz="4" w:space="0" w:color="auto"/>
              <w:left w:val="single" w:sz="4" w:space="0" w:color="auto"/>
              <w:bottom w:val="single" w:sz="4" w:space="0" w:color="auto"/>
              <w:right w:val="single" w:sz="4" w:space="0" w:color="auto"/>
            </w:tcBorders>
            <w:shd w:val="clear" w:color="auto" w:fill="F2F2F2"/>
            <w:hideMark/>
          </w:tcPr>
          <w:p w14:paraId="7306D90F" w14:textId="77777777" w:rsidR="00F32075" w:rsidRDefault="00F32075">
            <w:pPr>
              <w:jc w:val="center"/>
              <w:rPr>
                <w:b/>
                <w:sz w:val="20"/>
                <w:szCs w:val="20"/>
              </w:rPr>
            </w:pPr>
            <w:r>
              <w:rPr>
                <w:b/>
                <w:sz w:val="20"/>
              </w:rPr>
              <w:t>L'importo minimo di fondi che può essere richiesto e contratto per singola domanda</w:t>
            </w:r>
          </w:p>
        </w:tc>
        <w:tc>
          <w:tcPr>
            <w:tcW w:w="1520" w:type="dxa"/>
            <w:tcBorders>
              <w:top w:val="single" w:sz="4" w:space="0" w:color="auto"/>
              <w:left w:val="single" w:sz="4" w:space="0" w:color="auto"/>
              <w:bottom w:val="single" w:sz="4" w:space="0" w:color="auto"/>
              <w:right w:val="single" w:sz="4" w:space="0" w:color="auto"/>
            </w:tcBorders>
            <w:shd w:val="clear" w:color="auto" w:fill="F2F2F2"/>
            <w:hideMark/>
          </w:tcPr>
          <w:p w14:paraId="68C1F927" w14:textId="77777777" w:rsidR="00F32075" w:rsidRDefault="00F32075">
            <w:pPr>
              <w:jc w:val="center"/>
              <w:rPr>
                <w:b/>
                <w:sz w:val="20"/>
                <w:szCs w:val="20"/>
              </w:rPr>
            </w:pPr>
            <w:r>
              <w:rPr>
                <w:b/>
                <w:sz w:val="20"/>
              </w:rPr>
              <w:t>L'importo massimo di fondi che può essere richiesto e contratto per singola domanda</w:t>
            </w:r>
          </w:p>
        </w:tc>
        <w:tc>
          <w:tcPr>
            <w:tcW w:w="1296" w:type="dxa"/>
            <w:tcBorders>
              <w:top w:val="single" w:sz="4" w:space="0" w:color="auto"/>
              <w:left w:val="single" w:sz="4" w:space="0" w:color="auto"/>
              <w:bottom w:val="single" w:sz="4" w:space="0" w:color="auto"/>
              <w:right w:val="single" w:sz="4" w:space="0" w:color="auto"/>
            </w:tcBorders>
            <w:shd w:val="clear" w:color="auto" w:fill="F2F2F2"/>
          </w:tcPr>
          <w:p w14:paraId="74802BCD" w14:textId="77777777" w:rsidR="00F32075" w:rsidRDefault="00F32075">
            <w:pPr>
              <w:jc w:val="center"/>
              <w:rPr>
                <w:b/>
                <w:sz w:val="20"/>
                <w:szCs w:val="20"/>
              </w:rPr>
            </w:pPr>
          </w:p>
          <w:p w14:paraId="741D411E" w14:textId="77777777" w:rsidR="00F32075" w:rsidRDefault="00F32075">
            <w:pPr>
              <w:jc w:val="center"/>
              <w:rPr>
                <w:b/>
                <w:sz w:val="20"/>
                <w:szCs w:val="20"/>
              </w:rPr>
            </w:pPr>
          </w:p>
          <w:p w14:paraId="21582099" w14:textId="77777777" w:rsidR="00F32075" w:rsidRDefault="00F32075">
            <w:pPr>
              <w:jc w:val="center"/>
              <w:rPr>
                <w:b/>
                <w:sz w:val="20"/>
                <w:szCs w:val="20"/>
              </w:rPr>
            </w:pPr>
            <w:r>
              <w:rPr>
                <w:b/>
                <w:sz w:val="20"/>
              </w:rPr>
              <w:t>Numero previsto di contratti</w:t>
            </w:r>
          </w:p>
        </w:tc>
      </w:tr>
      <w:tr w:rsidR="00F32075" w14:paraId="22D596D5" w14:textId="77777777" w:rsidTr="00F32075">
        <w:tc>
          <w:tcPr>
            <w:tcW w:w="1242" w:type="dxa"/>
            <w:tcBorders>
              <w:top w:val="single" w:sz="4" w:space="0" w:color="auto"/>
              <w:left w:val="single" w:sz="4" w:space="0" w:color="auto"/>
              <w:bottom w:val="single" w:sz="4" w:space="0" w:color="auto"/>
              <w:right w:val="single" w:sz="4" w:space="0" w:color="auto"/>
            </w:tcBorders>
            <w:shd w:val="pct15" w:color="auto" w:fill="auto"/>
          </w:tcPr>
          <w:p w14:paraId="62AB8099" w14:textId="77777777" w:rsidR="00F32075" w:rsidRDefault="00F32075">
            <w:pPr>
              <w:jc w:val="center"/>
              <w:rPr>
                <w:b/>
                <w:sz w:val="20"/>
                <w:szCs w:val="20"/>
              </w:rPr>
            </w:pPr>
          </w:p>
          <w:p w14:paraId="68714E2A" w14:textId="77777777" w:rsidR="00F32075" w:rsidRDefault="00F32075">
            <w:pPr>
              <w:jc w:val="center"/>
              <w:rPr>
                <w:b/>
                <w:sz w:val="20"/>
                <w:szCs w:val="20"/>
              </w:rPr>
            </w:pPr>
            <w:r>
              <w:rPr>
                <w:b/>
                <w:sz w:val="20"/>
              </w:rPr>
              <w:t>1.</w:t>
            </w:r>
          </w:p>
        </w:tc>
        <w:tc>
          <w:tcPr>
            <w:tcW w:w="7943" w:type="dxa"/>
            <w:gridSpan w:val="5"/>
            <w:tcBorders>
              <w:top w:val="single" w:sz="4" w:space="0" w:color="auto"/>
              <w:left w:val="single" w:sz="4" w:space="0" w:color="auto"/>
              <w:bottom w:val="single" w:sz="4" w:space="0" w:color="auto"/>
              <w:right w:val="single" w:sz="4" w:space="0" w:color="auto"/>
            </w:tcBorders>
            <w:shd w:val="pct15" w:color="auto" w:fill="auto"/>
            <w:hideMark/>
          </w:tcPr>
          <w:p w14:paraId="5DD08044" w14:textId="3FCA4A4D" w:rsidR="00F32075" w:rsidRDefault="00F32075">
            <w:pPr>
              <w:rPr>
                <w:b/>
              </w:rPr>
            </w:pPr>
            <w:r>
              <w:rPr>
                <w:b/>
              </w:rPr>
              <w:t>ASSISTENZA SOCIALE E SANIT</w:t>
            </w:r>
            <w:r w:rsidR="004D6A30">
              <w:rPr>
                <w:b/>
              </w:rPr>
              <w:t>À</w:t>
            </w:r>
            <w:r>
              <w:rPr>
                <w:b/>
              </w:rPr>
              <w:t>, Assessorato alle attività sociali e ai giovani, Via Sergia 2, 52100 Pola</w:t>
            </w:r>
          </w:p>
        </w:tc>
      </w:tr>
      <w:tr w:rsidR="00F32075" w14:paraId="3B95D9CF" w14:textId="77777777" w:rsidTr="00F32075">
        <w:trPr>
          <w:trHeight w:val="2614"/>
        </w:trPr>
        <w:tc>
          <w:tcPr>
            <w:tcW w:w="1242" w:type="dxa"/>
            <w:tcBorders>
              <w:top w:val="single" w:sz="4" w:space="0" w:color="auto"/>
              <w:left w:val="single" w:sz="4" w:space="0" w:color="auto"/>
              <w:bottom w:val="single" w:sz="4" w:space="0" w:color="auto"/>
              <w:right w:val="single" w:sz="4" w:space="0" w:color="auto"/>
            </w:tcBorders>
          </w:tcPr>
          <w:p w14:paraId="770832F5" w14:textId="77777777" w:rsidR="00F32075" w:rsidRDefault="00F32075">
            <w:pPr>
              <w:jc w:val="center"/>
              <w:rPr>
                <w:sz w:val="20"/>
                <w:szCs w:val="20"/>
              </w:rPr>
            </w:pPr>
          </w:p>
          <w:p w14:paraId="1097C915" w14:textId="77777777" w:rsidR="00F32075" w:rsidRDefault="00F32075">
            <w:pPr>
              <w:jc w:val="center"/>
              <w:rPr>
                <w:sz w:val="20"/>
                <w:szCs w:val="20"/>
              </w:rPr>
            </w:pPr>
          </w:p>
          <w:p w14:paraId="2A09E9A5" w14:textId="77777777" w:rsidR="00F32075" w:rsidRDefault="00F32075">
            <w:pPr>
              <w:jc w:val="center"/>
              <w:rPr>
                <w:sz w:val="20"/>
                <w:szCs w:val="20"/>
              </w:rPr>
            </w:pPr>
          </w:p>
          <w:p w14:paraId="59552F90" w14:textId="77777777" w:rsidR="00F32075" w:rsidRDefault="00F32075">
            <w:pPr>
              <w:jc w:val="center"/>
              <w:rPr>
                <w:sz w:val="20"/>
                <w:szCs w:val="20"/>
              </w:rPr>
            </w:pPr>
          </w:p>
          <w:p w14:paraId="340E923C" w14:textId="77777777" w:rsidR="00F32075" w:rsidRDefault="00F32075">
            <w:pPr>
              <w:jc w:val="center"/>
              <w:rPr>
                <w:sz w:val="20"/>
                <w:szCs w:val="20"/>
              </w:rPr>
            </w:pPr>
            <w:r>
              <w:rPr>
                <w:sz w:val="20"/>
              </w:rPr>
              <w:t>1.1.</w:t>
            </w:r>
          </w:p>
        </w:tc>
        <w:tc>
          <w:tcPr>
            <w:tcW w:w="2127" w:type="dxa"/>
            <w:tcBorders>
              <w:top w:val="single" w:sz="4" w:space="0" w:color="auto"/>
              <w:left w:val="single" w:sz="4" w:space="0" w:color="auto"/>
              <w:bottom w:val="single" w:sz="4" w:space="0" w:color="auto"/>
              <w:right w:val="single" w:sz="4" w:space="0" w:color="auto"/>
            </w:tcBorders>
          </w:tcPr>
          <w:p w14:paraId="4DD75488" w14:textId="77777777" w:rsidR="008D5AE0" w:rsidRDefault="008D5AE0" w:rsidP="008D5AE0">
            <w:pPr>
              <w:rPr>
                <w:sz w:val="20"/>
                <w:szCs w:val="20"/>
              </w:rPr>
            </w:pPr>
          </w:p>
          <w:p w14:paraId="6678A797" w14:textId="78D99288" w:rsidR="00F32075" w:rsidRDefault="00F32075" w:rsidP="008D5AE0">
            <w:pPr>
              <w:rPr>
                <w:sz w:val="20"/>
                <w:szCs w:val="20"/>
              </w:rPr>
            </w:pPr>
            <w:r>
              <w:rPr>
                <w:sz w:val="20"/>
              </w:rPr>
              <w:t>Programmi e progetti secondo la misura 3.2 Sostegno all'inclusione sociale, all'assistenza sanitaria e allo sviluppo generale della comunità dal Programma attuativo della Città di Pola per il periodo 2021-2025</w:t>
            </w:r>
          </w:p>
        </w:tc>
        <w:tc>
          <w:tcPr>
            <w:tcW w:w="1474" w:type="dxa"/>
            <w:tcBorders>
              <w:top w:val="single" w:sz="4" w:space="0" w:color="auto"/>
              <w:left w:val="single" w:sz="4" w:space="0" w:color="auto"/>
              <w:bottom w:val="single" w:sz="4" w:space="0" w:color="auto"/>
              <w:right w:val="single" w:sz="4" w:space="0" w:color="auto"/>
            </w:tcBorders>
          </w:tcPr>
          <w:p w14:paraId="3DC240AB" w14:textId="77777777" w:rsidR="00F32075" w:rsidRDefault="00F32075">
            <w:pPr>
              <w:jc w:val="center"/>
              <w:rPr>
                <w:sz w:val="20"/>
                <w:szCs w:val="20"/>
              </w:rPr>
            </w:pPr>
          </w:p>
          <w:p w14:paraId="6037C0C7" w14:textId="77777777" w:rsidR="00F32075" w:rsidRDefault="00F32075">
            <w:pPr>
              <w:jc w:val="center"/>
              <w:rPr>
                <w:sz w:val="20"/>
                <w:szCs w:val="20"/>
              </w:rPr>
            </w:pPr>
          </w:p>
          <w:p w14:paraId="55EB7845" w14:textId="77777777" w:rsidR="00F32075" w:rsidRDefault="00F32075">
            <w:pPr>
              <w:jc w:val="center"/>
              <w:rPr>
                <w:sz w:val="20"/>
                <w:szCs w:val="20"/>
              </w:rPr>
            </w:pPr>
          </w:p>
          <w:p w14:paraId="4571D113" w14:textId="77777777" w:rsidR="00F32075" w:rsidRDefault="00F32075">
            <w:pPr>
              <w:jc w:val="center"/>
              <w:rPr>
                <w:sz w:val="20"/>
                <w:szCs w:val="20"/>
              </w:rPr>
            </w:pPr>
          </w:p>
          <w:p w14:paraId="3A6E8FDB" w14:textId="5C79D8F6" w:rsidR="00F32075" w:rsidRDefault="00E17DCF">
            <w:pPr>
              <w:jc w:val="center"/>
              <w:rPr>
                <w:sz w:val="20"/>
                <w:szCs w:val="20"/>
              </w:rPr>
            </w:pPr>
            <w:r>
              <w:rPr>
                <w:sz w:val="20"/>
              </w:rPr>
              <w:t>112.815,00 €</w:t>
            </w:r>
          </w:p>
        </w:tc>
        <w:tc>
          <w:tcPr>
            <w:tcW w:w="1526" w:type="dxa"/>
            <w:tcBorders>
              <w:top w:val="single" w:sz="4" w:space="0" w:color="auto"/>
              <w:left w:val="single" w:sz="4" w:space="0" w:color="auto"/>
              <w:bottom w:val="single" w:sz="4" w:space="0" w:color="auto"/>
              <w:right w:val="single" w:sz="4" w:space="0" w:color="auto"/>
            </w:tcBorders>
          </w:tcPr>
          <w:p w14:paraId="796F8680" w14:textId="77777777" w:rsidR="00F32075" w:rsidRDefault="00F32075">
            <w:pPr>
              <w:jc w:val="center"/>
              <w:rPr>
                <w:sz w:val="20"/>
                <w:szCs w:val="20"/>
              </w:rPr>
            </w:pPr>
          </w:p>
          <w:p w14:paraId="6361ABA0" w14:textId="77777777" w:rsidR="00E17DCF" w:rsidRDefault="00E17DCF">
            <w:pPr>
              <w:jc w:val="center"/>
              <w:rPr>
                <w:sz w:val="20"/>
                <w:szCs w:val="20"/>
              </w:rPr>
            </w:pPr>
          </w:p>
          <w:p w14:paraId="27375AE1" w14:textId="77777777" w:rsidR="00E17DCF" w:rsidRDefault="00E17DCF">
            <w:pPr>
              <w:jc w:val="center"/>
              <w:rPr>
                <w:sz w:val="20"/>
                <w:szCs w:val="20"/>
              </w:rPr>
            </w:pPr>
          </w:p>
          <w:p w14:paraId="2E0BE986" w14:textId="77777777" w:rsidR="00E17DCF" w:rsidRDefault="00E17DCF">
            <w:pPr>
              <w:jc w:val="center"/>
              <w:rPr>
                <w:sz w:val="20"/>
                <w:szCs w:val="20"/>
              </w:rPr>
            </w:pPr>
          </w:p>
          <w:p w14:paraId="0F89F7BE" w14:textId="15E0F0E3" w:rsidR="00E17DCF" w:rsidRDefault="00E17DCF">
            <w:pPr>
              <w:jc w:val="center"/>
              <w:rPr>
                <w:sz w:val="20"/>
                <w:szCs w:val="20"/>
              </w:rPr>
            </w:pPr>
            <w:r>
              <w:rPr>
                <w:sz w:val="20"/>
              </w:rPr>
              <w:t>660,00 €</w:t>
            </w:r>
          </w:p>
        </w:tc>
        <w:tc>
          <w:tcPr>
            <w:tcW w:w="1520" w:type="dxa"/>
            <w:tcBorders>
              <w:top w:val="single" w:sz="4" w:space="0" w:color="auto"/>
              <w:left w:val="single" w:sz="4" w:space="0" w:color="auto"/>
              <w:bottom w:val="single" w:sz="4" w:space="0" w:color="auto"/>
              <w:right w:val="single" w:sz="4" w:space="0" w:color="auto"/>
            </w:tcBorders>
          </w:tcPr>
          <w:p w14:paraId="37F7C78B" w14:textId="77777777" w:rsidR="00F32075" w:rsidRDefault="00F32075">
            <w:pPr>
              <w:jc w:val="center"/>
              <w:rPr>
                <w:sz w:val="20"/>
                <w:szCs w:val="20"/>
              </w:rPr>
            </w:pPr>
          </w:p>
          <w:p w14:paraId="4EF0A64B" w14:textId="77777777" w:rsidR="00E17DCF" w:rsidRDefault="00E17DCF">
            <w:pPr>
              <w:jc w:val="center"/>
              <w:rPr>
                <w:sz w:val="20"/>
                <w:szCs w:val="20"/>
              </w:rPr>
            </w:pPr>
          </w:p>
          <w:p w14:paraId="059E0FF6" w14:textId="77777777" w:rsidR="00E17DCF" w:rsidRDefault="00E17DCF">
            <w:pPr>
              <w:jc w:val="center"/>
              <w:rPr>
                <w:sz w:val="20"/>
                <w:szCs w:val="20"/>
              </w:rPr>
            </w:pPr>
          </w:p>
          <w:p w14:paraId="23174E80" w14:textId="77777777" w:rsidR="00E17DCF" w:rsidRDefault="00E17DCF">
            <w:pPr>
              <w:jc w:val="center"/>
              <w:rPr>
                <w:sz w:val="20"/>
                <w:szCs w:val="20"/>
              </w:rPr>
            </w:pPr>
          </w:p>
          <w:p w14:paraId="0D131663" w14:textId="45C29779" w:rsidR="00E17DCF" w:rsidRDefault="00E17DCF">
            <w:pPr>
              <w:jc w:val="center"/>
              <w:rPr>
                <w:sz w:val="20"/>
                <w:szCs w:val="20"/>
              </w:rPr>
            </w:pPr>
            <w:r>
              <w:rPr>
                <w:sz w:val="20"/>
              </w:rPr>
              <w:t>6.600,00 €</w:t>
            </w:r>
          </w:p>
        </w:tc>
        <w:tc>
          <w:tcPr>
            <w:tcW w:w="1296" w:type="dxa"/>
            <w:tcBorders>
              <w:top w:val="single" w:sz="4" w:space="0" w:color="auto"/>
              <w:left w:val="single" w:sz="4" w:space="0" w:color="auto"/>
              <w:bottom w:val="single" w:sz="4" w:space="0" w:color="auto"/>
              <w:right w:val="single" w:sz="4" w:space="0" w:color="auto"/>
            </w:tcBorders>
          </w:tcPr>
          <w:p w14:paraId="0A81CED3" w14:textId="77777777" w:rsidR="00E17DCF" w:rsidRDefault="00E17DCF">
            <w:pPr>
              <w:jc w:val="center"/>
              <w:rPr>
                <w:sz w:val="20"/>
                <w:szCs w:val="20"/>
              </w:rPr>
            </w:pPr>
          </w:p>
          <w:p w14:paraId="5899E628" w14:textId="77777777" w:rsidR="00E17DCF" w:rsidRDefault="00E17DCF">
            <w:pPr>
              <w:jc w:val="center"/>
              <w:rPr>
                <w:sz w:val="20"/>
                <w:szCs w:val="20"/>
              </w:rPr>
            </w:pPr>
          </w:p>
          <w:p w14:paraId="05B5A70D" w14:textId="77777777" w:rsidR="00E17DCF" w:rsidRDefault="00E17DCF">
            <w:pPr>
              <w:jc w:val="center"/>
              <w:rPr>
                <w:sz w:val="20"/>
                <w:szCs w:val="20"/>
              </w:rPr>
            </w:pPr>
          </w:p>
          <w:p w14:paraId="629F8AD0" w14:textId="77777777" w:rsidR="00E17DCF" w:rsidRDefault="00E17DCF">
            <w:pPr>
              <w:jc w:val="center"/>
              <w:rPr>
                <w:sz w:val="20"/>
                <w:szCs w:val="20"/>
              </w:rPr>
            </w:pPr>
          </w:p>
          <w:p w14:paraId="4AAF211B" w14:textId="25C07043" w:rsidR="00F32075" w:rsidRDefault="00E17DCF">
            <w:pPr>
              <w:jc w:val="center"/>
              <w:rPr>
                <w:sz w:val="20"/>
                <w:szCs w:val="20"/>
              </w:rPr>
            </w:pPr>
            <w:r>
              <w:rPr>
                <w:sz w:val="20"/>
              </w:rPr>
              <w:t>57</w:t>
            </w:r>
          </w:p>
        </w:tc>
      </w:tr>
      <w:tr w:rsidR="00F32075" w14:paraId="3D82BC8D" w14:textId="77777777" w:rsidTr="00F32075">
        <w:tc>
          <w:tcPr>
            <w:tcW w:w="1242" w:type="dxa"/>
            <w:tcBorders>
              <w:top w:val="single" w:sz="4" w:space="0" w:color="auto"/>
              <w:left w:val="single" w:sz="4" w:space="0" w:color="auto"/>
              <w:bottom w:val="single" w:sz="4" w:space="0" w:color="auto"/>
              <w:right w:val="single" w:sz="4" w:space="0" w:color="auto"/>
            </w:tcBorders>
            <w:shd w:val="pct15" w:color="auto" w:fill="auto"/>
          </w:tcPr>
          <w:p w14:paraId="7ED19B3C" w14:textId="77777777" w:rsidR="00F32075" w:rsidRDefault="00F32075">
            <w:pPr>
              <w:jc w:val="center"/>
              <w:rPr>
                <w:b/>
                <w:sz w:val="20"/>
                <w:szCs w:val="20"/>
              </w:rPr>
            </w:pPr>
          </w:p>
          <w:p w14:paraId="4A3D401C" w14:textId="77777777" w:rsidR="00F32075" w:rsidRDefault="00F32075">
            <w:pPr>
              <w:jc w:val="center"/>
              <w:rPr>
                <w:b/>
                <w:sz w:val="20"/>
                <w:szCs w:val="20"/>
              </w:rPr>
            </w:pPr>
            <w:r>
              <w:rPr>
                <w:b/>
                <w:sz w:val="20"/>
              </w:rPr>
              <w:t>2.</w:t>
            </w:r>
          </w:p>
        </w:tc>
        <w:tc>
          <w:tcPr>
            <w:tcW w:w="7943" w:type="dxa"/>
            <w:gridSpan w:val="5"/>
            <w:tcBorders>
              <w:top w:val="single" w:sz="4" w:space="0" w:color="auto"/>
              <w:left w:val="single" w:sz="4" w:space="0" w:color="auto"/>
              <w:bottom w:val="single" w:sz="4" w:space="0" w:color="auto"/>
              <w:right w:val="single" w:sz="4" w:space="0" w:color="auto"/>
            </w:tcBorders>
            <w:shd w:val="pct15" w:color="auto" w:fill="auto"/>
            <w:hideMark/>
          </w:tcPr>
          <w:p w14:paraId="2AD160FE" w14:textId="782270C7" w:rsidR="00F32075" w:rsidRDefault="00F32075">
            <w:pPr>
              <w:rPr>
                <w:b/>
              </w:rPr>
            </w:pPr>
            <w:r>
              <w:rPr>
                <w:b/>
              </w:rPr>
              <w:t>VETERINARIA, Assessorato alle attività sociali e ai giovani, Via Sergia 2, 52100 Pola</w:t>
            </w:r>
          </w:p>
        </w:tc>
      </w:tr>
      <w:tr w:rsidR="00F32075" w14:paraId="0341558F" w14:textId="77777777" w:rsidTr="00F32075">
        <w:trPr>
          <w:trHeight w:val="1430"/>
        </w:trPr>
        <w:tc>
          <w:tcPr>
            <w:tcW w:w="1242" w:type="dxa"/>
            <w:tcBorders>
              <w:top w:val="single" w:sz="4" w:space="0" w:color="auto"/>
              <w:left w:val="single" w:sz="4" w:space="0" w:color="auto"/>
              <w:bottom w:val="single" w:sz="4" w:space="0" w:color="auto"/>
              <w:right w:val="single" w:sz="4" w:space="0" w:color="auto"/>
            </w:tcBorders>
          </w:tcPr>
          <w:p w14:paraId="5B88439D" w14:textId="77777777" w:rsidR="00F32075" w:rsidRDefault="00F32075">
            <w:pPr>
              <w:rPr>
                <w:sz w:val="20"/>
                <w:szCs w:val="20"/>
              </w:rPr>
            </w:pPr>
          </w:p>
          <w:p w14:paraId="1596C870" w14:textId="77777777" w:rsidR="00F32075" w:rsidRDefault="00F32075">
            <w:pPr>
              <w:jc w:val="center"/>
              <w:rPr>
                <w:sz w:val="20"/>
                <w:szCs w:val="20"/>
              </w:rPr>
            </w:pPr>
          </w:p>
          <w:p w14:paraId="54942177" w14:textId="77777777" w:rsidR="00F32075" w:rsidRDefault="00F32075">
            <w:pPr>
              <w:jc w:val="center"/>
              <w:rPr>
                <w:sz w:val="20"/>
                <w:szCs w:val="20"/>
              </w:rPr>
            </w:pPr>
            <w:r>
              <w:rPr>
                <w:sz w:val="20"/>
              </w:rPr>
              <w:t>2.1.</w:t>
            </w:r>
          </w:p>
        </w:tc>
        <w:tc>
          <w:tcPr>
            <w:tcW w:w="2127" w:type="dxa"/>
            <w:tcBorders>
              <w:top w:val="single" w:sz="4" w:space="0" w:color="auto"/>
              <w:left w:val="single" w:sz="4" w:space="0" w:color="auto"/>
              <w:bottom w:val="single" w:sz="4" w:space="0" w:color="auto"/>
              <w:right w:val="single" w:sz="4" w:space="0" w:color="auto"/>
            </w:tcBorders>
          </w:tcPr>
          <w:p w14:paraId="51D4B596" w14:textId="77777777" w:rsidR="00F32075" w:rsidRDefault="00F32075">
            <w:pPr>
              <w:spacing w:after="120"/>
              <w:rPr>
                <w:sz w:val="20"/>
                <w:szCs w:val="20"/>
              </w:rPr>
            </w:pPr>
          </w:p>
          <w:p w14:paraId="68470FC9" w14:textId="77777777" w:rsidR="00F32075" w:rsidRDefault="00F32075">
            <w:pPr>
              <w:spacing w:after="120" w:line="276" w:lineRule="auto"/>
              <w:rPr>
                <w:sz w:val="20"/>
                <w:szCs w:val="20"/>
              </w:rPr>
            </w:pPr>
            <w:r>
              <w:rPr>
                <w:sz w:val="20"/>
              </w:rPr>
              <w:t>Programmi e progetti nell’ambito della veterinaria</w:t>
            </w:r>
          </w:p>
        </w:tc>
        <w:tc>
          <w:tcPr>
            <w:tcW w:w="1474" w:type="dxa"/>
            <w:tcBorders>
              <w:top w:val="single" w:sz="4" w:space="0" w:color="auto"/>
              <w:left w:val="single" w:sz="4" w:space="0" w:color="auto"/>
              <w:bottom w:val="single" w:sz="4" w:space="0" w:color="auto"/>
              <w:right w:val="single" w:sz="4" w:space="0" w:color="auto"/>
            </w:tcBorders>
          </w:tcPr>
          <w:p w14:paraId="6BAA969B" w14:textId="77777777" w:rsidR="00F32075" w:rsidRDefault="00F32075">
            <w:pPr>
              <w:jc w:val="center"/>
              <w:rPr>
                <w:sz w:val="20"/>
                <w:szCs w:val="20"/>
              </w:rPr>
            </w:pPr>
          </w:p>
          <w:p w14:paraId="38D02B27" w14:textId="77777777" w:rsidR="00E17DCF" w:rsidRDefault="00E17DCF">
            <w:pPr>
              <w:jc w:val="center"/>
              <w:rPr>
                <w:sz w:val="20"/>
                <w:szCs w:val="20"/>
              </w:rPr>
            </w:pPr>
          </w:p>
          <w:p w14:paraId="1521862C" w14:textId="77777777" w:rsidR="00E17DCF" w:rsidRDefault="00E17DCF">
            <w:pPr>
              <w:jc w:val="center"/>
              <w:rPr>
                <w:sz w:val="20"/>
                <w:szCs w:val="20"/>
              </w:rPr>
            </w:pPr>
          </w:p>
          <w:p w14:paraId="3E93AAC9" w14:textId="23E55E2C" w:rsidR="00E17DCF" w:rsidRDefault="00E17DCF">
            <w:pPr>
              <w:jc w:val="center"/>
              <w:rPr>
                <w:sz w:val="20"/>
                <w:szCs w:val="20"/>
              </w:rPr>
            </w:pPr>
            <w:r>
              <w:rPr>
                <w:sz w:val="20"/>
              </w:rPr>
              <w:t>7.964,00 €</w:t>
            </w:r>
          </w:p>
        </w:tc>
        <w:tc>
          <w:tcPr>
            <w:tcW w:w="1526" w:type="dxa"/>
            <w:tcBorders>
              <w:top w:val="single" w:sz="4" w:space="0" w:color="auto"/>
              <w:left w:val="single" w:sz="4" w:space="0" w:color="auto"/>
              <w:bottom w:val="single" w:sz="4" w:space="0" w:color="auto"/>
              <w:right w:val="single" w:sz="4" w:space="0" w:color="auto"/>
            </w:tcBorders>
          </w:tcPr>
          <w:p w14:paraId="420BC99F" w14:textId="77777777" w:rsidR="00F32075" w:rsidRDefault="00F32075">
            <w:pPr>
              <w:jc w:val="center"/>
              <w:rPr>
                <w:sz w:val="20"/>
                <w:szCs w:val="20"/>
              </w:rPr>
            </w:pPr>
          </w:p>
          <w:p w14:paraId="5942A21E" w14:textId="77777777" w:rsidR="00F32075" w:rsidRDefault="00F32075">
            <w:pPr>
              <w:jc w:val="center"/>
              <w:rPr>
                <w:sz w:val="20"/>
                <w:szCs w:val="20"/>
              </w:rPr>
            </w:pPr>
          </w:p>
          <w:p w14:paraId="6C522C11" w14:textId="77777777" w:rsidR="00F32075" w:rsidRDefault="00F32075">
            <w:pPr>
              <w:jc w:val="center"/>
              <w:rPr>
                <w:sz w:val="20"/>
                <w:szCs w:val="20"/>
              </w:rPr>
            </w:pPr>
          </w:p>
          <w:p w14:paraId="277179D8" w14:textId="4D05C085" w:rsidR="00F32075" w:rsidRDefault="00187B3E">
            <w:pPr>
              <w:jc w:val="center"/>
              <w:rPr>
                <w:sz w:val="20"/>
                <w:szCs w:val="20"/>
              </w:rPr>
            </w:pPr>
            <w:r>
              <w:rPr>
                <w:sz w:val="20"/>
              </w:rPr>
              <w:t>660,00 €</w:t>
            </w:r>
          </w:p>
        </w:tc>
        <w:tc>
          <w:tcPr>
            <w:tcW w:w="1520" w:type="dxa"/>
            <w:tcBorders>
              <w:top w:val="single" w:sz="4" w:space="0" w:color="auto"/>
              <w:left w:val="single" w:sz="4" w:space="0" w:color="auto"/>
              <w:bottom w:val="single" w:sz="4" w:space="0" w:color="auto"/>
              <w:right w:val="single" w:sz="4" w:space="0" w:color="auto"/>
            </w:tcBorders>
          </w:tcPr>
          <w:p w14:paraId="475C1C13" w14:textId="77777777" w:rsidR="00F32075" w:rsidRDefault="00F32075">
            <w:pPr>
              <w:jc w:val="center"/>
              <w:rPr>
                <w:sz w:val="20"/>
                <w:szCs w:val="20"/>
              </w:rPr>
            </w:pPr>
          </w:p>
          <w:p w14:paraId="33ADDF1E" w14:textId="77777777" w:rsidR="00F32075" w:rsidRDefault="00F32075">
            <w:pPr>
              <w:jc w:val="center"/>
              <w:rPr>
                <w:sz w:val="20"/>
                <w:szCs w:val="20"/>
              </w:rPr>
            </w:pPr>
          </w:p>
          <w:p w14:paraId="3055500D" w14:textId="77777777" w:rsidR="00F32075" w:rsidRDefault="00F32075">
            <w:pPr>
              <w:jc w:val="center"/>
              <w:rPr>
                <w:sz w:val="20"/>
                <w:szCs w:val="20"/>
              </w:rPr>
            </w:pPr>
          </w:p>
          <w:p w14:paraId="53ECC782" w14:textId="236F0A2F" w:rsidR="00F32075" w:rsidRDefault="00187B3E">
            <w:pPr>
              <w:jc w:val="center"/>
              <w:rPr>
                <w:sz w:val="20"/>
                <w:szCs w:val="20"/>
              </w:rPr>
            </w:pPr>
            <w:r>
              <w:rPr>
                <w:sz w:val="20"/>
              </w:rPr>
              <w:t>3.000,00 €</w:t>
            </w:r>
          </w:p>
        </w:tc>
        <w:tc>
          <w:tcPr>
            <w:tcW w:w="1296" w:type="dxa"/>
            <w:tcBorders>
              <w:top w:val="single" w:sz="4" w:space="0" w:color="auto"/>
              <w:left w:val="single" w:sz="4" w:space="0" w:color="auto"/>
              <w:bottom w:val="single" w:sz="4" w:space="0" w:color="auto"/>
              <w:right w:val="single" w:sz="4" w:space="0" w:color="auto"/>
            </w:tcBorders>
          </w:tcPr>
          <w:p w14:paraId="3DAE9653" w14:textId="77777777" w:rsidR="00F32075" w:rsidRDefault="00F32075">
            <w:pPr>
              <w:jc w:val="center"/>
              <w:rPr>
                <w:sz w:val="20"/>
                <w:szCs w:val="20"/>
              </w:rPr>
            </w:pPr>
          </w:p>
          <w:p w14:paraId="6DC9CEA8" w14:textId="77777777" w:rsidR="00F32075" w:rsidRDefault="00F32075">
            <w:pPr>
              <w:jc w:val="center"/>
              <w:rPr>
                <w:sz w:val="20"/>
                <w:szCs w:val="20"/>
              </w:rPr>
            </w:pPr>
          </w:p>
          <w:p w14:paraId="720A016F" w14:textId="77777777" w:rsidR="00F32075" w:rsidRDefault="00F32075">
            <w:pPr>
              <w:jc w:val="center"/>
              <w:rPr>
                <w:sz w:val="20"/>
                <w:szCs w:val="20"/>
              </w:rPr>
            </w:pPr>
          </w:p>
          <w:p w14:paraId="04E5E9A7" w14:textId="77777777" w:rsidR="00F32075" w:rsidRDefault="00F32075">
            <w:pPr>
              <w:jc w:val="center"/>
              <w:rPr>
                <w:sz w:val="20"/>
                <w:szCs w:val="20"/>
              </w:rPr>
            </w:pPr>
            <w:r>
              <w:rPr>
                <w:sz w:val="20"/>
              </w:rPr>
              <w:t>3</w:t>
            </w:r>
          </w:p>
        </w:tc>
      </w:tr>
    </w:tbl>
    <w:p w14:paraId="7C7BF0AA" w14:textId="77777777" w:rsidR="00F32075" w:rsidRDefault="00F32075" w:rsidP="00F32075">
      <w:pPr>
        <w:rPr>
          <w:color w:val="FF0000"/>
        </w:rPr>
      </w:pPr>
    </w:p>
    <w:p w14:paraId="39CC9FEC" w14:textId="77777777" w:rsidR="00F32075" w:rsidRDefault="00F32075" w:rsidP="00F32075">
      <w:pPr>
        <w:rPr>
          <w:color w:val="FF0000"/>
        </w:rPr>
      </w:pPr>
    </w:p>
    <w:p w14:paraId="7A1FFC5E" w14:textId="7F792484" w:rsidR="00F32075" w:rsidRDefault="00FB620F" w:rsidP="00F32075">
      <w:pPr>
        <w:jc w:val="center"/>
        <w:rPr>
          <w:b/>
        </w:rPr>
      </w:pPr>
      <w:r>
        <w:rPr>
          <w:b/>
        </w:rPr>
        <w:t>VI.</w:t>
      </w:r>
    </w:p>
    <w:p w14:paraId="3821A7F9" w14:textId="77777777" w:rsidR="00F32075" w:rsidRDefault="00F32075" w:rsidP="00F32075">
      <w:pPr>
        <w:jc w:val="center"/>
        <w:rPr>
          <w:b/>
          <w:color w:val="FF0000"/>
        </w:rPr>
      </w:pPr>
    </w:p>
    <w:p w14:paraId="7E35BED0" w14:textId="30F68CE4" w:rsidR="00F32075" w:rsidRDefault="00F32075" w:rsidP="00F32075">
      <w:pPr>
        <w:pStyle w:val="NoSpacing"/>
        <w:jc w:val="both"/>
        <w:rPr>
          <w:rFonts w:ascii="Times New Roman" w:hAnsi="Times New Roman"/>
          <w:sz w:val="24"/>
          <w:szCs w:val="24"/>
        </w:rPr>
      </w:pPr>
      <w:r>
        <w:rPr>
          <w:rFonts w:ascii="Times New Roman" w:hAnsi="Times New Roman"/>
          <w:b/>
          <w:sz w:val="24"/>
        </w:rPr>
        <w:t>La scadenza</w:t>
      </w:r>
      <w:r>
        <w:rPr>
          <w:rFonts w:ascii="Times New Roman" w:hAnsi="Times New Roman"/>
          <w:sz w:val="24"/>
        </w:rPr>
        <w:t xml:space="preserve"> per la presentazione delle domande è 30 giorni dalla pubblicazione dell’Invito pubblico, ossia il </w:t>
      </w:r>
      <w:r w:rsidR="007E0882">
        <w:rPr>
          <w:rFonts w:ascii="Times New Roman" w:hAnsi="Times New Roman"/>
          <w:b/>
          <w:sz w:val="24"/>
        </w:rPr>
        <w:t>22</w:t>
      </w:r>
      <w:r>
        <w:rPr>
          <w:rFonts w:ascii="Times New Roman" w:hAnsi="Times New Roman"/>
          <w:b/>
          <w:sz w:val="24"/>
        </w:rPr>
        <w:t xml:space="preserve"> febbraio 2023.</w:t>
      </w:r>
      <w:r>
        <w:rPr>
          <w:rFonts w:ascii="Times New Roman" w:hAnsi="Times New Roman"/>
          <w:sz w:val="24"/>
        </w:rPr>
        <w:t xml:space="preserve"> Le domande pervenute oltre la data stabilita dal presente Invito pubblico non saranno prese in considerazione.</w:t>
      </w:r>
    </w:p>
    <w:p w14:paraId="707BB8E1" w14:textId="55707D48" w:rsidR="005D57A3" w:rsidRDefault="005D57A3" w:rsidP="00F32075">
      <w:pPr>
        <w:pStyle w:val="NoSpacing"/>
        <w:jc w:val="both"/>
        <w:rPr>
          <w:rFonts w:ascii="Times New Roman" w:hAnsi="Times New Roman"/>
          <w:sz w:val="24"/>
          <w:szCs w:val="24"/>
        </w:rPr>
      </w:pPr>
    </w:p>
    <w:p w14:paraId="57832293" w14:textId="3320B5F1" w:rsidR="005D57A3" w:rsidRPr="005D57A3" w:rsidRDefault="005D57A3" w:rsidP="005D57A3">
      <w:pPr>
        <w:pStyle w:val="NoSpacing"/>
        <w:jc w:val="center"/>
        <w:rPr>
          <w:rFonts w:ascii="Times New Roman" w:hAnsi="Times New Roman"/>
          <w:b/>
          <w:bCs/>
          <w:sz w:val="24"/>
          <w:szCs w:val="24"/>
        </w:rPr>
      </w:pPr>
      <w:r>
        <w:rPr>
          <w:rFonts w:ascii="Times New Roman" w:hAnsi="Times New Roman"/>
          <w:b/>
          <w:sz w:val="24"/>
        </w:rPr>
        <w:t>VII.</w:t>
      </w:r>
    </w:p>
    <w:p w14:paraId="11C20A80" w14:textId="4DEAEEFA" w:rsidR="00F32075" w:rsidRDefault="00F32075" w:rsidP="00F32075">
      <w:pPr>
        <w:pStyle w:val="NoSpacing"/>
        <w:jc w:val="both"/>
        <w:rPr>
          <w:rFonts w:ascii="Times New Roman" w:hAnsi="Times New Roman"/>
          <w:color w:val="FF0000"/>
          <w:sz w:val="24"/>
          <w:szCs w:val="24"/>
        </w:rPr>
      </w:pPr>
    </w:p>
    <w:p w14:paraId="48DECE27" w14:textId="271BFF30" w:rsidR="005D57A3" w:rsidRPr="00FB620F" w:rsidRDefault="005D57A3" w:rsidP="00F32075">
      <w:pPr>
        <w:pStyle w:val="NoSpacing"/>
        <w:jc w:val="both"/>
        <w:rPr>
          <w:rFonts w:ascii="Times New Roman" w:hAnsi="Times New Roman"/>
          <w:sz w:val="24"/>
          <w:szCs w:val="24"/>
        </w:rPr>
      </w:pPr>
      <w:r>
        <w:rPr>
          <w:rFonts w:ascii="Times New Roman" w:hAnsi="Times New Roman"/>
          <w:sz w:val="24"/>
        </w:rPr>
        <w:t>Le associazioni devono disporre di disposizioni statutarie indicanti l’orientamento dell'associazione verso attività afferenti all'area prioritaria di riferimento della domanda.</w:t>
      </w:r>
    </w:p>
    <w:p w14:paraId="5C198912" w14:textId="1612AAB5" w:rsidR="00F32075" w:rsidRDefault="00F32075" w:rsidP="00F32075">
      <w:pPr>
        <w:pStyle w:val="ListParagraph"/>
        <w:spacing w:after="0"/>
        <w:jc w:val="both"/>
        <w:rPr>
          <w:rFonts w:ascii="Times New Roman" w:hAnsi="Times New Roman"/>
          <w:b/>
          <w:sz w:val="24"/>
          <w:szCs w:val="24"/>
        </w:rPr>
      </w:pPr>
      <w:r>
        <w:tab/>
      </w:r>
      <w:r>
        <w:tab/>
      </w:r>
      <w:r>
        <w:tab/>
      </w:r>
      <w:r>
        <w:tab/>
      </w:r>
      <w:r>
        <w:tab/>
      </w:r>
      <w:r>
        <w:rPr>
          <w:rFonts w:ascii="Times New Roman" w:hAnsi="Times New Roman"/>
          <w:b/>
          <w:sz w:val="24"/>
        </w:rPr>
        <w:t>VIII.</w:t>
      </w:r>
    </w:p>
    <w:p w14:paraId="5AAC56B2" w14:textId="77777777" w:rsidR="00F32075" w:rsidRDefault="00F32075" w:rsidP="00F32075">
      <w:pPr>
        <w:pStyle w:val="ListParagraph"/>
        <w:spacing w:after="0"/>
        <w:jc w:val="both"/>
        <w:rPr>
          <w:rFonts w:ascii="Times New Roman" w:hAnsi="Times New Roman"/>
          <w:b/>
          <w:sz w:val="24"/>
          <w:szCs w:val="24"/>
        </w:rPr>
      </w:pPr>
    </w:p>
    <w:p w14:paraId="2086DEBB" w14:textId="7FD4E11E" w:rsidR="00F32075" w:rsidRDefault="00F32075" w:rsidP="00F32075">
      <w:pPr>
        <w:jc w:val="both"/>
      </w:pPr>
      <w:r>
        <w:t xml:space="preserve">Le domande vanno presentate esclusivamente sui moduli previsti che sono reperili sulle pagine internet con le relative Istruzioni per i candidati </w:t>
      </w:r>
      <w:hyperlink r:id="rId8">
        <w:r>
          <w:rPr>
            <w:rStyle w:val="Hyperlink"/>
          </w:rPr>
          <w:t>www.pula.hr</w:t>
        </w:r>
      </w:hyperlink>
      <w:r>
        <w:t xml:space="preserve"> nella rubrica „Rad gradske uprave“/“Natječaji i nadmetanja“ </w:t>
      </w:r>
      <w:hyperlink r:id="rId9">
        <w:r>
          <w:rPr>
            <w:rStyle w:val="Hyperlink"/>
          </w:rPr>
          <w:t>https://www.pula.hr/hr/rad-gradske-uprave/natjecaji-i-nadmetanja/</w:t>
        </w:r>
      </w:hyperlink>
      <w:r>
        <w:t xml:space="preserve"> e nella rubrica „Uprava“/„Upravni odjel za društvene djelatnosti i mlade“ </w:t>
      </w:r>
      <w:hyperlink r:id="rId10">
        <w:r>
          <w:rPr>
            <w:rStyle w:val="Hyperlink"/>
          </w:rPr>
          <w:t>https://www.pula.hr/hr/uprava/upravni-odjeli-i-sluzbe/upravni-odjel-za-drustvene-djelatnosti-i-mlade/zahtjevi/</w:t>
        </w:r>
      </w:hyperlink>
    </w:p>
    <w:p w14:paraId="6E588C63" w14:textId="78D809FE" w:rsidR="00FB620F" w:rsidRDefault="00FB620F" w:rsidP="00F32075">
      <w:pPr>
        <w:jc w:val="both"/>
        <w:rPr>
          <w:rFonts w:ascii="Calibri" w:hAnsi="Calibri"/>
          <w:sz w:val="22"/>
          <w:szCs w:val="22"/>
        </w:rPr>
      </w:pPr>
    </w:p>
    <w:p w14:paraId="13045451" w14:textId="6C8375A8" w:rsidR="00FB620F" w:rsidRPr="00FB620F" w:rsidRDefault="00FB620F" w:rsidP="00FB620F">
      <w:pPr>
        <w:jc w:val="center"/>
      </w:pPr>
      <w:r>
        <w:rPr>
          <w:b/>
        </w:rPr>
        <w:t>IX</w:t>
      </w:r>
      <w:r>
        <w:t>.</w:t>
      </w:r>
    </w:p>
    <w:p w14:paraId="2D327F94" w14:textId="77777777" w:rsidR="00F32075" w:rsidRDefault="00F32075" w:rsidP="00F32075">
      <w:pPr>
        <w:jc w:val="both"/>
        <w:rPr>
          <w:b/>
        </w:rPr>
      </w:pPr>
    </w:p>
    <w:p w14:paraId="05550F1C" w14:textId="755EBE97" w:rsidR="00F32075" w:rsidRDefault="00F32075" w:rsidP="00F32075">
      <w:pPr>
        <w:jc w:val="both"/>
      </w:pPr>
      <w:r>
        <w:t xml:space="preserve">I moduli che costituiscono parte integrante della documentazione vengono compilati </w:t>
      </w:r>
      <w:r w:rsidR="00F82D67">
        <w:t>al</w:t>
      </w:r>
      <w:r>
        <w:t xml:space="preserve"> computer.</w:t>
      </w:r>
    </w:p>
    <w:p w14:paraId="2A857039" w14:textId="5E746FFE" w:rsidR="00FB620F" w:rsidRDefault="00FB620F" w:rsidP="00F32075">
      <w:pPr>
        <w:jc w:val="both"/>
      </w:pPr>
      <w:r>
        <w:t xml:space="preserve">Le domande </w:t>
      </w:r>
      <w:r w:rsidR="00F82D67">
        <w:t xml:space="preserve">vanno </w:t>
      </w:r>
      <w:r>
        <w:t>presentate per posta elettronica.</w:t>
      </w:r>
    </w:p>
    <w:p w14:paraId="7048D910" w14:textId="7A2F5ABC" w:rsidR="00FB620F" w:rsidRDefault="00FB620F" w:rsidP="00F32075">
      <w:pPr>
        <w:jc w:val="both"/>
      </w:pPr>
      <w:r>
        <w:t>La Città di Pula-Pola può richiedere la consegna della documentazione originale.</w:t>
      </w:r>
    </w:p>
    <w:p w14:paraId="05B8C8A0" w14:textId="1CF54C03" w:rsidR="00D0215C" w:rsidRDefault="00D0215C" w:rsidP="00F32075">
      <w:pPr>
        <w:jc w:val="both"/>
      </w:pPr>
    </w:p>
    <w:p w14:paraId="0971D72D" w14:textId="6F5882C8" w:rsidR="00D0215C" w:rsidRDefault="00D0215C" w:rsidP="00F32075">
      <w:pPr>
        <w:jc w:val="both"/>
      </w:pPr>
    </w:p>
    <w:p w14:paraId="11BCBFEC" w14:textId="43226A60" w:rsidR="00892F22" w:rsidRDefault="00892F22" w:rsidP="00892F22">
      <w:pPr>
        <w:jc w:val="center"/>
      </w:pPr>
      <w:r>
        <w:rPr>
          <w:b/>
        </w:rPr>
        <w:t>X</w:t>
      </w:r>
      <w:r>
        <w:t>.</w:t>
      </w:r>
    </w:p>
    <w:p w14:paraId="1A57C28A" w14:textId="33CEDD8F" w:rsidR="00892F22" w:rsidRDefault="00892F22" w:rsidP="00892F22">
      <w:pPr>
        <w:jc w:val="center"/>
      </w:pPr>
    </w:p>
    <w:p w14:paraId="22167DFC" w14:textId="3D455FCA" w:rsidR="00892F22" w:rsidRDefault="00892F22" w:rsidP="00892F22">
      <w:r>
        <w:t>Le domande vanno presentate con i relativi allegati, in formato PDF, all’indirizzo:</w:t>
      </w:r>
    </w:p>
    <w:p w14:paraId="2978A286" w14:textId="2418A200" w:rsidR="00892F22" w:rsidRDefault="00892F22" w:rsidP="00D0215C">
      <w:pPr>
        <w:jc w:val="center"/>
      </w:pPr>
      <w:r>
        <w:t>pisarnica@pula.hr</w:t>
      </w:r>
    </w:p>
    <w:p w14:paraId="2B315D72" w14:textId="77777777" w:rsidR="00F32075" w:rsidRDefault="00F32075" w:rsidP="00F32075">
      <w:pPr>
        <w:rPr>
          <w:u w:val="single"/>
        </w:rPr>
      </w:pPr>
    </w:p>
    <w:p w14:paraId="674BB3D1" w14:textId="0E76AF4A" w:rsidR="00F32075" w:rsidRDefault="00D0215C" w:rsidP="00F32075">
      <w:pPr>
        <w:rPr>
          <w:sz w:val="22"/>
          <w:szCs w:val="22"/>
        </w:rPr>
      </w:pPr>
      <w:r>
        <w:t>L’oggetto dell'e-mail deve recare la dicitura: Invito pubblico - associazioni - assistenza sociale, sanità e veterinaria.</w:t>
      </w:r>
    </w:p>
    <w:p w14:paraId="1789A8B3" w14:textId="2F40F1F9" w:rsidR="00F32075" w:rsidRDefault="00F32075" w:rsidP="00F32075">
      <w:pPr>
        <w:jc w:val="both"/>
        <w:rPr>
          <w:rFonts w:ascii="Arial" w:hAnsi="Arial" w:cs="Arial"/>
        </w:rPr>
      </w:pPr>
      <w:r>
        <w:rPr>
          <w:rFonts w:ascii="Arial" w:hAnsi="Arial"/>
        </w:rPr>
        <w:t xml:space="preserve"> </w:t>
      </w:r>
    </w:p>
    <w:p w14:paraId="17199A58" w14:textId="45249965" w:rsidR="00F32075" w:rsidRDefault="00D0215C" w:rsidP="00F32075">
      <w:pPr>
        <w:jc w:val="center"/>
        <w:rPr>
          <w:b/>
        </w:rPr>
      </w:pPr>
      <w:r>
        <w:rPr>
          <w:b/>
        </w:rPr>
        <w:t>XI</w:t>
      </w:r>
    </w:p>
    <w:p w14:paraId="281D8971" w14:textId="102E6E0C" w:rsidR="00D0215C" w:rsidRDefault="00D0215C" w:rsidP="00F32075">
      <w:pPr>
        <w:jc w:val="center"/>
        <w:rPr>
          <w:b/>
        </w:rPr>
      </w:pPr>
    </w:p>
    <w:p w14:paraId="60408C76" w14:textId="3390B0E2" w:rsidR="00D0215C" w:rsidRDefault="00D0215C" w:rsidP="00D0215C">
      <w:r>
        <w:rPr>
          <w:u w:val="single"/>
        </w:rPr>
        <w:t>Non saranno prese in considerazion</w:t>
      </w:r>
      <w:r>
        <w:t>e le domande non pervenute nei termini stabiliti dal presente Invito e che non sono state redatte in conformità al presente Invito.</w:t>
      </w:r>
    </w:p>
    <w:p w14:paraId="50DEA072" w14:textId="07BE2729" w:rsidR="00D0215C" w:rsidRDefault="00D0215C" w:rsidP="00D0215C"/>
    <w:p w14:paraId="24F0F908" w14:textId="7167C6DD" w:rsidR="00D0215C" w:rsidRDefault="00D0215C" w:rsidP="00D0215C">
      <w:pPr>
        <w:jc w:val="center"/>
        <w:rPr>
          <w:b/>
          <w:bCs/>
        </w:rPr>
      </w:pPr>
      <w:r>
        <w:rPr>
          <w:b/>
        </w:rPr>
        <w:t>XII</w:t>
      </w:r>
    </w:p>
    <w:p w14:paraId="3544F735" w14:textId="31CC8DE3" w:rsidR="00D0215C" w:rsidRDefault="00D0215C" w:rsidP="00D0215C">
      <w:pPr>
        <w:jc w:val="center"/>
        <w:rPr>
          <w:b/>
          <w:bCs/>
        </w:rPr>
      </w:pPr>
    </w:p>
    <w:p w14:paraId="042677D2" w14:textId="0C27724C" w:rsidR="00D0215C" w:rsidRPr="000704E0" w:rsidRDefault="00D0215C" w:rsidP="00D0215C">
      <w:pPr>
        <w:widowControl w:val="0"/>
        <w:overflowPunct w:val="0"/>
        <w:autoSpaceDE w:val="0"/>
        <w:autoSpaceDN w:val="0"/>
        <w:adjustRightInd w:val="0"/>
        <w:jc w:val="both"/>
      </w:pPr>
      <w:r>
        <w:t xml:space="preserve">Scaduto il termine per la presentazione delle domande, il Comitato per la predisposizione e l’attuazione della procedura e la verifica del rispetto delle prescritte condizioni (formali) avvierà il processo di valutazione del rispetto delle prescritte condizioni (formali). </w:t>
      </w:r>
    </w:p>
    <w:p w14:paraId="52CF6125" w14:textId="77777777" w:rsidR="00D0215C" w:rsidRPr="000704E0" w:rsidRDefault="00D0215C" w:rsidP="00D0215C">
      <w:pPr>
        <w:widowControl w:val="0"/>
        <w:autoSpaceDE w:val="0"/>
        <w:autoSpaceDN w:val="0"/>
        <w:adjustRightInd w:val="0"/>
        <w:spacing w:line="279" w:lineRule="exact"/>
      </w:pPr>
    </w:p>
    <w:p w14:paraId="78CEA892" w14:textId="5228D31D" w:rsidR="00D0215C" w:rsidRPr="000704E0" w:rsidRDefault="00D0215C" w:rsidP="00D0215C">
      <w:pPr>
        <w:widowControl w:val="0"/>
        <w:overflowPunct w:val="0"/>
        <w:autoSpaceDE w:val="0"/>
        <w:autoSpaceDN w:val="0"/>
        <w:adjustRightInd w:val="0"/>
        <w:spacing w:line="239" w:lineRule="auto"/>
        <w:jc w:val="both"/>
      </w:pPr>
      <w:bookmarkStart w:id="4" w:name="_Hlk92456948"/>
      <w:r>
        <w:t>Le domande che non soddisfano le condizioni formali saranno respinte</w:t>
      </w:r>
      <w:r w:rsidR="006F61F2">
        <w:t>.</w:t>
      </w:r>
      <w:r>
        <w:t xml:space="preserve"> </w:t>
      </w:r>
    </w:p>
    <w:p w14:paraId="2B25EAF7" w14:textId="77777777" w:rsidR="00D0215C" w:rsidRPr="000704E0" w:rsidRDefault="00D0215C" w:rsidP="00D0215C">
      <w:pPr>
        <w:widowControl w:val="0"/>
        <w:overflowPunct w:val="0"/>
        <w:autoSpaceDE w:val="0"/>
        <w:autoSpaceDN w:val="0"/>
        <w:adjustRightInd w:val="0"/>
        <w:spacing w:line="239" w:lineRule="auto"/>
        <w:jc w:val="both"/>
      </w:pPr>
    </w:p>
    <w:p w14:paraId="68B3DE5E" w14:textId="382046B2" w:rsidR="00D0215C" w:rsidRPr="000704E0" w:rsidRDefault="00D0215C" w:rsidP="00D0215C">
      <w:pPr>
        <w:jc w:val="both"/>
      </w:pPr>
      <w:r>
        <w:t>Tutte le associazioni le cui domande saranno respinte per mancato rispetto dei requisiti (formali) verranno informate in merito entro 8 giorni dalla data di adozione della relativa delibera</w:t>
      </w:r>
      <w:r w:rsidR="004D6A30">
        <w:t>. T</w:t>
      </w:r>
      <w:r>
        <w:t>rascorso tale termine, negli 8 giorni successivi alla data di ricezione della comunicazione, potranno presentare obiezione all’assessore/a del competente organo amministrativo della Città, che adotterà una de</w:t>
      </w:r>
      <w:r w:rsidR="00F82D67">
        <w:t>cisione</w:t>
      </w:r>
      <w:r>
        <w:t xml:space="preserve"> in merito entro 8 giorni dalla ricezione dell’obiezione.</w:t>
      </w:r>
    </w:p>
    <w:p w14:paraId="5766B7C7" w14:textId="77777777" w:rsidR="00D0215C" w:rsidRPr="000704E0" w:rsidRDefault="00D0215C" w:rsidP="00D0215C">
      <w:pPr>
        <w:jc w:val="both"/>
      </w:pPr>
      <w:r>
        <w:t>In caso di accoglimento dell’obiezione da parte dell’assessore/a dell'organo amministrativo competente della Città, la domanda sarà sottoposta ad un ulteriore procedimento di valutazione, mentre in caso di mancato accoglimento dell’obiezione, la domanda sarà respinta, di cui l’associazione interessata verrà informata.</w:t>
      </w:r>
    </w:p>
    <w:p w14:paraId="1AA54242" w14:textId="6B9EDDE7" w:rsidR="00D0215C" w:rsidRPr="000704E0" w:rsidRDefault="00D0215C" w:rsidP="00D0215C">
      <w:pPr>
        <w:jc w:val="both"/>
      </w:pPr>
      <w:r>
        <w:t>La de</w:t>
      </w:r>
      <w:r w:rsidR="00F82D67">
        <w:t xml:space="preserve">cisione </w:t>
      </w:r>
      <w:r>
        <w:t>adottata in merito all’obiezione è definitiva.</w:t>
      </w:r>
    </w:p>
    <w:bookmarkEnd w:id="4"/>
    <w:p w14:paraId="7B541CFC" w14:textId="77777777" w:rsidR="00D0215C" w:rsidRPr="000704E0" w:rsidRDefault="00D0215C" w:rsidP="00D0215C">
      <w:pPr>
        <w:widowControl w:val="0"/>
        <w:overflowPunct w:val="0"/>
        <w:autoSpaceDE w:val="0"/>
        <w:autoSpaceDN w:val="0"/>
        <w:adjustRightInd w:val="0"/>
        <w:spacing w:line="239" w:lineRule="auto"/>
        <w:jc w:val="both"/>
      </w:pPr>
    </w:p>
    <w:p w14:paraId="64E8F8AA" w14:textId="3F80EAFE" w:rsidR="00D0215C" w:rsidRDefault="00D0215C" w:rsidP="00D0215C">
      <w:pPr>
        <w:jc w:val="center"/>
        <w:rPr>
          <w:b/>
        </w:rPr>
      </w:pPr>
      <w:r>
        <w:rPr>
          <w:b/>
        </w:rPr>
        <w:t>XIII</w:t>
      </w:r>
    </w:p>
    <w:p w14:paraId="4FC3DD47" w14:textId="77777777" w:rsidR="00D0215C" w:rsidRPr="000704E0" w:rsidRDefault="00D0215C" w:rsidP="00D0215C">
      <w:pPr>
        <w:jc w:val="center"/>
        <w:rPr>
          <w:b/>
        </w:rPr>
      </w:pPr>
    </w:p>
    <w:p w14:paraId="58987B2E" w14:textId="140137C2" w:rsidR="00D0215C" w:rsidRPr="000704E0" w:rsidRDefault="00D0215C" w:rsidP="00D0215C">
      <w:pPr>
        <w:widowControl w:val="0"/>
        <w:autoSpaceDE w:val="0"/>
        <w:autoSpaceDN w:val="0"/>
        <w:adjustRightInd w:val="0"/>
        <w:jc w:val="both"/>
      </w:pPr>
      <w:r>
        <w:t>Le domande in possesso dei requisiti formali vengono ammesse alla procedura di valutazione tecnica effettuata da</w:t>
      </w:r>
      <w:bookmarkStart w:id="5" w:name="page14"/>
      <w:bookmarkEnd w:id="5"/>
      <w:r>
        <w:t xml:space="preserve">l Comitato per la valutazione delle domande, ovvero dagli organi determinati dalla normativa speciale, i quali esaminano e valutano </w:t>
      </w:r>
      <w:r w:rsidR="006F61F2">
        <w:t xml:space="preserve">solo </w:t>
      </w:r>
      <w:r>
        <w:t xml:space="preserve">le domande in possesso dei requisiti formali indicati nell'Invito. </w:t>
      </w:r>
    </w:p>
    <w:p w14:paraId="4A4E0643" w14:textId="77777777" w:rsidR="00D0215C" w:rsidRPr="000704E0" w:rsidRDefault="00D0215C" w:rsidP="00C21E54">
      <w:pPr>
        <w:rPr>
          <w:b/>
        </w:rPr>
      </w:pPr>
    </w:p>
    <w:p w14:paraId="2E5307D7" w14:textId="5E03E45F" w:rsidR="00D0215C" w:rsidRDefault="00D0215C" w:rsidP="00D0215C">
      <w:pPr>
        <w:jc w:val="center"/>
        <w:rPr>
          <w:b/>
        </w:rPr>
      </w:pPr>
      <w:r>
        <w:rPr>
          <w:b/>
        </w:rPr>
        <w:t>XVI</w:t>
      </w:r>
    </w:p>
    <w:p w14:paraId="565D0746" w14:textId="77777777" w:rsidR="00D0215C" w:rsidRPr="000704E0" w:rsidRDefault="00D0215C" w:rsidP="00D0215C">
      <w:pPr>
        <w:jc w:val="center"/>
        <w:rPr>
          <w:b/>
        </w:rPr>
      </w:pPr>
    </w:p>
    <w:p w14:paraId="4260923B" w14:textId="7BE58A53" w:rsidR="00D0215C" w:rsidRPr="000704E0" w:rsidRDefault="00D0215C" w:rsidP="00D0215C">
      <w:pPr>
        <w:jc w:val="both"/>
      </w:pPr>
      <w:r>
        <w:t>La De</w:t>
      </w:r>
      <w:r w:rsidR="006F61F2">
        <w:t>cisione d</w:t>
      </w:r>
      <w:r>
        <w:t>i assegnazione dei fondi finanziari viene adottata dal Sindaco, previa considerazione di tutti i fatti accertati e delle disponibilità di bilancio.</w:t>
      </w:r>
    </w:p>
    <w:p w14:paraId="0DD6B415" w14:textId="1D87F5DA" w:rsidR="00D0215C" w:rsidRPr="000704E0" w:rsidRDefault="00D0215C" w:rsidP="00D0215C">
      <w:pPr>
        <w:jc w:val="both"/>
      </w:pPr>
      <w:r>
        <w:t>La De</w:t>
      </w:r>
      <w:r w:rsidR="006F61F2">
        <w:t>cisione</w:t>
      </w:r>
      <w:r>
        <w:t xml:space="preserve"> viene pubblicata sulle pagine web della Città di Pola www.pula.hr.</w:t>
      </w:r>
    </w:p>
    <w:p w14:paraId="00C74A85" w14:textId="05930C38" w:rsidR="00D0215C" w:rsidRPr="000704E0" w:rsidRDefault="00D0215C" w:rsidP="00D0215C">
      <w:pPr>
        <w:widowControl w:val="0"/>
        <w:overflowPunct w:val="0"/>
        <w:autoSpaceDE w:val="0"/>
        <w:autoSpaceDN w:val="0"/>
        <w:adjustRightInd w:val="0"/>
        <w:spacing w:line="239" w:lineRule="auto"/>
        <w:jc w:val="both"/>
      </w:pPr>
      <w:r>
        <w:t>La Città firmerà un contratto di finanziamento con tutti i soggetti aggiudicatari dei fondi finanziari entro e non oltre la scadenza di 20 giorni dalla data di adozione della De</w:t>
      </w:r>
      <w:r w:rsidR="006F61F2">
        <w:t xml:space="preserve">cisione </w:t>
      </w:r>
      <w:r>
        <w:t>di assegnazione dei fondi finanziari.</w:t>
      </w:r>
    </w:p>
    <w:p w14:paraId="0C1C2841" w14:textId="2DAF4DCA" w:rsidR="00C21E54" w:rsidRDefault="00C21E54" w:rsidP="00D0215C">
      <w:pPr>
        <w:jc w:val="both"/>
      </w:pPr>
    </w:p>
    <w:p w14:paraId="43C18081" w14:textId="7CA004E1" w:rsidR="00D0215C" w:rsidRDefault="00D0215C" w:rsidP="00D0215C">
      <w:pPr>
        <w:pStyle w:val="NoSpacing"/>
        <w:jc w:val="center"/>
        <w:rPr>
          <w:rFonts w:ascii="Times New Roman" w:hAnsi="Times New Roman"/>
          <w:b/>
          <w:sz w:val="24"/>
          <w:szCs w:val="24"/>
        </w:rPr>
      </w:pPr>
      <w:r>
        <w:rPr>
          <w:rFonts w:ascii="Times New Roman" w:hAnsi="Times New Roman"/>
          <w:b/>
          <w:sz w:val="24"/>
        </w:rPr>
        <w:t>XV</w:t>
      </w:r>
    </w:p>
    <w:p w14:paraId="46C5CF52" w14:textId="77777777" w:rsidR="00C21E54" w:rsidRDefault="00C21E54" w:rsidP="00D0215C">
      <w:pPr>
        <w:jc w:val="both"/>
      </w:pPr>
      <w:bookmarkStart w:id="6" w:name="_Hlk92458264"/>
    </w:p>
    <w:p w14:paraId="716BA4F5" w14:textId="48B3CAF2" w:rsidR="00D0215C" w:rsidRPr="000704E0" w:rsidRDefault="00D0215C" w:rsidP="00D0215C">
      <w:pPr>
        <w:jc w:val="both"/>
      </w:pPr>
      <w:r>
        <w:t>I candidati insoddisfatti della De</w:t>
      </w:r>
      <w:r w:rsidR="006F61F2">
        <w:t>c</w:t>
      </w:r>
      <w:r w:rsidR="00F82D67">
        <w:t>i</w:t>
      </w:r>
      <w:r w:rsidR="006F61F2">
        <w:t>sione</w:t>
      </w:r>
      <w:r>
        <w:t xml:space="preserve"> sull’assegnazione dei fondi finanziari hanno il diritto di presentare </w:t>
      </w:r>
      <w:r w:rsidR="00E779CA">
        <w:t xml:space="preserve">obiezione </w:t>
      </w:r>
      <w:r>
        <w:t xml:space="preserve">entro 3 giorni dalla data di recapito della comunicazione scritta di non finanziamento.  </w:t>
      </w:r>
    </w:p>
    <w:p w14:paraId="49A451E0" w14:textId="77777777" w:rsidR="00D0215C" w:rsidRPr="000704E0" w:rsidRDefault="00D0215C" w:rsidP="00D0215C">
      <w:pPr>
        <w:jc w:val="both"/>
      </w:pPr>
      <w:r>
        <w:t>L’obiezione può essere presentata in relazione alla procedura concorsuale. Le obiezioni non riguardanti la procedura concorsuale verranno respinte dall'organo amministrativo competente.</w:t>
      </w:r>
    </w:p>
    <w:p w14:paraId="3FE5D66B" w14:textId="37CF24D4" w:rsidR="00D0215C" w:rsidRDefault="00D0215C" w:rsidP="00D0215C">
      <w:pPr>
        <w:jc w:val="both"/>
      </w:pPr>
      <w:r>
        <w:t>L’obiezione non produce un differimento dell'esecuzione della Delibera né della continuazione della procedura prevista dall'Invito pubblico.</w:t>
      </w:r>
      <w:bookmarkEnd w:id="6"/>
    </w:p>
    <w:p w14:paraId="20C4A824" w14:textId="77777777" w:rsidR="00DE7E83" w:rsidRPr="000704E0" w:rsidRDefault="00DE7E83" w:rsidP="00D0215C">
      <w:pPr>
        <w:jc w:val="both"/>
      </w:pPr>
    </w:p>
    <w:p w14:paraId="6F5F8AC1" w14:textId="073D79A1" w:rsidR="00D0215C" w:rsidRDefault="00D0215C" w:rsidP="00D0215C">
      <w:pPr>
        <w:pStyle w:val="NoSpacing"/>
        <w:jc w:val="center"/>
        <w:rPr>
          <w:rFonts w:ascii="Times New Roman" w:hAnsi="Times New Roman"/>
          <w:b/>
          <w:sz w:val="24"/>
          <w:szCs w:val="24"/>
        </w:rPr>
      </w:pPr>
      <w:r>
        <w:rPr>
          <w:rFonts w:ascii="Times New Roman" w:hAnsi="Times New Roman"/>
          <w:b/>
          <w:sz w:val="24"/>
        </w:rPr>
        <w:t>XVI</w:t>
      </w:r>
    </w:p>
    <w:p w14:paraId="5C6FCFC8" w14:textId="488311A2" w:rsidR="00DE7E83" w:rsidRPr="00043899" w:rsidRDefault="00DE7E83" w:rsidP="00D0215C">
      <w:pPr>
        <w:pStyle w:val="NoSpacing"/>
        <w:jc w:val="center"/>
        <w:rPr>
          <w:rFonts w:ascii="Times New Roman" w:hAnsi="Times New Roman"/>
          <w:bCs/>
          <w:sz w:val="24"/>
          <w:szCs w:val="24"/>
        </w:rPr>
      </w:pPr>
    </w:p>
    <w:p w14:paraId="674855DB" w14:textId="48147F9E" w:rsidR="00DE7E83" w:rsidRDefault="00043899" w:rsidP="00DE7E83">
      <w:pPr>
        <w:pStyle w:val="NoSpacing"/>
        <w:rPr>
          <w:rFonts w:ascii="Times New Roman" w:hAnsi="Times New Roman"/>
          <w:bCs/>
          <w:sz w:val="24"/>
          <w:szCs w:val="24"/>
        </w:rPr>
      </w:pPr>
      <w:r>
        <w:rPr>
          <w:rFonts w:ascii="Times New Roman" w:hAnsi="Times New Roman"/>
          <w:sz w:val="24"/>
        </w:rPr>
        <w:t>Prima della firma del contratto, ai sensi della De</w:t>
      </w:r>
      <w:r w:rsidR="006F61F2">
        <w:rPr>
          <w:rFonts w:ascii="Times New Roman" w:hAnsi="Times New Roman"/>
          <w:sz w:val="24"/>
        </w:rPr>
        <w:t xml:space="preserve">cisione </w:t>
      </w:r>
      <w:r>
        <w:rPr>
          <w:rFonts w:ascii="Times New Roman" w:hAnsi="Times New Roman"/>
          <w:sz w:val="24"/>
        </w:rPr>
        <w:t>di assegnazione dei fondi finanziari, il competente Assessorato chiederà alle associazioni aventi diritto ai fondi finanziari di trasmettere:</w:t>
      </w:r>
    </w:p>
    <w:p w14:paraId="135C5A4E" w14:textId="18F473C7" w:rsidR="00043899" w:rsidRDefault="00043899" w:rsidP="00DE7E83">
      <w:pPr>
        <w:pStyle w:val="NoSpacing"/>
        <w:rPr>
          <w:rFonts w:ascii="Times New Roman" w:hAnsi="Times New Roman"/>
          <w:bCs/>
          <w:sz w:val="24"/>
          <w:szCs w:val="24"/>
        </w:rPr>
      </w:pPr>
      <w:r>
        <w:rPr>
          <w:rFonts w:ascii="Times New Roman" w:hAnsi="Times New Roman"/>
          <w:sz w:val="24"/>
        </w:rPr>
        <w:t>- il modulo di bilancio revisionato;</w:t>
      </w:r>
    </w:p>
    <w:p w14:paraId="750A6A70" w14:textId="04AA7162" w:rsidR="00043899" w:rsidRDefault="00043899" w:rsidP="00DE7E83">
      <w:pPr>
        <w:pStyle w:val="NoSpacing"/>
        <w:rPr>
          <w:rFonts w:ascii="Times New Roman" w:hAnsi="Times New Roman"/>
          <w:bCs/>
          <w:sz w:val="24"/>
          <w:szCs w:val="24"/>
        </w:rPr>
      </w:pPr>
      <w:r>
        <w:rPr>
          <w:rFonts w:ascii="Times New Roman" w:hAnsi="Times New Roman"/>
          <w:sz w:val="24"/>
        </w:rPr>
        <w:t>- la documentazione aggiuntiva stabilita dall'Assessorato competente.</w:t>
      </w:r>
    </w:p>
    <w:p w14:paraId="19CC72DA" w14:textId="535EDC27" w:rsidR="00043899" w:rsidRPr="00043899" w:rsidRDefault="00043899" w:rsidP="00DE7E83">
      <w:pPr>
        <w:pStyle w:val="NoSpacing"/>
        <w:rPr>
          <w:rFonts w:ascii="Times New Roman" w:hAnsi="Times New Roman"/>
          <w:b/>
          <w:sz w:val="24"/>
          <w:szCs w:val="24"/>
        </w:rPr>
      </w:pPr>
    </w:p>
    <w:p w14:paraId="79309E87" w14:textId="7483BEEF" w:rsidR="00043899" w:rsidRPr="00043899" w:rsidRDefault="00043899" w:rsidP="00043899">
      <w:pPr>
        <w:pStyle w:val="NoSpacing"/>
        <w:jc w:val="center"/>
        <w:rPr>
          <w:rFonts w:ascii="Times New Roman" w:hAnsi="Times New Roman"/>
          <w:b/>
          <w:sz w:val="24"/>
          <w:szCs w:val="24"/>
        </w:rPr>
      </w:pPr>
      <w:r>
        <w:rPr>
          <w:rFonts w:ascii="Times New Roman" w:hAnsi="Times New Roman"/>
          <w:b/>
          <w:sz w:val="24"/>
        </w:rPr>
        <w:t>XVII</w:t>
      </w:r>
    </w:p>
    <w:p w14:paraId="3C54EFFB" w14:textId="77777777" w:rsidR="00043899" w:rsidRDefault="00043899" w:rsidP="00D0215C">
      <w:pPr>
        <w:pStyle w:val="NoSpacing"/>
        <w:jc w:val="both"/>
        <w:rPr>
          <w:rFonts w:ascii="Times New Roman" w:hAnsi="Times New Roman"/>
          <w:sz w:val="24"/>
          <w:szCs w:val="24"/>
        </w:rPr>
      </w:pPr>
    </w:p>
    <w:p w14:paraId="3F5AFDAF" w14:textId="7D40DC6B" w:rsidR="00D0215C" w:rsidRPr="000704E0" w:rsidRDefault="00D0215C" w:rsidP="00D0215C">
      <w:pPr>
        <w:pStyle w:val="NoSpacing"/>
        <w:jc w:val="both"/>
        <w:rPr>
          <w:rFonts w:ascii="Times New Roman" w:hAnsi="Times New Roman"/>
          <w:sz w:val="24"/>
          <w:szCs w:val="24"/>
        </w:rPr>
      </w:pPr>
      <w:r>
        <w:rPr>
          <w:rFonts w:ascii="Times New Roman" w:hAnsi="Times New Roman"/>
          <w:sz w:val="24"/>
        </w:rPr>
        <w:t xml:space="preserve">Tutte le domande relative al presente Invito pubblico possono essere presentate per via elettronica inviando un'e-mail all'indirizzo riportato nelle Istruzioni per i candidati entro le scadenze previste. </w:t>
      </w:r>
    </w:p>
    <w:p w14:paraId="20C2E7E3" w14:textId="77777777" w:rsidR="00D0215C" w:rsidRPr="000704E0" w:rsidRDefault="00D0215C" w:rsidP="00D0215C">
      <w:pPr>
        <w:pStyle w:val="NoSpacing"/>
        <w:jc w:val="both"/>
        <w:rPr>
          <w:rFonts w:ascii="Times New Roman" w:hAnsi="Times New Roman"/>
          <w:sz w:val="24"/>
          <w:szCs w:val="24"/>
        </w:rPr>
      </w:pPr>
      <w:r>
        <w:rPr>
          <w:rFonts w:ascii="Times New Roman" w:hAnsi="Times New Roman"/>
          <w:sz w:val="24"/>
        </w:rPr>
        <w:t xml:space="preserve"> </w:t>
      </w:r>
    </w:p>
    <w:p w14:paraId="7046A39D" w14:textId="77777777" w:rsidR="00D0215C" w:rsidRPr="000704E0" w:rsidRDefault="00D0215C" w:rsidP="00D0215C">
      <w:pPr>
        <w:pStyle w:val="NoSpacing"/>
        <w:jc w:val="both"/>
        <w:rPr>
          <w:rFonts w:ascii="Times New Roman" w:hAnsi="Times New Roman"/>
          <w:noProof/>
          <w:sz w:val="24"/>
          <w:szCs w:val="24"/>
        </w:rPr>
      </w:pPr>
      <w:r>
        <w:rPr>
          <w:rFonts w:ascii="Times New Roman" w:hAnsi="Times New Roman"/>
          <w:noProof/>
          <w:sz w:val="24"/>
        </w:rPr>
        <w:t>Al fine di garantire la parità di trattamento di tutti i potenziali candidati, la Città di Pula-Pola non potrà rilasciare pareri preliminari sull'ammissibilità dei candidati, dei partner, delle attività o delle spese indicate nella domanda.</w:t>
      </w:r>
    </w:p>
    <w:p w14:paraId="60FFA80F" w14:textId="77777777" w:rsidR="00D0215C" w:rsidRPr="000704E0" w:rsidRDefault="00D0215C" w:rsidP="00D0215C">
      <w:pPr>
        <w:pStyle w:val="NoSpacing"/>
        <w:jc w:val="both"/>
        <w:rPr>
          <w:rFonts w:ascii="Times New Roman" w:hAnsi="Times New Roman"/>
          <w:noProof/>
          <w:sz w:val="24"/>
          <w:szCs w:val="24"/>
        </w:rPr>
      </w:pPr>
    </w:p>
    <w:p w14:paraId="4ADF2230" w14:textId="1EA29D2B" w:rsidR="00D0215C" w:rsidRDefault="00D0215C" w:rsidP="00D0215C">
      <w:pPr>
        <w:jc w:val="center"/>
        <w:rPr>
          <w:b/>
        </w:rPr>
      </w:pPr>
      <w:r>
        <w:rPr>
          <w:b/>
        </w:rPr>
        <w:t>XVIII</w:t>
      </w:r>
    </w:p>
    <w:p w14:paraId="2F5E95B7" w14:textId="77777777" w:rsidR="00043899" w:rsidRPr="000704E0" w:rsidRDefault="00043899" w:rsidP="00D0215C">
      <w:pPr>
        <w:jc w:val="center"/>
        <w:rPr>
          <w:b/>
        </w:rPr>
      </w:pPr>
    </w:p>
    <w:p w14:paraId="6D2F6400" w14:textId="337C9D85" w:rsidR="00D0215C" w:rsidRPr="00043899" w:rsidRDefault="00D0215C" w:rsidP="00D0215C">
      <w:pPr>
        <w:pStyle w:val="NoSpacing"/>
        <w:jc w:val="both"/>
        <w:rPr>
          <w:rFonts w:ascii="Times New Roman" w:hAnsi="Times New Roman"/>
          <w:sz w:val="24"/>
          <w:szCs w:val="24"/>
        </w:rPr>
      </w:pPr>
      <w:r>
        <w:rPr>
          <w:rFonts w:ascii="Times New Roman" w:hAnsi="Times New Roman"/>
          <w:sz w:val="24"/>
        </w:rPr>
        <w:t>La procedura di ricezione ed esame delle domande pervenute, la valutazione delle domande, l'adozione della De</w:t>
      </w:r>
      <w:r w:rsidR="006F61F2">
        <w:rPr>
          <w:rFonts w:ascii="Times New Roman" w:hAnsi="Times New Roman"/>
          <w:sz w:val="24"/>
        </w:rPr>
        <w:t xml:space="preserve">cisione </w:t>
      </w:r>
      <w:r>
        <w:rPr>
          <w:rFonts w:ascii="Times New Roman" w:hAnsi="Times New Roman"/>
          <w:sz w:val="24"/>
        </w:rPr>
        <w:t>di assegnazione dei fondi finanziari, la presentazione delle obiezioni, la stipulazione dei contratti, la gestione della documentazione come pure il calendario indicativo dell’attuazione dell’Invito sono definiti nelle Istruzioni per i candidati partecipanti all’Invito pubblico.</w:t>
      </w:r>
    </w:p>
    <w:p w14:paraId="4E1C48AA" w14:textId="77777777" w:rsidR="00D0215C" w:rsidRPr="00043899" w:rsidRDefault="00D0215C" w:rsidP="00D0215C">
      <w:pPr>
        <w:pStyle w:val="NoSpacing"/>
        <w:jc w:val="both"/>
        <w:rPr>
          <w:rFonts w:ascii="Times New Roman" w:hAnsi="Times New Roman"/>
          <w:sz w:val="24"/>
          <w:szCs w:val="24"/>
        </w:rPr>
      </w:pPr>
    </w:p>
    <w:p w14:paraId="0F6C0AF2" w14:textId="77777777" w:rsidR="00D0215C" w:rsidRPr="00D0215C" w:rsidRDefault="00D0215C" w:rsidP="00D0215C"/>
    <w:p w14:paraId="2F2AFAE1" w14:textId="77777777" w:rsidR="00D0215C" w:rsidRDefault="00D0215C" w:rsidP="00F32075">
      <w:pPr>
        <w:jc w:val="center"/>
        <w:rPr>
          <w:b/>
        </w:rPr>
      </w:pPr>
    </w:p>
    <w:p w14:paraId="2AF81EC5" w14:textId="77777777" w:rsidR="00C21E54" w:rsidRPr="000704E0" w:rsidRDefault="00C21E54" w:rsidP="00C21E54">
      <w:pPr>
        <w:pStyle w:val="NoSpacing"/>
        <w:jc w:val="both"/>
        <w:rPr>
          <w:rFonts w:ascii="Times New Roman" w:hAnsi="Times New Roman"/>
          <w:sz w:val="24"/>
          <w:szCs w:val="24"/>
        </w:rPr>
      </w:pPr>
      <w:r>
        <w:rPr>
          <w:rFonts w:ascii="Times New Roman" w:hAnsi="Times New Roman"/>
          <w:sz w:val="24"/>
        </w:rPr>
        <w:t>Nota:</w:t>
      </w:r>
    </w:p>
    <w:p w14:paraId="0BC134DA" w14:textId="77777777" w:rsidR="00C21E54" w:rsidRPr="000704E0" w:rsidRDefault="00C21E54" w:rsidP="00C21E54">
      <w:pPr>
        <w:pStyle w:val="NoSpacing"/>
        <w:jc w:val="both"/>
        <w:rPr>
          <w:rFonts w:ascii="Times New Roman" w:hAnsi="Times New Roman"/>
          <w:sz w:val="24"/>
          <w:szCs w:val="24"/>
        </w:rPr>
      </w:pPr>
    </w:p>
    <w:p w14:paraId="0E15350A" w14:textId="5FCB5B07" w:rsidR="00C21E54" w:rsidRDefault="00C21E54" w:rsidP="00C21E54">
      <w:pPr>
        <w:pStyle w:val="Bodytext20"/>
        <w:shd w:val="clear" w:color="auto" w:fill="FFFFFF" w:themeFill="background1"/>
        <w:spacing w:after="0" w:line="240" w:lineRule="auto"/>
        <w:rPr>
          <w:rStyle w:val="Hyperlink"/>
          <w:sz w:val="24"/>
          <w:szCs w:val="24"/>
        </w:rPr>
      </w:pPr>
      <w:r>
        <w:rPr>
          <w:sz w:val="24"/>
        </w:rPr>
        <w:lastRenderedPageBreak/>
        <w:t xml:space="preserve">Nel presentare la domanda, tutti i candidati e i rispettivi partner forniscono il proprio consenso alla raccolta e al trattamento dei dati personali ivi contenuti da parte della Città di Pula-Pola al fine di raccogliere e finanziare programmi, progetti, manifestazioni e attività attuati per il bene pubblico da associazioni e altre organizzazioni senza scopo di lucro nel territorio della Città di Pula-Pola nel 2023, nonché di poterli usare per effettuare il versamento dei fondi finanziari aggiudicati, contattare i soggetti e pubblicare informazioni sul sito internet e/o nel bollettino ufficiale della Città di Pula-Pola. I diritti dei candidati e la procedura relativa ai loro dati personali sono consultabili all’indirizzo </w:t>
      </w:r>
      <w:hyperlink r:id="rId11">
        <w:r>
          <w:rPr>
            <w:rStyle w:val="Hyperlink"/>
            <w:sz w:val="24"/>
          </w:rPr>
          <w:t>http://www.pula.hr/hr/rad-gradske-uprave/gdpr/</w:t>
        </w:r>
      </w:hyperlink>
    </w:p>
    <w:p w14:paraId="4C42E81A" w14:textId="77777777" w:rsidR="00F32075" w:rsidRDefault="00F32075" w:rsidP="00C21E54">
      <w:pPr>
        <w:rPr>
          <w:b/>
        </w:rPr>
      </w:pPr>
    </w:p>
    <w:p w14:paraId="21F00086" w14:textId="77777777" w:rsidR="00F32075" w:rsidRDefault="00F32075" w:rsidP="00F32075">
      <w:pPr>
        <w:tabs>
          <w:tab w:val="left" w:pos="1440"/>
        </w:tabs>
      </w:pPr>
    </w:p>
    <w:p w14:paraId="0F50DAE4" w14:textId="77777777" w:rsidR="00F32075" w:rsidRDefault="00F32075" w:rsidP="00F32075"/>
    <w:sectPr w:rsidR="00F32075" w:rsidSect="0018781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691B0" w14:textId="77777777" w:rsidR="00466D84" w:rsidRDefault="00466D84" w:rsidP="00B60C86">
      <w:r>
        <w:separator/>
      </w:r>
    </w:p>
  </w:endnote>
  <w:endnote w:type="continuationSeparator" w:id="0">
    <w:p w14:paraId="6349C309" w14:textId="77777777" w:rsidR="00466D84" w:rsidRDefault="00466D84" w:rsidP="00B60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ller Light">
    <w:altName w:val="Calibri"/>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4594144"/>
      <w:docPartObj>
        <w:docPartGallery w:val="Page Numbers (Bottom of Page)"/>
        <w:docPartUnique/>
      </w:docPartObj>
    </w:sdtPr>
    <w:sdtEndPr>
      <w:rPr>
        <w:noProof/>
      </w:rPr>
    </w:sdtEndPr>
    <w:sdtContent>
      <w:p w14:paraId="6C656AB7" w14:textId="5A790E55" w:rsidR="00B60C86" w:rsidRDefault="00B60C8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6824375" w14:textId="77777777" w:rsidR="00B60C86" w:rsidRDefault="00B60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2B754" w14:textId="77777777" w:rsidR="00466D84" w:rsidRDefault="00466D84" w:rsidP="00B60C86">
      <w:r>
        <w:separator/>
      </w:r>
    </w:p>
  </w:footnote>
  <w:footnote w:type="continuationSeparator" w:id="0">
    <w:p w14:paraId="09D5BBF0" w14:textId="77777777" w:rsidR="00466D84" w:rsidRDefault="00466D84" w:rsidP="00B60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32B6E"/>
    <w:multiLevelType w:val="hybridMultilevel"/>
    <w:tmpl w:val="BC382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D4009F"/>
    <w:multiLevelType w:val="hybridMultilevel"/>
    <w:tmpl w:val="FF6ED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8699473">
    <w:abstractNumId w:val="1"/>
  </w:num>
  <w:num w:numId="2" w16cid:durableId="1753508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075"/>
    <w:rsid w:val="00043899"/>
    <w:rsid w:val="0009102B"/>
    <w:rsid w:val="00134360"/>
    <w:rsid w:val="00187817"/>
    <w:rsid w:val="00187B3E"/>
    <w:rsid w:val="00233A34"/>
    <w:rsid w:val="00466D84"/>
    <w:rsid w:val="004D6A30"/>
    <w:rsid w:val="00545BD9"/>
    <w:rsid w:val="0057091B"/>
    <w:rsid w:val="005D57A3"/>
    <w:rsid w:val="006F61F2"/>
    <w:rsid w:val="00764E08"/>
    <w:rsid w:val="007E0882"/>
    <w:rsid w:val="00892F22"/>
    <w:rsid w:val="008D5AE0"/>
    <w:rsid w:val="009755BF"/>
    <w:rsid w:val="009B28F7"/>
    <w:rsid w:val="009D0E31"/>
    <w:rsid w:val="00AD0DFE"/>
    <w:rsid w:val="00AD41EB"/>
    <w:rsid w:val="00B60C86"/>
    <w:rsid w:val="00C21E54"/>
    <w:rsid w:val="00D0215C"/>
    <w:rsid w:val="00D115FE"/>
    <w:rsid w:val="00DE7E83"/>
    <w:rsid w:val="00E17DCF"/>
    <w:rsid w:val="00E779CA"/>
    <w:rsid w:val="00EA6140"/>
    <w:rsid w:val="00EB6396"/>
    <w:rsid w:val="00EB7B08"/>
    <w:rsid w:val="00EF4B64"/>
    <w:rsid w:val="00F06A30"/>
    <w:rsid w:val="00F32075"/>
    <w:rsid w:val="00F82D67"/>
    <w:rsid w:val="00F96D06"/>
    <w:rsid w:val="00FB62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EB713"/>
  <w15:docId w15:val="{343214FA-BDD1-4C13-8783-B2AA708C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0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075"/>
    <w:rPr>
      <w:color w:val="0000FF"/>
      <w:u w:val="single"/>
    </w:rPr>
  </w:style>
  <w:style w:type="paragraph" w:styleId="BodyText">
    <w:name w:val="Body Text"/>
    <w:basedOn w:val="Normal"/>
    <w:link w:val="BodyTextChar"/>
    <w:semiHidden/>
    <w:unhideWhenUsed/>
    <w:rsid w:val="00F32075"/>
    <w:pPr>
      <w:spacing w:after="120"/>
    </w:pPr>
  </w:style>
  <w:style w:type="character" w:customStyle="1" w:styleId="BodyTextChar">
    <w:name w:val="Body Text Char"/>
    <w:basedOn w:val="DefaultParagraphFont"/>
    <w:link w:val="BodyText"/>
    <w:semiHidden/>
    <w:rsid w:val="00F32075"/>
    <w:rPr>
      <w:rFonts w:ascii="Times New Roman" w:eastAsia="Times New Roman" w:hAnsi="Times New Roman" w:cs="Times New Roman"/>
      <w:sz w:val="24"/>
      <w:szCs w:val="24"/>
      <w:lang w:eastAsia="it-IT"/>
    </w:rPr>
  </w:style>
  <w:style w:type="paragraph" w:styleId="NoSpacing">
    <w:name w:val="No Spacing"/>
    <w:uiPriority w:val="1"/>
    <w:qFormat/>
    <w:rsid w:val="00F32075"/>
    <w:pPr>
      <w:spacing w:after="0" w:line="240" w:lineRule="auto"/>
    </w:pPr>
    <w:rPr>
      <w:rFonts w:ascii="Calibri" w:eastAsia="Calibri" w:hAnsi="Calibri" w:cs="Times New Roman"/>
    </w:rPr>
  </w:style>
  <w:style w:type="paragraph" w:styleId="ListParagraph">
    <w:name w:val="List Paragraph"/>
    <w:basedOn w:val="Normal"/>
    <w:uiPriority w:val="34"/>
    <w:qFormat/>
    <w:rsid w:val="00F32075"/>
    <w:pPr>
      <w:spacing w:after="200" w:line="276" w:lineRule="auto"/>
      <w:ind w:left="720"/>
      <w:contextualSpacing/>
    </w:pPr>
    <w:rPr>
      <w:rFonts w:ascii="Calibri" w:eastAsia="Calibri" w:hAnsi="Calibri"/>
      <w:sz w:val="22"/>
      <w:szCs w:val="22"/>
    </w:rPr>
  </w:style>
  <w:style w:type="paragraph" w:customStyle="1" w:styleId="SubTitle2">
    <w:name w:val="SubTitle 2"/>
    <w:basedOn w:val="Normal"/>
    <w:rsid w:val="00F32075"/>
    <w:pPr>
      <w:snapToGrid w:val="0"/>
      <w:spacing w:after="240"/>
      <w:jc w:val="center"/>
    </w:pPr>
    <w:rPr>
      <w:b/>
      <w:sz w:val="32"/>
      <w:szCs w:val="20"/>
    </w:rPr>
  </w:style>
  <w:style w:type="character" w:styleId="UnresolvedMention">
    <w:name w:val="Unresolved Mention"/>
    <w:basedOn w:val="DefaultParagraphFont"/>
    <w:uiPriority w:val="99"/>
    <w:semiHidden/>
    <w:unhideWhenUsed/>
    <w:rsid w:val="009B28F7"/>
    <w:rPr>
      <w:color w:val="605E5C"/>
      <w:shd w:val="clear" w:color="auto" w:fill="E1DFDD"/>
    </w:rPr>
  </w:style>
  <w:style w:type="paragraph" w:customStyle="1" w:styleId="Default">
    <w:name w:val="Default"/>
    <w:rsid w:val="00764E08"/>
    <w:pPr>
      <w:autoSpaceDE w:val="0"/>
      <w:autoSpaceDN w:val="0"/>
      <w:adjustRightInd w:val="0"/>
      <w:spacing w:after="0" w:line="240" w:lineRule="auto"/>
    </w:pPr>
    <w:rPr>
      <w:rFonts w:ascii="Aller Light" w:hAnsi="Aller Light" w:cs="Aller Light"/>
      <w:color w:val="000000"/>
      <w:sz w:val="24"/>
      <w:szCs w:val="24"/>
    </w:rPr>
  </w:style>
  <w:style w:type="character" w:customStyle="1" w:styleId="Bodytext2">
    <w:name w:val="Body text (2)_"/>
    <w:basedOn w:val="DefaultParagraphFont"/>
    <w:link w:val="Bodytext20"/>
    <w:rsid w:val="00C21E54"/>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C21E54"/>
    <w:pPr>
      <w:widowControl w:val="0"/>
      <w:shd w:val="clear" w:color="auto" w:fill="FFFFFF"/>
      <w:spacing w:after="360" w:line="413" w:lineRule="exact"/>
      <w:jc w:val="both"/>
    </w:pPr>
    <w:rPr>
      <w:sz w:val="22"/>
      <w:szCs w:val="22"/>
    </w:rPr>
  </w:style>
  <w:style w:type="paragraph" w:styleId="Header">
    <w:name w:val="header"/>
    <w:basedOn w:val="Normal"/>
    <w:link w:val="HeaderChar"/>
    <w:uiPriority w:val="99"/>
    <w:unhideWhenUsed/>
    <w:rsid w:val="00B60C86"/>
    <w:pPr>
      <w:tabs>
        <w:tab w:val="center" w:pos="4536"/>
        <w:tab w:val="right" w:pos="9072"/>
      </w:tabs>
    </w:pPr>
  </w:style>
  <w:style w:type="character" w:customStyle="1" w:styleId="HeaderChar">
    <w:name w:val="Header Char"/>
    <w:basedOn w:val="DefaultParagraphFont"/>
    <w:link w:val="Header"/>
    <w:uiPriority w:val="99"/>
    <w:rsid w:val="00B60C86"/>
    <w:rPr>
      <w:rFonts w:ascii="Times New Roman" w:eastAsia="Times New Roman" w:hAnsi="Times New Roman" w:cs="Times New Roman"/>
      <w:sz w:val="24"/>
      <w:szCs w:val="24"/>
      <w:lang w:eastAsia="it-IT"/>
    </w:rPr>
  </w:style>
  <w:style w:type="paragraph" w:styleId="Footer">
    <w:name w:val="footer"/>
    <w:basedOn w:val="Normal"/>
    <w:link w:val="FooterChar"/>
    <w:uiPriority w:val="99"/>
    <w:unhideWhenUsed/>
    <w:rsid w:val="00B60C86"/>
    <w:pPr>
      <w:tabs>
        <w:tab w:val="center" w:pos="4536"/>
        <w:tab w:val="right" w:pos="9072"/>
      </w:tabs>
    </w:pPr>
  </w:style>
  <w:style w:type="character" w:customStyle="1" w:styleId="FooterChar">
    <w:name w:val="Footer Char"/>
    <w:basedOn w:val="DefaultParagraphFont"/>
    <w:link w:val="Footer"/>
    <w:uiPriority w:val="99"/>
    <w:rsid w:val="00B60C86"/>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8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la.h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ula.hr/hr/uprava/gradonacelnik/provedbeni-program-grada-pul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ula.hr/hr/rad-gradske-uprave/gdpr/" TargetMode="External"/><Relationship Id="rId5" Type="http://schemas.openxmlformats.org/officeDocument/2006/relationships/footnotes" Target="footnotes.xml"/><Relationship Id="rId10" Type="http://schemas.openxmlformats.org/officeDocument/2006/relationships/hyperlink" Target="https://www.pula.hr/hr/uprava/upravni-odjeli-i-sluzbe/upravni-odjel-za-drustvene-djelatnosti-i-mlade/zahtjevi/" TargetMode="External"/><Relationship Id="rId4" Type="http://schemas.openxmlformats.org/officeDocument/2006/relationships/webSettings" Target="webSettings.xml"/><Relationship Id="rId9" Type="http://schemas.openxmlformats.org/officeDocument/2006/relationships/hyperlink" Target="https://www.pula.hr/hr/rad-gradske-uprave/natjecaji-i-nadmetanj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1948</Words>
  <Characters>11105</Characters>
  <Application>Microsoft Office Word</Application>
  <DocSecurity>0</DocSecurity>
  <Lines>92</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tmilos</dc:creator>
  <cp:keywords/>
  <dc:description/>
  <cp:lastModifiedBy>Tatjana Miloš</cp:lastModifiedBy>
  <cp:revision>10</cp:revision>
  <cp:lastPrinted>2023-01-20T08:08:00Z</cp:lastPrinted>
  <dcterms:created xsi:type="dcterms:W3CDTF">2023-01-13T07:47:00Z</dcterms:created>
  <dcterms:modified xsi:type="dcterms:W3CDTF">2023-01-20T09:49:00Z</dcterms:modified>
</cp:coreProperties>
</file>