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3BAB" w14:textId="3BE47ABC" w:rsidR="00BE5B55" w:rsidRPr="00156CD9" w:rsidRDefault="00901F9C" w:rsidP="00156C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324">
        <w:rPr>
          <w:noProof/>
        </w:rPr>
        <w:drawing>
          <wp:inline distT="0" distB="0" distL="0" distR="0" wp14:anchorId="47453F56" wp14:editId="54EEF196">
            <wp:extent cx="5230167" cy="276288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481" cy="285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0E0B7" w14:textId="63F4D16A" w:rsidR="004E0535" w:rsidRPr="00156CD9" w:rsidRDefault="00AD6CD9" w:rsidP="00156CD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 xml:space="preserve">Pula, </w:t>
      </w:r>
      <w:r w:rsidR="00DB5F7B" w:rsidRPr="00156CD9">
        <w:rPr>
          <w:rFonts w:ascii="Times New Roman" w:hAnsi="Times New Roman" w:cs="Times New Roman"/>
          <w:b/>
          <w:sz w:val="24"/>
          <w:szCs w:val="24"/>
        </w:rPr>
        <w:t>1</w:t>
      </w:r>
      <w:r w:rsidR="002F48B9">
        <w:rPr>
          <w:rFonts w:ascii="Times New Roman" w:hAnsi="Times New Roman" w:cs="Times New Roman"/>
          <w:b/>
          <w:sz w:val="24"/>
          <w:szCs w:val="24"/>
        </w:rPr>
        <w:t>5</w:t>
      </w:r>
      <w:r w:rsidR="00DB5F7B" w:rsidRPr="00156CD9">
        <w:rPr>
          <w:rFonts w:ascii="Times New Roman" w:hAnsi="Times New Roman" w:cs="Times New Roman"/>
          <w:b/>
          <w:sz w:val="24"/>
          <w:szCs w:val="24"/>
        </w:rPr>
        <w:t>.02.2022</w:t>
      </w:r>
      <w:r w:rsidRPr="00156CD9">
        <w:rPr>
          <w:rFonts w:ascii="Times New Roman" w:hAnsi="Times New Roman" w:cs="Times New Roman"/>
          <w:b/>
          <w:sz w:val="24"/>
          <w:szCs w:val="24"/>
        </w:rPr>
        <w:t>.</w:t>
      </w:r>
    </w:p>
    <w:p w14:paraId="3D49C544" w14:textId="77777777" w:rsidR="00AD6CD9" w:rsidRPr="00156CD9" w:rsidRDefault="00AD6CD9" w:rsidP="00156CD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1940C" w14:textId="77777777" w:rsidR="00BE5B55" w:rsidRPr="00156CD9" w:rsidRDefault="00BE5B55" w:rsidP="00156CD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 xml:space="preserve">GRAD PULA </w:t>
      </w:r>
      <w:r w:rsidR="003A7E83" w:rsidRPr="00156CD9">
        <w:rPr>
          <w:rFonts w:ascii="Times New Roman" w:hAnsi="Times New Roman" w:cs="Times New Roman"/>
          <w:b/>
          <w:sz w:val="24"/>
          <w:szCs w:val="24"/>
        </w:rPr>
        <w:t>-</w:t>
      </w:r>
      <w:r w:rsidRPr="00156CD9">
        <w:rPr>
          <w:rFonts w:ascii="Times New Roman" w:hAnsi="Times New Roman" w:cs="Times New Roman"/>
          <w:b/>
          <w:sz w:val="24"/>
          <w:szCs w:val="24"/>
        </w:rPr>
        <w:t>POLA</w:t>
      </w:r>
    </w:p>
    <w:p w14:paraId="5240EEF2" w14:textId="1B42D350" w:rsidR="004E0535" w:rsidRDefault="00BE5B55" w:rsidP="00156CD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BILJEŠKE UZ FINANCIJSKE IZVJEŠTAJE</w:t>
      </w:r>
      <w:r w:rsidR="001E12E2" w:rsidRPr="00156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E83" w:rsidRPr="00156CD9">
        <w:rPr>
          <w:rFonts w:ascii="Times New Roman" w:hAnsi="Times New Roman" w:cs="Times New Roman"/>
          <w:b/>
          <w:sz w:val="24"/>
          <w:szCs w:val="24"/>
        </w:rPr>
        <w:t>-</w:t>
      </w:r>
      <w:r w:rsidR="001E12E2" w:rsidRPr="00156CD9">
        <w:rPr>
          <w:rFonts w:ascii="Times New Roman" w:hAnsi="Times New Roman" w:cs="Times New Roman"/>
          <w:b/>
          <w:sz w:val="24"/>
          <w:szCs w:val="24"/>
        </w:rPr>
        <w:t xml:space="preserve"> razina 22</w:t>
      </w:r>
    </w:p>
    <w:p w14:paraId="6DB16852" w14:textId="77777777" w:rsidR="00901F9C" w:rsidRPr="00156CD9" w:rsidRDefault="00901F9C" w:rsidP="00156CD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8754"/>
        <w:tblW w:w="9235" w:type="dxa"/>
        <w:tblLook w:val="04A0" w:firstRow="1" w:lastRow="0" w:firstColumn="1" w:lastColumn="0" w:noHBand="0" w:noVBand="1"/>
      </w:tblPr>
      <w:tblGrid>
        <w:gridCol w:w="1520"/>
        <w:gridCol w:w="1106"/>
        <w:gridCol w:w="1848"/>
        <w:gridCol w:w="444"/>
        <w:gridCol w:w="1815"/>
        <w:gridCol w:w="2502"/>
      </w:tblGrid>
      <w:tr w:rsidR="00156CD9" w:rsidRPr="00156CD9" w14:paraId="32B31FDE" w14:textId="77777777" w:rsidTr="00156CD9">
        <w:trPr>
          <w:trHeight w:val="31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891E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Broj RKP-a: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726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34813</w:t>
            </w:r>
          </w:p>
        </w:tc>
        <w:tc>
          <w:tcPr>
            <w:tcW w:w="6609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14FEF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  <w:p w14:paraId="01E46995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56CD9" w:rsidRPr="00156CD9" w14:paraId="5C100DF2" w14:textId="77777777" w:rsidTr="00156CD9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5DF8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Matični broj: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C72B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02539560</w:t>
            </w:r>
          </w:p>
        </w:tc>
        <w:tc>
          <w:tcPr>
            <w:tcW w:w="6609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C6875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156CD9" w:rsidRPr="00156CD9" w14:paraId="3D051590" w14:textId="77777777" w:rsidTr="00156CD9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E30A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obveznika: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E694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GRAD PULA-POLA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7DA1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 datuma: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565E" w14:textId="277D64EC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1.1.20</w:t>
            </w:r>
            <w:r w:rsidR="0018557A"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  <w:r w:rsidR="00DB5F7B"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</w:tr>
      <w:tr w:rsidR="00156CD9" w:rsidRPr="00156CD9" w14:paraId="6217D14D" w14:textId="77777777" w:rsidTr="00156CD9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FEBF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Pošta i mjesto: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F19929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A771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Pula</w:t>
            </w:r>
          </w:p>
        </w:tc>
        <w:tc>
          <w:tcPr>
            <w:tcW w:w="4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62F6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20BA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Do datuma: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6639A" w14:textId="5044242C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31.12.20</w:t>
            </w:r>
            <w:r w:rsidR="0018557A"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  <w:r w:rsidR="00DB5F7B"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</w:tr>
      <w:tr w:rsidR="00156CD9" w:rsidRPr="00156CD9" w14:paraId="316587DE" w14:textId="77777777" w:rsidTr="00156CD9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6651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Ulica i kućni broj:</w:t>
            </w:r>
          </w:p>
        </w:tc>
        <w:tc>
          <w:tcPr>
            <w:tcW w:w="2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3081F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FORUM 1</w:t>
            </w:r>
          </w:p>
        </w:tc>
        <w:tc>
          <w:tcPr>
            <w:tcW w:w="44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46CF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39DB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OIB: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6B6A" w14:textId="77777777" w:rsidR="00AD6CD9" w:rsidRPr="00156CD9" w:rsidRDefault="00AD6CD9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79517841355</w:t>
            </w:r>
          </w:p>
        </w:tc>
      </w:tr>
      <w:tr w:rsidR="00156CD9" w:rsidRPr="00156CD9" w14:paraId="0A0E356C" w14:textId="77777777" w:rsidTr="00156CD9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18A2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Razina: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AF2E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660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0579F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56CD9" w:rsidRPr="00156CD9" w14:paraId="449C2BF6" w14:textId="77777777" w:rsidTr="00156CD9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2EB9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Šifra djelatnosti: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5BC8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8411</w:t>
            </w:r>
          </w:p>
        </w:tc>
        <w:tc>
          <w:tcPr>
            <w:tcW w:w="660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AC2B2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Opće djelatnosti javne uprave</w:t>
            </w:r>
          </w:p>
        </w:tc>
      </w:tr>
      <w:tr w:rsidR="00156CD9" w:rsidRPr="00156CD9" w14:paraId="5838E13C" w14:textId="77777777" w:rsidTr="00156CD9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F5B9A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Šifra grada/</w:t>
            </w:r>
            <w:proofErr w:type="spellStart"/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opć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.: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F79E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359</w:t>
            </w:r>
          </w:p>
        </w:tc>
        <w:tc>
          <w:tcPr>
            <w:tcW w:w="66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D259D" w14:textId="77777777" w:rsidR="00E32FFE" w:rsidRPr="00156CD9" w:rsidRDefault="00E32FFE" w:rsidP="001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14:paraId="78DBD53C" w14:textId="77777777" w:rsidR="00B22B60" w:rsidRDefault="00B22B60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5958A" w14:textId="3103C651" w:rsidR="003A7BA0" w:rsidRDefault="00A71598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Grad Pula je</w:t>
      </w:r>
      <w:r w:rsidR="00785CE8" w:rsidRPr="00156CD9">
        <w:rPr>
          <w:rFonts w:ascii="Times New Roman" w:hAnsi="Times New Roman" w:cs="Times New Roman"/>
          <w:sz w:val="24"/>
          <w:szCs w:val="24"/>
        </w:rPr>
        <w:t xml:space="preserve"> dana 01.01.2012. godine uveo Lokalnu riznicu za sve svoje proračunske korisnike. </w:t>
      </w:r>
      <w:r w:rsidR="0005683A" w:rsidRPr="00156CD9">
        <w:rPr>
          <w:rFonts w:ascii="Times New Roman" w:hAnsi="Times New Roman" w:cs="Times New Roman"/>
          <w:sz w:val="24"/>
          <w:szCs w:val="24"/>
        </w:rPr>
        <w:t>Žiro računi p</w:t>
      </w:r>
      <w:r w:rsidR="00785CE8" w:rsidRPr="00156CD9">
        <w:rPr>
          <w:rFonts w:ascii="Times New Roman" w:hAnsi="Times New Roman" w:cs="Times New Roman"/>
          <w:sz w:val="24"/>
          <w:szCs w:val="24"/>
        </w:rPr>
        <w:t>roračunski</w:t>
      </w:r>
      <w:r w:rsidR="0005683A" w:rsidRPr="00156CD9">
        <w:rPr>
          <w:rFonts w:ascii="Times New Roman" w:hAnsi="Times New Roman" w:cs="Times New Roman"/>
          <w:sz w:val="24"/>
          <w:szCs w:val="24"/>
        </w:rPr>
        <w:t xml:space="preserve">h korisnika zatvoreni su </w:t>
      </w:r>
      <w:r w:rsidR="00744C26" w:rsidRPr="00156CD9">
        <w:rPr>
          <w:rFonts w:ascii="Times New Roman" w:hAnsi="Times New Roman" w:cs="Times New Roman"/>
          <w:sz w:val="24"/>
          <w:szCs w:val="24"/>
        </w:rPr>
        <w:t xml:space="preserve">krajem </w:t>
      </w:r>
      <w:r w:rsidR="0005683A" w:rsidRPr="00156CD9">
        <w:rPr>
          <w:rFonts w:ascii="Times New Roman" w:hAnsi="Times New Roman" w:cs="Times New Roman"/>
          <w:sz w:val="24"/>
          <w:szCs w:val="24"/>
        </w:rPr>
        <w:t>2011. godine, a cjelokupno financijsko poslovanje obavlja se putem</w:t>
      </w:r>
      <w:r w:rsidR="00785CE8" w:rsidRPr="00156CD9">
        <w:rPr>
          <w:rFonts w:ascii="Times New Roman" w:hAnsi="Times New Roman" w:cs="Times New Roman"/>
          <w:sz w:val="24"/>
          <w:szCs w:val="24"/>
        </w:rPr>
        <w:t xml:space="preserve"> jedinstvenog žiro računa</w:t>
      </w:r>
      <w:r w:rsidR="0005683A" w:rsidRPr="00156CD9">
        <w:rPr>
          <w:rFonts w:ascii="Times New Roman" w:hAnsi="Times New Roman" w:cs="Times New Roman"/>
          <w:sz w:val="24"/>
          <w:szCs w:val="24"/>
        </w:rPr>
        <w:t xml:space="preserve"> Grada Pule</w:t>
      </w:r>
      <w:r w:rsidR="00785CE8" w:rsidRPr="00156CD9">
        <w:rPr>
          <w:rFonts w:ascii="Times New Roman" w:hAnsi="Times New Roman" w:cs="Times New Roman"/>
          <w:sz w:val="24"/>
          <w:szCs w:val="24"/>
        </w:rPr>
        <w:t>.</w:t>
      </w:r>
      <w:r w:rsidR="001E12E2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785CE8" w:rsidRPr="00156CD9">
        <w:rPr>
          <w:rFonts w:ascii="Times New Roman" w:hAnsi="Times New Roman" w:cs="Times New Roman"/>
          <w:sz w:val="24"/>
          <w:szCs w:val="24"/>
        </w:rPr>
        <w:t>Na dan 31.12.</w:t>
      </w:r>
      <w:r w:rsidR="003C20C6" w:rsidRPr="00156CD9">
        <w:rPr>
          <w:rFonts w:ascii="Times New Roman" w:hAnsi="Times New Roman" w:cs="Times New Roman"/>
          <w:sz w:val="24"/>
          <w:szCs w:val="24"/>
        </w:rPr>
        <w:t>20</w:t>
      </w:r>
      <w:r w:rsidR="00A4222A" w:rsidRPr="00156CD9">
        <w:rPr>
          <w:rFonts w:ascii="Times New Roman" w:hAnsi="Times New Roman" w:cs="Times New Roman"/>
          <w:sz w:val="24"/>
          <w:szCs w:val="24"/>
        </w:rPr>
        <w:t>2</w:t>
      </w:r>
      <w:r w:rsidR="00392FCD" w:rsidRPr="00156CD9">
        <w:rPr>
          <w:rFonts w:ascii="Times New Roman" w:hAnsi="Times New Roman" w:cs="Times New Roman"/>
          <w:sz w:val="24"/>
          <w:szCs w:val="24"/>
        </w:rPr>
        <w:t>1</w:t>
      </w:r>
      <w:r w:rsidR="003C20C6" w:rsidRPr="00156CD9">
        <w:rPr>
          <w:rFonts w:ascii="Times New Roman" w:hAnsi="Times New Roman" w:cs="Times New Roman"/>
          <w:sz w:val="24"/>
          <w:szCs w:val="24"/>
        </w:rPr>
        <w:t>.</w:t>
      </w:r>
      <w:r w:rsidR="0005683A" w:rsidRPr="00156CD9">
        <w:rPr>
          <w:rFonts w:ascii="Times New Roman" w:hAnsi="Times New Roman" w:cs="Times New Roman"/>
          <w:sz w:val="24"/>
          <w:szCs w:val="24"/>
        </w:rPr>
        <w:t xml:space="preserve"> godine p</w:t>
      </w:r>
      <w:r w:rsidR="00785CE8" w:rsidRPr="00156CD9">
        <w:rPr>
          <w:rFonts w:ascii="Times New Roman" w:hAnsi="Times New Roman" w:cs="Times New Roman"/>
          <w:sz w:val="24"/>
          <w:szCs w:val="24"/>
        </w:rPr>
        <w:t xml:space="preserve">roračunski korisnici Grada Pule jesu: Istarsko narodno kazalište </w:t>
      </w:r>
      <w:r w:rsidR="003A7E83" w:rsidRPr="00156CD9">
        <w:rPr>
          <w:rFonts w:ascii="Times New Roman" w:hAnsi="Times New Roman" w:cs="Times New Roman"/>
          <w:sz w:val="24"/>
          <w:szCs w:val="24"/>
        </w:rPr>
        <w:t>-</w:t>
      </w:r>
      <w:r w:rsidR="00785CE8" w:rsidRPr="00156CD9">
        <w:rPr>
          <w:rFonts w:ascii="Times New Roman" w:hAnsi="Times New Roman" w:cs="Times New Roman"/>
          <w:sz w:val="24"/>
          <w:szCs w:val="24"/>
        </w:rPr>
        <w:t xml:space="preserve"> Gradsko kazalište Pula, Gradska knjižnica i čitaonica Pula, </w:t>
      </w:r>
      <w:r w:rsidR="007E5C9B" w:rsidRPr="00156CD9">
        <w:rPr>
          <w:rFonts w:ascii="Times New Roman" w:hAnsi="Times New Roman" w:cs="Times New Roman"/>
          <w:sz w:val="24"/>
          <w:szCs w:val="24"/>
        </w:rPr>
        <w:t>DV</w:t>
      </w:r>
      <w:r w:rsidR="00785CE8" w:rsidRPr="00156CD9">
        <w:rPr>
          <w:rFonts w:ascii="Times New Roman" w:hAnsi="Times New Roman" w:cs="Times New Roman"/>
          <w:sz w:val="24"/>
          <w:szCs w:val="24"/>
        </w:rPr>
        <w:t xml:space="preserve"> Pula,</w:t>
      </w:r>
      <w:r w:rsidR="007E5C9B" w:rsidRPr="00156CD9">
        <w:rPr>
          <w:rFonts w:ascii="Times New Roman" w:hAnsi="Times New Roman" w:cs="Times New Roman"/>
          <w:sz w:val="24"/>
          <w:szCs w:val="24"/>
        </w:rPr>
        <w:t xml:space="preserve"> DV Mali Svijet,</w:t>
      </w:r>
      <w:r w:rsidR="00785CE8" w:rsidRPr="00156CD9">
        <w:rPr>
          <w:rFonts w:ascii="Times New Roman" w:hAnsi="Times New Roman" w:cs="Times New Roman"/>
          <w:sz w:val="24"/>
          <w:szCs w:val="24"/>
        </w:rPr>
        <w:t xml:space="preserve"> DV </w:t>
      </w:r>
      <w:proofErr w:type="spellStart"/>
      <w:r w:rsidR="00785CE8" w:rsidRPr="00156CD9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="00785CE8" w:rsidRPr="00156CD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785CE8" w:rsidRPr="00156CD9">
        <w:rPr>
          <w:rFonts w:ascii="Times New Roman" w:hAnsi="Times New Roman" w:cs="Times New Roman"/>
          <w:sz w:val="24"/>
          <w:szCs w:val="24"/>
        </w:rPr>
        <w:t>Tin</w:t>
      </w:r>
      <w:proofErr w:type="spellEnd"/>
      <w:r w:rsidR="00785CE8" w:rsidRPr="00156CD9">
        <w:rPr>
          <w:rFonts w:ascii="Times New Roman" w:hAnsi="Times New Roman" w:cs="Times New Roman"/>
          <w:sz w:val="24"/>
          <w:szCs w:val="24"/>
        </w:rPr>
        <w:t xml:space="preserve"> Pula, Javna vatrogasna postrojba Pula, Dnevni centar za rehabilitaciju Veruda </w:t>
      </w:r>
      <w:r w:rsidR="003A7E83" w:rsidRPr="00156CD9">
        <w:rPr>
          <w:rFonts w:ascii="Times New Roman" w:hAnsi="Times New Roman" w:cs="Times New Roman"/>
          <w:sz w:val="24"/>
          <w:szCs w:val="24"/>
        </w:rPr>
        <w:t>-</w:t>
      </w:r>
      <w:r w:rsidR="00785CE8" w:rsidRPr="00156CD9">
        <w:rPr>
          <w:rFonts w:ascii="Times New Roman" w:hAnsi="Times New Roman" w:cs="Times New Roman"/>
          <w:sz w:val="24"/>
          <w:szCs w:val="24"/>
        </w:rPr>
        <w:t xml:space="preserve"> Pula, Osnovne škole</w:t>
      </w:r>
      <w:r w:rsidR="0005683A" w:rsidRPr="00156CD9">
        <w:rPr>
          <w:rFonts w:ascii="Times New Roman" w:hAnsi="Times New Roman" w:cs="Times New Roman"/>
          <w:sz w:val="24"/>
          <w:szCs w:val="24"/>
        </w:rPr>
        <w:t xml:space="preserve"> na području grada Pule</w:t>
      </w:r>
      <w:r w:rsidR="00785CE8" w:rsidRPr="00156CD9">
        <w:rPr>
          <w:rFonts w:ascii="Times New Roman" w:hAnsi="Times New Roman" w:cs="Times New Roman"/>
          <w:sz w:val="24"/>
          <w:szCs w:val="24"/>
        </w:rPr>
        <w:t>, Mjesni odbori te Vijeća nacionalnih manjina na području grada Pule.</w:t>
      </w:r>
    </w:p>
    <w:p w14:paraId="01C3B282" w14:textId="77777777" w:rsidR="00156CD9" w:rsidRPr="00156CD9" w:rsidRDefault="00156CD9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E68156" w14:textId="77777777" w:rsidR="00A02CC6" w:rsidRPr="00156CD9" w:rsidRDefault="00A02CC6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FC8E8C" w14:textId="77777777" w:rsidR="00BC3606" w:rsidRPr="00156CD9" w:rsidRDefault="005843AE" w:rsidP="0015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lastRenderedPageBreak/>
        <w:t>Obrazac</w:t>
      </w:r>
      <w:r w:rsidR="00BC3606" w:rsidRPr="00156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b/>
          <w:sz w:val="24"/>
          <w:szCs w:val="24"/>
        </w:rPr>
        <w:t>PR</w:t>
      </w:r>
      <w:r w:rsidR="003A7E83" w:rsidRPr="00156CD9">
        <w:rPr>
          <w:rFonts w:ascii="Times New Roman" w:hAnsi="Times New Roman" w:cs="Times New Roman"/>
          <w:b/>
          <w:sz w:val="24"/>
          <w:szCs w:val="24"/>
        </w:rPr>
        <w:t>-</w:t>
      </w:r>
      <w:r w:rsidRPr="00156CD9">
        <w:rPr>
          <w:rFonts w:ascii="Times New Roman" w:hAnsi="Times New Roman" w:cs="Times New Roman"/>
          <w:b/>
          <w:sz w:val="24"/>
          <w:szCs w:val="24"/>
        </w:rPr>
        <w:t>RAS</w:t>
      </w:r>
      <w:r w:rsidR="00BC3606" w:rsidRPr="00156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E83" w:rsidRPr="00156CD9">
        <w:rPr>
          <w:rFonts w:ascii="Times New Roman" w:hAnsi="Times New Roman" w:cs="Times New Roman"/>
          <w:b/>
          <w:sz w:val="24"/>
          <w:szCs w:val="24"/>
        </w:rPr>
        <w:t>-</w:t>
      </w:r>
      <w:r w:rsidR="00BC3606" w:rsidRPr="00156CD9">
        <w:rPr>
          <w:rFonts w:ascii="Times New Roman" w:hAnsi="Times New Roman" w:cs="Times New Roman"/>
          <w:b/>
          <w:sz w:val="24"/>
          <w:szCs w:val="24"/>
        </w:rPr>
        <w:t xml:space="preserve"> Izvještaj o prihodima i rashodima, primicima i izdacima</w:t>
      </w:r>
    </w:p>
    <w:p w14:paraId="00A2B063" w14:textId="77777777" w:rsidR="00156CD9" w:rsidRDefault="00156CD9" w:rsidP="00156CD9">
      <w:pPr>
        <w:pStyle w:val="Style20"/>
        <w:widowControl/>
        <w:tabs>
          <w:tab w:val="center" w:pos="4819"/>
        </w:tabs>
        <w:spacing w:line="276" w:lineRule="auto"/>
        <w:contextualSpacing/>
        <w:rPr>
          <w:rFonts w:ascii="Times New Roman" w:hAnsi="Times New Roman" w:cs="Times New Roman"/>
          <w:b/>
        </w:rPr>
      </w:pPr>
    </w:p>
    <w:p w14:paraId="7DF53D37" w14:textId="7497DA68" w:rsidR="00E95A49" w:rsidRPr="00156CD9" w:rsidRDefault="005843AE" w:rsidP="00156CD9">
      <w:pPr>
        <w:pStyle w:val="Style20"/>
        <w:widowControl/>
        <w:tabs>
          <w:tab w:val="center" w:pos="4819"/>
        </w:tabs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</w:t>
      </w:r>
      <w:r w:rsidR="00BE5B55" w:rsidRPr="00156CD9">
        <w:rPr>
          <w:rFonts w:ascii="Times New Roman" w:hAnsi="Times New Roman" w:cs="Times New Roman"/>
          <w:b/>
        </w:rPr>
        <w:t>. 1</w:t>
      </w:r>
    </w:p>
    <w:p w14:paraId="0CE366DD" w14:textId="77777777" w:rsidR="00A71598" w:rsidRPr="00156CD9" w:rsidRDefault="008C5303" w:rsidP="00156CD9">
      <w:pPr>
        <w:pStyle w:val="Style20"/>
        <w:widowControl/>
        <w:tabs>
          <w:tab w:val="center" w:pos="4819"/>
        </w:tabs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</w:rPr>
        <w:t>R</w:t>
      </w:r>
      <w:r w:rsidR="00174DBB" w:rsidRPr="00156CD9">
        <w:rPr>
          <w:rFonts w:ascii="Times New Roman" w:hAnsi="Times New Roman" w:cs="Times New Roman"/>
        </w:rPr>
        <w:t xml:space="preserve">azina 22 izvještavanja </w:t>
      </w:r>
      <w:r w:rsidR="00BE5B55" w:rsidRPr="00156CD9">
        <w:rPr>
          <w:rFonts w:ascii="Times New Roman" w:hAnsi="Times New Roman" w:cs="Times New Roman"/>
        </w:rPr>
        <w:t>propisuje da obrazac PR</w:t>
      </w:r>
      <w:r w:rsidR="003A7E83" w:rsidRPr="00156CD9">
        <w:rPr>
          <w:rFonts w:ascii="Times New Roman" w:hAnsi="Times New Roman" w:cs="Times New Roman"/>
        </w:rPr>
        <w:t>-</w:t>
      </w:r>
      <w:r w:rsidR="00BE5B55" w:rsidRPr="00156CD9">
        <w:rPr>
          <w:rFonts w:ascii="Times New Roman" w:hAnsi="Times New Roman" w:cs="Times New Roman"/>
        </w:rPr>
        <w:t>RAS treba obuhvatiti prihode i primitke te rashode i izdatke proračuna, uključujući plaćene rashode korisnika koji se financiraju iz prihoda i primitaka proračuna. Ovaj izvještaj ne uključuje vlastite i namjenske prihode i primitke proračunskih korisnika te rashode i izdatke koji se financiraju iz navedenih prihoda i primitaka.</w:t>
      </w:r>
    </w:p>
    <w:p w14:paraId="626630BE" w14:textId="77777777" w:rsidR="0095249B" w:rsidRPr="00156CD9" w:rsidRDefault="0095249B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0568DCB7" w14:textId="645E6193" w:rsidR="00743410" w:rsidRPr="00156CD9" w:rsidRDefault="00743410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BE5B55" w:rsidRPr="00156CD9">
        <w:rPr>
          <w:rFonts w:ascii="Times New Roman" w:hAnsi="Times New Roman" w:cs="Times New Roman"/>
          <w:b/>
        </w:rPr>
        <w:t>2</w:t>
      </w:r>
    </w:p>
    <w:p w14:paraId="3DBA69AC" w14:textId="27829474" w:rsidR="00743410" w:rsidRPr="00156CD9" w:rsidRDefault="00743410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Prihodi poslovanja</w:t>
      </w:r>
    </w:p>
    <w:tbl>
      <w:tblPr>
        <w:tblW w:w="9573" w:type="dxa"/>
        <w:jc w:val="center"/>
        <w:tblLook w:val="04A0" w:firstRow="1" w:lastRow="0" w:firstColumn="1" w:lastColumn="0" w:noHBand="0" w:noVBand="1"/>
      </w:tblPr>
      <w:tblGrid>
        <w:gridCol w:w="846"/>
        <w:gridCol w:w="3297"/>
        <w:gridCol w:w="567"/>
        <w:gridCol w:w="1559"/>
        <w:gridCol w:w="1562"/>
        <w:gridCol w:w="643"/>
        <w:gridCol w:w="1099"/>
      </w:tblGrid>
      <w:tr w:rsidR="001F6AEB" w:rsidRPr="00156CD9" w14:paraId="7A9BE144" w14:textId="77777777" w:rsidTr="00C45CCD">
        <w:trPr>
          <w:trHeight w:val="48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5B6E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Razred / Skupina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5F55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1E96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AOP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511C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Ostvareno u izvještajnom razdoblju prethodne godine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793D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Ostvareno u izvještajnom razdoblju tekuće godine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D960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Indeks (5/4)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04E6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</w:tr>
      <w:tr w:rsidR="0025672D" w:rsidRPr="00156CD9" w14:paraId="3EFD29C4" w14:textId="77777777" w:rsidTr="00C45CCD">
        <w:trPr>
          <w:trHeight w:val="309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D541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F9A7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49BF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E234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B91C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474F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56E5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5672D" w:rsidRPr="00156CD9" w14:paraId="5C03EE84" w14:textId="77777777" w:rsidTr="00C45CCD">
        <w:trPr>
          <w:trHeight w:val="1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2204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B6D1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2EB7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048F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D93B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B33B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F95" w14:textId="1B5A44E3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5-4</w:t>
            </w:r>
          </w:p>
        </w:tc>
      </w:tr>
      <w:tr w:rsidR="0025672D" w:rsidRPr="00156CD9" w14:paraId="5F624608" w14:textId="77777777" w:rsidTr="00C45CCD">
        <w:trPr>
          <w:trHeight w:val="19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2D73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530C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4A9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D52A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141.550.126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8A24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155.561.649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77C6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109,9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A199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14.011.523</w:t>
            </w:r>
          </w:p>
        </w:tc>
      </w:tr>
      <w:tr w:rsidR="0025672D" w:rsidRPr="00156CD9" w14:paraId="3884DAEA" w14:textId="77777777" w:rsidTr="00C45CCD">
        <w:trPr>
          <w:trHeight w:val="19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9319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F907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Pomoći iz inozemstva i od subjekata unutar općeg proračuna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5E4F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AB3B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29.488.622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C88E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33.012.783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CC6C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112,0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2718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3.524.161</w:t>
            </w:r>
          </w:p>
        </w:tc>
      </w:tr>
      <w:tr w:rsidR="0025672D" w:rsidRPr="00156CD9" w14:paraId="2C918837" w14:textId="77777777" w:rsidTr="00C45CCD">
        <w:trPr>
          <w:trHeight w:val="19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2251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5910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Prihodi od imovine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9A46" w14:textId="7BEC56F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07</w:t>
            </w:r>
            <w:r w:rsidR="00392FCD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32A4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26.642.139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94CC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27.175.886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1A12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102,0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F4B6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533.747</w:t>
            </w:r>
          </w:p>
        </w:tc>
      </w:tr>
      <w:tr w:rsidR="0025672D" w:rsidRPr="00156CD9" w14:paraId="7E42D2BB" w14:textId="77777777" w:rsidTr="00C45CCD">
        <w:trPr>
          <w:trHeight w:val="19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7135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E62D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Prihodi od upravnih i administrativnih  pristojbi, pristojbi po posebnim propisima i naknada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4A14" w14:textId="5A5FA50E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</w:t>
            </w:r>
            <w:r w:rsidR="00392FCD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B350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79.981.514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9EE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81.196.405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5F71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101,5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660B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1.214.891</w:t>
            </w:r>
          </w:p>
        </w:tc>
      </w:tr>
      <w:tr w:rsidR="0025672D" w:rsidRPr="00156CD9" w14:paraId="0055FE56" w14:textId="77777777" w:rsidTr="00C45CCD">
        <w:trPr>
          <w:trHeight w:val="19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4D2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13EA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Prihodi od prodaje proizvoda i robe te </w:t>
            </w: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pruž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. usluga i prihodi od donacija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D9DD" w14:textId="710E1EF3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  <w:r w:rsidR="00392FCD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D5AA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1.920.801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C7A1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1.851.843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4268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96,4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5E3C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-68.958</w:t>
            </w:r>
          </w:p>
        </w:tc>
      </w:tr>
      <w:tr w:rsidR="0025672D" w:rsidRPr="00156CD9" w14:paraId="2210CD36" w14:textId="77777777" w:rsidTr="00C45CCD">
        <w:trPr>
          <w:trHeight w:val="19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E4F5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824C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Kazne, upravne mjere i ostali prihodi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3FB3" w14:textId="62836204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</w:t>
            </w:r>
            <w:r w:rsidR="00392FCD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A8AC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1.725.019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9598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2.129.073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AA27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123,4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9461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404.054</w:t>
            </w:r>
          </w:p>
        </w:tc>
      </w:tr>
      <w:tr w:rsidR="0025672D" w:rsidRPr="00156CD9" w14:paraId="4D0776B9" w14:textId="77777777" w:rsidTr="00C45CCD">
        <w:trPr>
          <w:trHeight w:val="22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673B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41BD" w14:textId="77777777" w:rsidR="0025672D" w:rsidRPr="00156CD9" w:rsidRDefault="0025672D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BA84" w14:textId="77777777" w:rsidR="0025672D" w:rsidRPr="00156CD9" w:rsidRDefault="0025672D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1F09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281.308.221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883F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300.927.639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828B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107,0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0E66" w14:textId="77777777" w:rsidR="0025672D" w:rsidRPr="00156CD9" w:rsidRDefault="0025672D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19.619.418</w:t>
            </w:r>
          </w:p>
        </w:tc>
      </w:tr>
    </w:tbl>
    <w:p w14:paraId="25807473" w14:textId="77777777" w:rsidR="0095249B" w:rsidRPr="00156CD9" w:rsidRDefault="0095249B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4C0020BD" w14:textId="07649D2F" w:rsidR="00AE5C38" w:rsidRPr="00156CD9" w:rsidRDefault="00AE5C38" w:rsidP="000C1C08">
      <w:pPr>
        <w:pStyle w:val="Style20"/>
        <w:widowControl/>
        <w:spacing w:line="276" w:lineRule="auto"/>
        <w:ind w:right="-1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AB1AE9" w:rsidRPr="00156CD9">
        <w:rPr>
          <w:rFonts w:ascii="Times New Roman" w:hAnsi="Times New Roman" w:cs="Times New Roman"/>
          <w:b/>
        </w:rPr>
        <w:t>3</w:t>
      </w:r>
    </w:p>
    <w:p w14:paraId="023A1A3B" w14:textId="67C57261" w:rsidR="005E6641" w:rsidRPr="00156CD9" w:rsidRDefault="00847A29" w:rsidP="000C1C0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bCs/>
          <w:sz w:val="24"/>
          <w:szCs w:val="24"/>
        </w:rPr>
        <w:t>Porez i prirez na dohodak</w:t>
      </w:r>
      <w:r w:rsidR="00BE5B55" w:rsidRPr="00156CD9">
        <w:rPr>
          <w:rFonts w:ascii="Times New Roman" w:hAnsi="Times New Roman" w:cs="Times New Roman"/>
          <w:bCs/>
          <w:sz w:val="24"/>
          <w:szCs w:val="24"/>
        </w:rPr>
        <w:t xml:space="preserve"> (AOP00</w:t>
      </w:r>
      <w:r w:rsidRPr="00156CD9">
        <w:rPr>
          <w:rFonts w:ascii="Times New Roman" w:hAnsi="Times New Roman" w:cs="Times New Roman"/>
          <w:bCs/>
          <w:sz w:val="24"/>
          <w:szCs w:val="24"/>
        </w:rPr>
        <w:t>3</w:t>
      </w:r>
      <w:r w:rsidR="00BE5B55" w:rsidRPr="00156CD9">
        <w:rPr>
          <w:rFonts w:ascii="Times New Roman" w:hAnsi="Times New Roman" w:cs="Times New Roman"/>
          <w:bCs/>
          <w:sz w:val="24"/>
          <w:szCs w:val="24"/>
        </w:rPr>
        <w:t>)</w:t>
      </w:r>
      <w:r w:rsidR="00BE5B55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3A7E83" w:rsidRPr="00156CD9">
        <w:rPr>
          <w:rFonts w:ascii="Times New Roman" w:hAnsi="Times New Roman" w:cs="Times New Roman"/>
          <w:sz w:val="24"/>
          <w:szCs w:val="24"/>
        </w:rPr>
        <w:t>-</w:t>
      </w:r>
      <w:r w:rsidR="00BE5B55" w:rsidRPr="00156CD9">
        <w:rPr>
          <w:rFonts w:ascii="Times New Roman" w:hAnsi="Times New Roman" w:cs="Times New Roman"/>
          <w:sz w:val="24"/>
          <w:szCs w:val="24"/>
        </w:rPr>
        <w:t xml:space="preserve"> iznose </w:t>
      </w:r>
      <w:r w:rsidRPr="00156CD9">
        <w:rPr>
          <w:rFonts w:ascii="Times New Roman" w:hAnsi="Times New Roman" w:cs="Times New Roman"/>
          <w:sz w:val="24"/>
          <w:szCs w:val="24"/>
        </w:rPr>
        <w:t>134.678.333</w:t>
      </w:r>
      <w:r w:rsidR="00BE5B55" w:rsidRPr="00156CD9">
        <w:rPr>
          <w:rFonts w:ascii="Times New Roman" w:hAnsi="Times New Roman" w:cs="Times New Roman"/>
          <w:sz w:val="24"/>
          <w:szCs w:val="24"/>
        </w:rPr>
        <w:t xml:space="preserve"> kn i ostvareni su za </w:t>
      </w:r>
      <w:r w:rsidRPr="00156CD9">
        <w:rPr>
          <w:rFonts w:ascii="Times New Roman" w:hAnsi="Times New Roman" w:cs="Times New Roman"/>
          <w:sz w:val="24"/>
          <w:szCs w:val="24"/>
        </w:rPr>
        <w:t>13,9</w:t>
      </w:r>
      <w:r w:rsidR="00BE5B55" w:rsidRPr="00156CD9">
        <w:rPr>
          <w:rFonts w:ascii="Times New Roman" w:hAnsi="Times New Roman" w:cs="Times New Roman"/>
          <w:sz w:val="24"/>
          <w:szCs w:val="24"/>
        </w:rPr>
        <w:t>%</w:t>
      </w:r>
      <w:r w:rsidR="00595A9F" w:rsidRPr="00156CD9">
        <w:rPr>
          <w:rFonts w:ascii="Times New Roman" w:hAnsi="Times New Roman" w:cs="Times New Roman"/>
          <w:sz w:val="24"/>
          <w:szCs w:val="24"/>
        </w:rPr>
        <w:t xml:space="preserve"> više</w:t>
      </w:r>
      <w:r w:rsidR="00BE5B55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827FDE" w:rsidRPr="00156CD9">
        <w:rPr>
          <w:rFonts w:ascii="Times New Roman" w:hAnsi="Times New Roman" w:cs="Times New Roman"/>
          <w:sz w:val="24"/>
          <w:szCs w:val="24"/>
        </w:rPr>
        <w:t>u odnosu na</w:t>
      </w:r>
      <w:r w:rsidR="00BE5B55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827FDE" w:rsidRPr="00156CD9">
        <w:rPr>
          <w:rFonts w:ascii="Times New Roman" w:hAnsi="Times New Roman" w:cs="Times New Roman"/>
          <w:sz w:val="24"/>
          <w:szCs w:val="24"/>
        </w:rPr>
        <w:t xml:space="preserve">isto razdoblje izvještavanja </w:t>
      </w:r>
      <w:r w:rsidR="00685BE8" w:rsidRPr="00156CD9">
        <w:rPr>
          <w:rFonts w:ascii="Times New Roman" w:hAnsi="Times New Roman" w:cs="Times New Roman"/>
          <w:sz w:val="24"/>
          <w:szCs w:val="24"/>
        </w:rPr>
        <w:t>20</w:t>
      </w:r>
      <w:r w:rsidR="00595A9F" w:rsidRPr="00156CD9">
        <w:rPr>
          <w:rFonts w:ascii="Times New Roman" w:hAnsi="Times New Roman" w:cs="Times New Roman"/>
          <w:sz w:val="24"/>
          <w:szCs w:val="24"/>
        </w:rPr>
        <w:t>20</w:t>
      </w:r>
      <w:r w:rsidR="00685BE8" w:rsidRPr="00156CD9">
        <w:rPr>
          <w:rFonts w:ascii="Times New Roman" w:hAnsi="Times New Roman" w:cs="Times New Roman"/>
          <w:sz w:val="24"/>
          <w:szCs w:val="24"/>
        </w:rPr>
        <w:t>.</w:t>
      </w:r>
      <w:r w:rsidR="00BE5B55" w:rsidRPr="00156CD9">
        <w:rPr>
          <w:rFonts w:ascii="Times New Roman" w:hAnsi="Times New Roman" w:cs="Times New Roman"/>
          <w:sz w:val="24"/>
          <w:szCs w:val="24"/>
        </w:rPr>
        <w:t xml:space="preserve"> godin</w:t>
      </w:r>
      <w:r w:rsidR="00827FDE" w:rsidRPr="00156CD9">
        <w:rPr>
          <w:rFonts w:ascii="Times New Roman" w:hAnsi="Times New Roman" w:cs="Times New Roman"/>
          <w:sz w:val="24"/>
          <w:szCs w:val="24"/>
        </w:rPr>
        <w:t>e.</w:t>
      </w:r>
    </w:p>
    <w:p w14:paraId="5A16E041" w14:textId="3CC5D86E" w:rsidR="00CA0556" w:rsidRPr="00156CD9" w:rsidRDefault="00595A9F" w:rsidP="000C1C0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Unutar navedene skupine prihoda najveće povećanje u postotnom iznosu evidentira Porez i prirez na dohodak od imovine i imovinskih prava, za 34,1% ili 2.298.436 kn iz razloga što je ostvareno više poreza </w:t>
      </w:r>
      <w:r w:rsidR="001047FC" w:rsidRPr="00156CD9">
        <w:rPr>
          <w:rFonts w:ascii="Times New Roman" w:hAnsi="Times New Roman" w:cs="Times New Roman"/>
          <w:sz w:val="24"/>
          <w:szCs w:val="24"/>
        </w:rPr>
        <w:t xml:space="preserve">i prireza na dohodak </w:t>
      </w:r>
      <w:r w:rsidRPr="00156CD9">
        <w:rPr>
          <w:rFonts w:ascii="Times New Roman" w:hAnsi="Times New Roman" w:cs="Times New Roman"/>
          <w:sz w:val="24"/>
          <w:szCs w:val="24"/>
        </w:rPr>
        <w:t>od iznajmljivanja stanova</w:t>
      </w:r>
      <w:r w:rsidR="001047FC" w:rsidRPr="00156CD9">
        <w:rPr>
          <w:rFonts w:ascii="Times New Roman" w:hAnsi="Times New Roman" w:cs="Times New Roman"/>
          <w:sz w:val="24"/>
          <w:szCs w:val="24"/>
        </w:rPr>
        <w:t xml:space="preserve"> te</w:t>
      </w:r>
      <w:r w:rsidRPr="00156CD9">
        <w:rPr>
          <w:rFonts w:ascii="Times New Roman" w:hAnsi="Times New Roman" w:cs="Times New Roman"/>
          <w:sz w:val="24"/>
          <w:szCs w:val="24"/>
        </w:rPr>
        <w:t xml:space="preserve"> soba putnicima i turistima kao rezultat bolje turističke sezone u odnosu na isto razdoblje 2020. godine te više poreza i prireza</w:t>
      </w:r>
      <w:r w:rsidR="001047FC" w:rsidRPr="00156CD9">
        <w:rPr>
          <w:rFonts w:ascii="Times New Roman" w:hAnsi="Times New Roman" w:cs="Times New Roman"/>
          <w:sz w:val="24"/>
          <w:szCs w:val="24"/>
        </w:rPr>
        <w:t xml:space="preserve"> na dohodak</w:t>
      </w:r>
      <w:r w:rsidRPr="00156CD9">
        <w:rPr>
          <w:rFonts w:ascii="Times New Roman" w:hAnsi="Times New Roman" w:cs="Times New Roman"/>
          <w:sz w:val="24"/>
          <w:szCs w:val="24"/>
        </w:rPr>
        <w:t xml:space="preserve"> od imovine i imovinskih prava </w:t>
      </w:r>
      <w:r w:rsidR="001047FC" w:rsidRPr="00156CD9">
        <w:rPr>
          <w:rFonts w:ascii="Times New Roman" w:hAnsi="Times New Roman" w:cs="Times New Roman"/>
          <w:sz w:val="24"/>
          <w:szCs w:val="24"/>
        </w:rPr>
        <w:t>uslijed</w:t>
      </w:r>
      <w:r w:rsidRPr="00156CD9">
        <w:rPr>
          <w:rFonts w:ascii="Times New Roman" w:hAnsi="Times New Roman" w:cs="Times New Roman"/>
          <w:sz w:val="24"/>
          <w:szCs w:val="24"/>
        </w:rPr>
        <w:t xml:space="preserve"> bolje gospodarske situacije</w:t>
      </w:r>
      <w:r w:rsidR="00A47312" w:rsidRPr="00156CD9">
        <w:rPr>
          <w:rFonts w:ascii="Times New Roman" w:hAnsi="Times New Roman" w:cs="Times New Roman"/>
          <w:sz w:val="24"/>
          <w:szCs w:val="24"/>
        </w:rPr>
        <w:t>.</w:t>
      </w:r>
    </w:p>
    <w:p w14:paraId="3F5E714F" w14:textId="74CFEA2E" w:rsidR="00595A9F" w:rsidRPr="00156CD9" w:rsidRDefault="00595A9F" w:rsidP="000C1C0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Vrijednosno najznačajnije povećanje evidentira Porez i prirez na dohodak od nesamostalnog rada, za </w:t>
      </w:r>
      <w:r w:rsidR="00CA0556" w:rsidRPr="00156CD9">
        <w:rPr>
          <w:rFonts w:ascii="Times New Roman" w:hAnsi="Times New Roman" w:cs="Times New Roman"/>
          <w:sz w:val="24"/>
          <w:szCs w:val="24"/>
        </w:rPr>
        <w:t>15.182.906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također zbog poboljšanja gospodarske situacije. Unutar </w:t>
      </w:r>
      <w:r w:rsidR="00CA0556" w:rsidRPr="00156CD9">
        <w:rPr>
          <w:rFonts w:ascii="Times New Roman" w:hAnsi="Times New Roman" w:cs="Times New Roman"/>
          <w:sz w:val="24"/>
          <w:szCs w:val="24"/>
        </w:rPr>
        <w:t xml:space="preserve">navedenog </w:t>
      </w:r>
      <w:r w:rsidRPr="00156CD9">
        <w:rPr>
          <w:rFonts w:ascii="Times New Roman" w:hAnsi="Times New Roman" w:cs="Times New Roman"/>
          <w:sz w:val="24"/>
          <w:szCs w:val="24"/>
        </w:rPr>
        <w:t xml:space="preserve">odjeljka </w:t>
      </w:r>
      <w:r w:rsidR="00CA0556" w:rsidRPr="00156CD9">
        <w:rPr>
          <w:rFonts w:ascii="Times New Roman" w:hAnsi="Times New Roman" w:cs="Times New Roman"/>
          <w:sz w:val="24"/>
          <w:szCs w:val="24"/>
        </w:rPr>
        <w:t>ostvareni</w:t>
      </w:r>
      <w:r w:rsidRPr="00156CD9">
        <w:rPr>
          <w:rFonts w:ascii="Times New Roman" w:hAnsi="Times New Roman" w:cs="Times New Roman"/>
          <w:sz w:val="24"/>
          <w:szCs w:val="24"/>
        </w:rPr>
        <w:t xml:space="preserve"> su porez i prirez na dohodak za decentralizirane funkcije vatrogastva u iznosu od 1.</w:t>
      </w:r>
      <w:r w:rsidR="00CA0556" w:rsidRPr="00156CD9">
        <w:rPr>
          <w:rFonts w:ascii="Times New Roman" w:hAnsi="Times New Roman" w:cs="Times New Roman"/>
          <w:sz w:val="24"/>
          <w:szCs w:val="24"/>
        </w:rPr>
        <w:t xml:space="preserve">514.997 </w:t>
      </w:r>
      <w:r w:rsidRPr="00156CD9">
        <w:rPr>
          <w:rFonts w:ascii="Times New Roman" w:hAnsi="Times New Roman" w:cs="Times New Roman"/>
          <w:sz w:val="24"/>
          <w:szCs w:val="24"/>
        </w:rPr>
        <w:t>kn i osnovnog školstva u iznosu od 2.</w:t>
      </w:r>
      <w:r w:rsidR="00CA0556" w:rsidRPr="00156CD9">
        <w:rPr>
          <w:rFonts w:ascii="Times New Roman" w:hAnsi="Times New Roman" w:cs="Times New Roman"/>
          <w:sz w:val="24"/>
          <w:szCs w:val="24"/>
        </w:rPr>
        <w:t>878.345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252DBCCA" w14:textId="77777777" w:rsidR="00595A9F" w:rsidRPr="00156CD9" w:rsidRDefault="00595A9F" w:rsidP="000C1C08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B1E9F" w14:textId="77777777" w:rsidR="00CA0556" w:rsidRPr="00156CD9" w:rsidRDefault="00CA0556" w:rsidP="000C1C08">
      <w:pPr>
        <w:pStyle w:val="Style20"/>
        <w:widowControl/>
        <w:spacing w:line="276" w:lineRule="auto"/>
        <w:ind w:right="-1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 4</w:t>
      </w:r>
    </w:p>
    <w:p w14:paraId="5F99B26B" w14:textId="4300513C" w:rsidR="00CA0556" w:rsidRPr="00156CD9" w:rsidRDefault="00CA0556" w:rsidP="000C1C08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Porezi na imovinu (AOP018) </w:t>
      </w:r>
      <w:r w:rsidR="00514EFF" w:rsidRPr="00156CD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iznose 18.322.923 k</w:t>
      </w:r>
      <w:r w:rsidR="00C92424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14,3% manje u odnosu na ostvareno  izvještajno razdoblje prethodne godine. Čine ga:</w:t>
      </w:r>
    </w:p>
    <w:p w14:paraId="265E93D5" w14:textId="78361FFE" w:rsidR="00CA0556" w:rsidRPr="00156CD9" w:rsidRDefault="00CA0556" w:rsidP="000C1C08">
      <w:pPr>
        <w:pStyle w:val="ListParagraph"/>
        <w:numPr>
          <w:ilvl w:val="0"/>
          <w:numId w:val="5"/>
        </w:numPr>
        <w:spacing w:after="0"/>
        <w:ind w:right="-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stalni porezi na nepokretnu imovinu odnosno porez na kuće za odmor te porez na korištenje javnih površina čije ostvarenje bilježi rast u odnosu na isto razdoblje izvještavanja u 2020. godini </w:t>
      </w:r>
      <w:r w:rsidR="005070B7">
        <w:rPr>
          <w:rFonts w:ascii="Times New Roman" w:eastAsia="Times New Roman" w:hAnsi="Times New Roman" w:cs="Times New Roman"/>
          <w:sz w:val="24"/>
          <w:szCs w:val="24"/>
          <w:lang w:eastAsia="hr-HR"/>
        </w:rPr>
        <w:t>zbog većeg broja izdanih rješenja</w:t>
      </w:r>
      <w:r w:rsidR="000C1C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55A0782" w14:textId="48192F2D" w:rsidR="00CA0556" w:rsidRPr="00156CD9" w:rsidRDefault="00CA0556" w:rsidP="000C1C08">
      <w:pPr>
        <w:pStyle w:val="ListParagraph"/>
        <w:numPr>
          <w:ilvl w:val="0"/>
          <w:numId w:val="5"/>
        </w:numPr>
        <w:spacing w:after="0"/>
        <w:ind w:right="-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povremeni porezi na imovinu odnosno porez na promet nekretnina, bilježe pad prihoda koji se direktno odrazio na smanjenje prihoda u ovoj podskupini. Na</w:t>
      </w:r>
      <w:r w:rsidRPr="000C1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plata ovisi o prometu </w:t>
      </w:r>
      <w:r w:rsidRPr="000C1C0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nekretnina na tržištu te obzirom na neizvjesnu situaciju s pojavom bolesti Covid-19 izražen je trend visokih cijena nekretnina što je rezultiralo manjom potražnjom za kupnjom istih.</w:t>
      </w:r>
    </w:p>
    <w:p w14:paraId="0421B7C7" w14:textId="77777777" w:rsidR="00F65743" w:rsidRPr="00156CD9" w:rsidRDefault="00F65743" w:rsidP="000C1C08">
      <w:pPr>
        <w:pStyle w:val="Style20"/>
        <w:widowControl/>
        <w:spacing w:line="276" w:lineRule="auto"/>
        <w:ind w:right="-1"/>
        <w:rPr>
          <w:rFonts w:ascii="Times New Roman" w:hAnsi="Times New Roman" w:cs="Times New Roman"/>
          <w:b/>
        </w:rPr>
      </w:pPr>
    </w:p>
    <w:p w14:paraId="07BA8042" w14:textId="1F4F2159" w:rsidR="00C55DF4" w:rsidRPr="00156CD9" w:rsidRDefault="00C55DF4" w:rsidP="000C1C08">
      <w:pPr>
        <w:pStyle w:val="Style20"/>
        <w:widowControl/>
        <w:spacing w:line="276" w:lineRule="auto"/>
        <w:ind w:right="-1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514EFF" w:rsidRPr="00156CD9">
        <w:rPr>
          <w:rFonts w:ascii="Times New Roman" w:hAnsi="Times New Roman" w:cs="Times New Roman"/>
          <w:b/>
        </w:rPr>
        <w:t>5</w:t>
      </w:r>
    </w:p>
    <w:p w14:paraId="71411BB0" w14:textId="710C2E4C" w:rsidR="00514EFF" w:rsidRPr="00156CD9" w:rsidRDefault="00514EFF" w:rsidP="000C1C08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Porez na robu i usluge (AOP024) - iznose 2.560.393 kn i za 31,3% su ostvareni više nego 2020. godine u istom razdoblju izvještavanja. Realizirani su po osnovi poreza na tvrtku ili naziv koji se naplaćuje temeljem zaduženja iz ranijih godina i nema novih zaduženja te po osnovi poreza na potrošnju alkoholnih i bezalkoholnih pića koji </w:t>
      </w:r>
      <w:r w:rsidR="005070B7">
        <w:rPr>
          <w:rFonts w:ascii="Times New Roman" w:hAnsi="Times New Roman" w:cs="Times New Roman"/>
          <w:sz w:val="24"/>
          <w:szCs w:val="24"/>
        </w:rPr>
        <w:t>bilježi povećanje</w:t>
      </w:r>
      <w:r w:rsidRPr="00156CD9">
        <w:rPr>
          <w:rFonts w:ascii="Times New Roman" w:hAnsi="Times New Roman" w:cs="Times New Roman"/>
          <w:sz w:val="24"/>
          <w:szCs w:val="24"/>
        </w:rPr>
        <w:t xml:space="preserve"> zbog boljeg rada ugostiteljskih objekata</w:t>
      </w:r>
      <w:r w:rsidR="00E637ED">
        <w:rPr>
          <w:rFonts w:ascii="Times New Roman" w:hAnsi="Times New Roman" w:cs="Times New Roman"/>
          <w:sz w:val="24"/>
          <w:szCs w:val="24"/>
        </w:rPr>
        <w:t>,</w:t>
      </w:r>
      <w:r w:rsidRPr="00156CD9">
        <w:rPr>
          <w:rFonts w:ascii="Times New Roman" w:hAnsi="Times New Roman" w:cs="Times New Roman"/>
          <w:sz w:val="24"/>
          <w:szCs w:val="24"/>
        </w:rPr>
        <w:t xml:space="preserve"> ublažavanja epidemioloških mjera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donijetih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 xml:space="preserve"> uslijed pojave bolesti Covid-19</w:t>
      </w:r>
      <w:r w:rsidR="00084F75">
        <w:rPr>
          <w:rFonts w:ascii="Times New Roman" w:hAnsi="Times New Roman" w:cs="Times New Roman"/>
          <w:sz w:val="24"/>
          <w:szCs w:val="24"/>
        </w:rPr>
        <w:t xml:space="preserve"> te većeg broja turista u odnosu na 2020. godinu</w:t>
      </w:r>
      <w:r w:rsidRPr="00156CD9">
        <w:rPr>
          <w:rFonts w:ascii="Times New Roman" w:hAnsi="Times New Roman" w:cs="Times New Roman"/>
          <w:sz w:val="24"/>
          <w:szCs w:val="24"/>
        </w:rPr>
        <w:t>.</w:t>
      </w:r>
    </w:p>
    <w:p w14:paraId="46A68F57" w14:textId="77777777" w:rsidR="0095249B" w:rsidRPr="00156CD9" w:rsidRDefault="0095249B" w:rsidP="000C1C08">
      <w:pPr>
        <w:pStyle w:val="Style20"/>
        <w:widowControl/>
        <w:spacing w:line="276" w:lineRule="auto"/>
        <w:ind w:right="-1"/>
        <w:rPr>
          <w:rFonts w:ascii="Times New Roman" w:hAnsi="Times New Roman" w:cs="Times New Roman"/>
          <w:b/>
        </w:rPr>
      </w:pPr>
    </w:p>
    <w:p w14:paraId="348C0F45" w14:textId="34C6F7C2" w:rsidR="00C02624" w:rsidRPr="00156CD9" w:rsidRDefault="00C02624" w:rsidP="000C1C08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 xml:space="preserve">BILJEŠKA br. </w:t>
      </w:r>
      <w:r w:rsidR="00C350E5" w:rsidRPr="00156CD9">
        <w:rPr>
          <w:rFonts w:ascii="Times New Roman" w:hAnsi="Times New Roman" w:cs="Times New Roman"/>
          <w:b/>
          <w:sz w:val="24"/>
          <w:szCs w:val="24"/>
        </w:rPr>
        <w:t>6</w:t>
      </w:r>
    </w:p>
    <w:p w14:paraId="7C328961" w14:textId="688A5A00" w:rsidR="00C02624" w:rsidRPr="00156CD9" w:rsidRDefault="00C02624" w:rsidP="000C1C0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Tekuće pomoći od međunarodnih organizacija (AOP050) - bilježe smanjenje prihoda za </w:t>
      </w:r>
      <w:r w:rsidR="00C350E5" w:rsidRPr="00156CD9">
        <w:rPr>
          <w:rFonts w:ascii="Times New Roman" w:hAnsi="Times New Roman" w:cs="Times New Roman"/>
          <w:sz w:val="24"/>
          <w:szCs w:val="24"/>
        </w:rPr>
        <w:t>76,3</w:t>
      </w:r>
      <w:r w:rsidRPr="00156CD9">
        <w:rPr>
          <w:rFonts w:ascii="Times New Roman" w:hAnsi="Times New Roman" w:cs="Times New Roman"/>
          <w:sz w:val="24"/>
          <w:szCs w:val="24"/>
        </w:rPr>
        <w:t xml:space="preserve"> % u odnosu na 2020. godinu u istom izvještajnom razdoblju, a iznose 144.656 kn za: </w:t>
      </w:r>
    </w:p>
    <w:p w14:paraId="39CD3ABC" w14:textId="77777777" w:rsidR="00C02624" w:rsidRPr="00156CD9" w:rsidRDefault="00C02624" w:rsidP="000C1C08">
      <w:pPr>
        <w:pStyle w:val="ListParagraph"/>
        <w:numPr>
          <w:ilvl w:val="0"/>
          <w:numId w:val="7"/>
        </w:numPr>
        <w:spacing w:after="0"/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Projekt EU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 xml:space="preserve"> u iznosu od 138.690 kn;</w:t>
      </w:r>
    </w:p>
    <w:p w14:paraId="115318BD" w14:textId="77777777" w:rsidR="00C02624" w:rsidRPr="00156CD9" w:rsidRDefault="00C02624" w:rsidP="000C1C08">
      <w:pPr>
        <w:pStyle w:val="ListParagraph"/>
        <w:numPr>
          <w:ilvl w:val="0"/>
          <w:numId w:val="6"/>
        </w:numPr>
        <w:spacing w:after="0"/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Projekt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 xml:space="preserve"> Towns2 u iznosu od 5.966 kn.</w:t>
      </w:r>
    </w:p>
    <w:p w14:paraId="3BE8C75A" w14:textId="2FD0B81B" w:rsidR="00C02624" w:rsidRPr="00156CD9" w:rsidRDefault="00C02624" w:rsidP="000C1C0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Smanjenje pomoći evidentirano je iz razloga što su na nivou Grada u 2020. godini naplaćena sredstva po projektu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KeyQ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 xml:space="preserve"> koji je okončan. Ostvarenje ovih prihoda ovisi o fazi izvođenja pojedinih projekata i dinamici plaćanja.</w:t>
      </w:r>
    </w:p>
    <w:p w14:paraId="7533BBB2" w14:textId="77777777" w:rsidR="00C02624" w:rsidRPr="00156CD9" w:rsidRDefault="00C02624" w:rsidP="000C1C0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C329C9E" w14:textId="4CF2027F" w:rsidR="00C02624" w:rsidRPr="00156CD9" w:rsidRDefault="00C02624" w:rsidP="000C1C08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 xml:space="preserve">BILJEŠKA br. </w:t>
      </w:r>
      <w:r w:rsidR="00C350E5" w:rsidRPr="00156CD9">
        <w:rPr>
          <w:rFonts w:ascii="Times New Roman" w:hAnsi="Times New Roman" w:cs="Times New Roman"/>
          <w:b/>
          <w:sz w:val="24"/>
          <w:szCs w:val="24"/>
        </w:rPr>
        <w:t>7</w:t>
      </w:r>
    </w:p>
    <w:p w14:paraId="3FB96246" w14:textId="77777777" w:rsidR="00B15D95" w:rsidRPr="00156CD9" w:rsidRDefault="00C02624" w:rsidP="000C1C0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Tekuće pomoći proračunu iz drugih proračuna i izvanproračunskim korisnicima (AOP055) - iznose </w:t>
      </w:r>
      <w:r w:rsidR="00B15D95" w:rsidRPr="00156CD9">
        <w:rPr>
          <w:rFonts w:ascii="Times New Roman" w:hAnsi="Times New Roman" w:cs="Times New Roman"/>
          <w:sz w:val="24"/>
          <w:szCs w:val="24"/>
        </w:rPr>
        <w:t>3.966.455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kn, a ostvareni su za </w:t>
      </w:r>
      <w:r w:rsidR="00B15D95" w:rsidRPr="00156CD9">
        <w:rPr>
          <w:rFonts w:ascii="Times New Roman" w:hAnsi="Times New Roman" w:cs="Times New Roman"/>
          <w:sz w:val="24"/>
          <w:szCs w:val="24"/>
        </w:rPr>
        <w:t>61,5</w:t>
      </w:r>
      <w:r w:rsidRPr="00156CD9">
        <w:rPr>
          <w:rFonts w:ascii="Times New Roman" w:hAnsi="Times New Roman" w:cs="Times New Roman"/>
          <w:sz w:val="24"/>
          <w:szCs w:val="24"/>
        </w:rPr>
        <w:t xml:space="preserve">% ili </w:t>
      </w:r>
      <w:r w:rsidR="00B15D95" w:rsidRPr="00156CD9">
        <w:rPr>
          <w:rFonts w:ascii="Times New Roman" w:hAnsi="Times New Roman" w:cs="Times New Roman"/>
          <w:sz w:val="24"/>
          <w:szCs w:val="24"/>
        </w:rPr>
        <w:t>6.329.089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manje nego u istom razdoblju izvještavanja 2020. godine. </w:t>
      </w:r>
    </w:p>
    <w:p w14:paraId="1CAF4692" w14:textId="2E2D59D5" w:rsidR="00C02624" w:rsidRDefault="00C02624" w:rsidP="000C1C0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Od navedenih pomoći, iznos od </w:t>
      </w:r>
      <w:r w:rsidR="00BF0728" w:rsidRPr="00156CD9">
        <w:rPr>
          <w:rFonts w:ascii="Times New Roman" w:hAnsi="Times New Roman" w:cs="Times New Roman"/>
          <w:sz w:val="24"/>
          <w:szCs w:val="24"/>
        </w:rPr>
        <w:t>715.616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doznačen je na ime tekućih pomoći iz državnog proračuna za aktualne projekte, iznos od 312.392 kn na ime tekućih pomoći iz županijskih proračuna za biračke odbore i financiranje manifestacije Dan mladih Istarske županije,  </w:t>
      </w:r>
      <w:bookmarkStart w:id="0" w:name="_Hlk84940045"/>
      <w:r w:rsidRPr="00156CD9">
        <w:rPr>
          <w:rFonts w:ascii="Times New Roman" w:hAnsi="Times New Roman" w:cs="Times New Roman"/>
          <w:sz w:val="24"/>
          <w:szCs w:val="24"/>
        </w:rPr>
        <w:t xml:space="preserve">iznos od </w:t>
      </w:r>
      <w:r w:rsidR="00BF0728" w:rsidRPr="00156CD9">
        <w:rPr>
          <w:rFonts w:ascii="Times New Roman" w:hAnsi="Times New Roman" w:cs="Times New Roman"/>
          <w:sz w:val="24"/>
          <w:szCs w:val="24"/>
        </w:rPr>
        <w:t>12</w:t>
      </w:r>
      <w:r w:rsidRPr="00156CD9">
        <w:rPr>
          <w:rFonts w:ascii="Times New Roman" w:hAnsi="Times New Roman" w:cs="Times New Roman"/>
          <w:sz w:val="24"/>
          <w:szCs w:val="24"/>
        </w:rPr>
        <w:t>.000 kn na ime tekućih pomoći iz gradskih proračuna za sufinanciranje organizacijske manifestacije Dan mladih Istarske županije prema sporazumu,</w:t>
      </w:r>
      <w:bookmarkEnd w:id="0"/>
      <w:r w:rsidRPr="00156CD9">
        <w:rPr>
          <w:rFonts w:ascii="Times New Roman" w:hAnsi="Times New Roman" w:cs="Times New Roman"/>
          <w:sz w:val="24"/>
          <w:szCs w:val="24"/>
        </w:rPr>
        <w:t xml:space="preserve"> iznos od </w:t>
      </w:r>
      <w:r w:rsidR="00BF0728" w:rsidRPr="00156CD9">
        <w:rPr>
          <w:rFonts w:ascii="Times New Roman" w:hAnsi="Times New Roman" w:cs="Times New Roman"/>
          <w:sz w:val="24"/>
          <w:szCs w:val="24"/>
        </w:rPr>
        <w:t>611.612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čini decentralizirana sredstava</w:t>
      </w:r>
      <w:r w:rsidR="00BF0728" w:rsidRPr="00156CD9">
        <w:rPr>
          <w:rFonts w:ascii="Times New Roman" w:hAnsi="Times New Roman" w:cs="Times New Roman"/>
          <w:sz w:val="24"/>
          <w:szCs w:val="24"/>
        </w:rPr>
        <w:t xml:space="preserve"> iz gradskih proračuna</w:t>
      </w:r>
      <w:r w:rsidRPr="00156CD9">
        <w:rPr>
          <w:rFonts w:ascii="Times New Roman" w:hAnsi="Times New Roman" w:cs="Times New Roman"/>
          <w:sz w:val="24"/>
          <w:szCs w:val="24"/>
        </w:rPr>
        <w:t xml:space="preserve"> namijenjena vatrogastvu, iznos od 2.000 kn na ime tekućih pomoći iz općinskog proračuna za sufinanciranje organizacijske manifestacije Dan mladih Istarske županije prema sporazumu te iznos od </w:t>
      </w:r>
      <w:r w:rsidR="00BF0728" w:rsidRPr="00156CD9">
        <w:rPr>
          <w:rFonts w:ascii="Times New Roman" w:hAnsi="Times New Roman" w:cs="Times New Roman"/>
          <w:sz w:val="24"/>
          <w:szCs w:val="24"/>
        </w:rPr>
        <w:t>2.312.835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doznačen je na ime tekućih pomoći iz općinskih proračuna koji čini decentralizirana sredstava namijenjena vatrogastvu.</w:t>
      </w:r>
    </w:p>
    <w:p w14:paraId="1CDC107B" w14:textId="24BDC1BD" w:rsidR="00084F75" w:rsidRPr="00156CD9" w:rsidRDefault="00084F75" w:rsidP="000C1C0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2020. godini uplaćeno je 5.827.147 kn na ime kompenzacijskih mjera zbo</w:t>
      </w:r>
      <w:r w:rsidR="00683E7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izmjene </w:t>
      </w:r>
      <w:r w:rsidR="00683E7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akona o porezu na dohodak, a kojih nije bilo u 2021. godini.</w:t>
      </w:r>
    </w:p>
    <w:p w14:paraId="13D9130C" w14:textId="09BC68DD" w:rsidR="007B1924" w:rsidRPr="00156CD9" w:rsidRDefault="007B1924" w:rsidP="000C1C0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FC2B8C3" w14:textId="2B74D653" w:rsidR="00B240DB" w:rsidRPr="00156CD9" w:rsidRDefault="00B240DB" w:rsidP="000C1C08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 xml:space="preserve">BILJEŠKA br. </w:t>
      </w:r>
      <w:r w:rsidR="00C350E5" w:rsidRPr="00156CD9">
        <w:rPr>
          <w:rFonts w:ascii="Times New Roman" w:hAnsi="Times New Roman" w:cs="Times New Roman"/>
          <w:b/>
          <w:sz w:val="24"/>
          <w:szCs w:val="24"/>
        </w:rPr>
        <w:t>8</w:t>
      </w:r>
    </w:p>
    <w:p w14:paraId="1C370BBA" w14:textId="30B0E1C9" w:rsidR="00B240DB" w:rsidRPr="00156CD9" w:rsidRDefault="00B240DB" w:rsidP="000C1C0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Kapitalne pomoći proračunu iz drugih proračuna i izvanproračunskim korisnicima (AOP056) </w:t>
      </w:r>
      <w:r w:rsidR="00C350E5" w:rsidRPr="00156CD9">
        <w:rPr>
          <w:rFonts w:ascii="Times New Roman" w:hAnsi="Times New Roman" w:cs="Times New Roman"/>
          <w:sz w:val="24"/>
          <w:szCs w:val="24"/>
        </w:rPr>
        <w:t>-</w:t>
      </w:r>
      <w:r w:rsidRPr="00156CD9">
        <w:rPr>
          <w:rFonts w:ascii="Times New Roman" w:hAnsi="Times New Roman" w:cs="Times New Roman"/>
          <w:sz w:val="24"/>
          <w:szCs w:val="24"/>
        </w:rPr>
        <w:t xml:space="preserve"> iznose 2.469.490 kn odnosno od Ministarstva regionalnog razvoja doznačen je iznos od 682.22</w:t>
      </w:r>
      <w:r w:rsidR="00356704" w:rsidRPr="00156CD9">
        <w:rPr>
          <w:rFonts w:ascii="Times New Roman" w:hAnsi="Times New Roman" w:cs="Times New Roman"/>
          <w:sz w:val="24"/>
          <w:szCs w:val="24"/>
        </w:rPr>
        <w:t>4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za energetsku obnovu Dječjeg kreativnog centra, iznos od </w:t>
      </w:r>
      <w:r w:rsidR="000E70EB" w:rsidRPr="00156CD9">
        <w:rPr>
          <w:rFonts w:ascii="Times New Roman" w:hAnsi="Times New Roman" w:cs="Times New Roman"/>
          <w:sz w:val="24"/>
          <w:szCs w:val="24"/>
        </w:rPr>
        <w:t>222.695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doznačen je od Ministarstva zaštite okoliša i prirode za sanaciju</w:t>
      </w:r>
      <w:r w:rsidR="00C92424">
        <w:rPr>
          <w:rFonts w:ascii="Times New Roman" w:hAnsi="Times New Roman" w:cs="Times New Roman"/>
          <w:sz w:val="24"/>
          <w:szCs w:val="24"/>
        </w:rPr>
        <w:t xml:space="preserve"> odlagališta</w:t>
      </w:r>
      <w:r w:rsidR="00111AE0">
        <w:rPr>
          <w:rFonts w:ascii="Times New Roman" w:hAnsi="Times New Roman" w:cs="Times New Roman"/>
          <w:sz w:val="24"/>
          <w:szCs w:val="24"/>
        </w:rPr>
        <w:t xml:space="preserve"> otpada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Kaštiju</w:t>
      </w:r>
      <w:r w:rsidR="00D93D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56704" w:rsidRPr="00156CD9">
        <w:rPr>
          <w:rFonts w:ascii="Times New Roman" w:hAnsi="Times New Roman" w:cs="Times New Roman"/>
          <w:sz w:val="24"/>
          <w:szCs w:val="24"/>
        </w:rPr>
        <w:t>, a</w:t>
      </w:r>
      <w:r w:rsidR="000E70EB" w:rsidRPr="00156CD9">
        <w:rPr>
          <w:rFonts w:ascii="Times New Roman" w:hAnsi="Times New Roman" w:cs="Times New Roman"/>
          <w:sz w:val="24"/>
          <w:szCs w:val="24"/>
        </w:rPr>
        <w:t xml:space="preserve"> iznos od 1.564.571 kn od državnog proračuna za </w:t>
      </w:r>
      <w:r w:rsidR="00634EF7" w:rsidRPr="00156CD9">
        <w:rPr>
          <w:rFonts w:ascii="Times New Roman" w:hAnsi="Times New Roman" w:cs="Times New Roman"/>
          <w:sz w:val="24"/>
          <w:szCs w:val="24"/>
        </w:rPr>
        <w:t xml:space="preserve">realizaciju </w:t>
      </w:r>
      <w:r w:rsidR="000E70EB" w:rsidRPr="00156CD9">
        <w:rPr>
          <w:rFonts w:ascii="Times New Roman" w:hAnsi="Times New Roman" w:cs="Times New Roman"/>
          <w:sz w:val="24"/>
          <w:szCs w:val="24"/>
        </w:rPr>
        <w:t>projekt</w:t>
      </w:r>
      <w:r w:rsidR="00634EF7" w:rsidRPr="00156CD9">
        <w:rPr>
          <w:rFonts w:ascii="Times New Roman" w:hAnsi="Times New Roman" w:cs="Times New Roman"/>
          <w:sz w:val="24"/>
          <w:szCs w:val="24"/>
        </w:rPr>
        <w:t>a</w:t>
      </w:r>
      <w:r w:rsidR="000E70EB" w:rsidRPr="00156CD9">
        <w:rPr>
          <w:rFonts w:ascii="Times New Roman" w:hAnsi="Times New Roman" w:cs="Times New Roman"/>
          <w:sz w:val="24"/>
          <w:szCs w:val="24"/>
        </w:rPr>
        <w:t xml:space="preserve"> Pulski fortifikacijski sustav</w:t>
      </w:r>
      <w:r w:rsidR="00356704" w:rsidRPr="00156CD9">
        <w:rPr>
          <w:rFonts w:ascii="Times New Roman" w:hAnsi="Times New Roman" w:cs="Times New Roman"/>
          <w:sz w:val="24"/>
          <w:szCs w:val="24"/>
        </w:rPr>
        <w:t>.</w:t>
      </w:r>
    </w:p>
    <w:p w14:paraId="4285B239" w14:textId="1E131C8F" w:rsidR="00D93D31" w:rsidRPr="00156CD9" w:rsidRDefault="00D93D31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C7A40" w14:textId="3DC77A65" w:rsidR="00D93D31" w:rsidRPr="00156CD9" w:rsidRDefault="00D93D31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lastRenderedPageBreak/>
        <w:t xml:space="preserve">BILJEŠKA br. </w:t>
      </w:r>
      <w:r w:rsidR="00C350E5" w:rsidRPr="00156CD9">
        <w:rPr>
          <w:rFonts w:ascii="Times New Roman" w:hAnsi="Times New Roman" w:cs="Times New Roman"/>
          <w:b/>
        </w:rPr>
        <w:t>9</w:t>
      </w:r>
    </w:p>
    <w:p w14:paraId="75A45093" w14:textId="75DF5E72" w:rsidR="00262F6D" w:rsidRPr="00156CD9" w:rsidRDefault="00D93D31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Kapitalne pomoći od izvanproračunskih korisnika (AOP059) - iznose 1.494.21</w:t>
      </w:r>
      <w:r w:rsidR="00262F6D" w:rsidRPr="00156CD9">
        <w:rPr>
          <w:rFonts w:ascii="Times New Roman" w:hAnsi="Times New Roman" w:cs="Times New Roman"/>
          <w:sz w:val="24"/>
          <w:szCs w:val="24"/>
        </w:rPr>
        <w:t>8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i za 43,6% ostvarene su manje nego u 2020. godini. Prihod je ostvaren od Županijske uprave za ceste - usluge stanice za tehnički pregled vozila</w:t>
      </w:r>
      <w:r w:rsidR="00A6263F" w:rsidRPr="00156CD9">
        <w:rPr>
          <w:rFonts w:ascii="Times New Roman" w:hAnsi="Times New Roman" w:cs="Times New Roman"/>
          <w:sz w:val="24"/>
          <w:szCs w:val="24"/>
        </w:rPr>
        <w:t>,</w:t>
      </w:r>
      <w:r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262F6D" w:rsidRPr="00156CD9">
        <w:rPr>
          <w:rFonts w:ascii="Times New Roman" w:hAnsi="Times New Roman" w:cs="Times New Roman"/>
          <w:sz w:val="24"/>
          <w:szCs w:val="24"/>
        </w:rPr>
        <w:t>a sukladno čl. 4. Pravilnika o naplati godišnje naknade za uporabu javnih cesta što se plaća pri registraciji motornih i priključnih vozila.</w:t>
      </w:r>
      <w:r w:rsidR="00084F75">
        <w:rPr>
          <w:rFonts w:ascii="Times New Roman" w:hAnsi="Times New Roman" w:cs="Times New Roman"/>
          <w:sz w:val="24"/>
          <w:szCs w:val="24"/>
        </w:rPr>
        <w:t xml:space="preserve"> Navedeni prihodi ovise o financiranju određenih projekata u pojedinoj godini od strane izvanproračunskih korisnika.</w:t>
      </w:r>
    </w:p>
    <w:p w14:paraId="5E3B6A59" w14:textId="4A64A571" w:rsidR="00D93D31" w:rsidRPr="00156CD9" w:rsidRDefault="00D93D31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44369" w14:textId="6092FA41" w:rsidR="004C01BF" w:rsidRPr="00156CD9" w:rsidRDefault="004C01BF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 1</w:t>
      </w:r>
      <w:r w:rsidR="00905E84" w:rsidRPr="00156CD9">
        <w:rPr>
          <w:rFonts w:ascii="Times New Roman" w:hAnsi="Times New Roman" w:cs="Times New Roman"/>
          <w:b/>
        </w:rPr>
        <w:t>0</w:t>
      </w:r>
    </w:p>
    <w:p w14:paraId="6AEB7129" w14:textId="0D2BA853" w:rsidR="004C01BF" w:rsidRPr="00156CD9" w:rsidRDefault="004C01BF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Tekuće pomoći temeljem prijenosa EU sredstava (AOP070) - ostvarene su u iznosu od 4.825.496 kn </w:t>
      </w:r>
      <w:r w:rsidR="00084F75">
        <w:rPr>
          <w:rFonts w:ascii="Times New Roman" w:hAnsi="Times New Roman" w:cs="Times New Roman"/>
          <w:sz w:val="24"/>
          <w:szCs w:val="24"/>
        </w:rPr>
        <w:t>za</w:t>
      </w:r>
      <w:r w:rsidRPr="00156CD9">
        <w:rPr>
          <w:rFonts w:ascii="Times New Roman" w:hAnsi="Times New Roman" w:cs="Times New Roman"/>
          <w:sz w:val="24"/>
          <w:szCs w:val="24"/>
        </w:rPr>
        <w:t>:</w:t>
      </w:r>
    </w:p>
    <w:p w14:paraId="656119BE" w14:textId="5EE52C60" w:rsidR="004C01BF" w:rsidRPr="00156CD9" w:rsidRDefault="004C01BF" w:rsidP="00156CD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Projekt</w:t>
      </w:r>
      <w:r w:rsidR="00CD4136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>Zajedno do znanja 2</w:t>
      </w:r>
      <w:r w:rsidR="00CD4136" w:rsidRPr="00156CD9">
        <w:rPr>
          <w:rFonts w:ascii="Times New Roman" w:hAnsi="Times New Roman" w:cs="Times New Roman"/>
          <w:sz w:val="24"/>
          <w:szCs w:val="24"/>
        </w:rPr>
        <w:t xml:space="preserve"> i Zajedno do znanja 3 </w:t>
      </w:r>
      <w:r w:rsidRPr="00156CD9">
        <w:rPr>
          <w:rFonts w:ascii="Times New Roman" w:hAnsi="Times New Roman" w:cs="Times New Roman"/>
          <w:sz w:val="24"/>
          <w:szCs w:val="24"/>
        </w:rPr>
        <w:t>kojim</w:t>
      </w:r>
      <w:r w:rsidR="00CD4136" w:rsidRPr="00156CD9">
        <w:rPr>
          <w:rFonts w:ascii="Times New Roman" w:hAnsi="Times New Roman" w:cs="Times New Roman"/>
          <w:sz w:val="24"/>
          <w:szCs w:val="24"/>
        </w:rPr>
        <w:t>a</w:t>
      </w:r>
      <w:r w:rsidRPr="00156CD9">
        <w:rPr>
          <w:rFonts w:ascii="Times New Roman" w:hAnsi="Times New Roman" w:cs="Times New Roman"/>
          <w:sz w:val="24"/>
          <w:szCs w:val="24"/>
        </w:rPr>
        <w:t xml:space="preserve"> se osiguravaju pomoćnici u nastavi te pomoć učenicima s poteškoćama u razvoju u osnovnim školama na području Pule u </w:t>
      </w:r>
      <w:r w:rsidR="00CD4136" w:rsidRPr="00156CD9">
        <w:rPr>
          <w:rFonts w:ascii="Times New Roman" w:hAnsi="Times New Roman" w:cs="Times New Roman"/>
          <w:sz w:val="24"/>
          <w:szCs w:val="24"/>
        </w:rPr>
        <w:t xml:space="preserve">sveukupnom </w:t>
      </w:r>
      <w:r w:rsidRPr="00156CD9">
        <w:rPr>
          <w:rFonts w:ascii="Times New Roman" w:hAnsi="Times New Roman" w:cs="Times New Roman"/>
          <w:sz w:val="24"/>
          <w:szCs w:val="24"/>
        </w:rPr>
        <w:t xml:space="preserve">iznosu od </w:t>
      </w:r>
      <w:r w:rsidR="0090696A" w:rsidRPr="00156CD9">
        <w:rPr>
          <w:rFonts w:ascii="Times New Roman" w:hAnsi="Times New Roman" w:cs="Times New Roman"/>
          <w:sz w:val="24"/>
          <w:szCs w:val="24"/>
        </w:rPr>
        <w:t>2.072.379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</w:t>
      </w:r>
      <w:r w:rsidR="00CD4136" w:rsidRPr="00156CD9">
        <w:rPr>
          <w:rFonts w:ascii="Times New Roman" w:hAnsi="Times New Roman" w:cs="Times New Roman"/>
          <w:sz w:val="24"/>
          <w:szCs w:val="24"/>
        </w:rPr>
        <w:t>;</w:t>
      </w:r>
    </w:p>
    <w:p w14:paraId="592584EF" w14:textId="18E44FDF" w:rsidR="004C01BF" w:rsidRPr="00156CD9" w:rsidRDefault="004C01BF" w:rsidP="00156CD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Projekt Školska shema kojim država financira voće, povrće i mlijeko u osnovnim školama radi podizanja svijesti o značenju zdrave prehrane u iznosu od </w:t>
      </w:r>
      <w:r w:rsidR="00CD4136" w:rsidRPr="00156CD9">
        <w:rPr>
          <w:rFonts w:ascii="Times New Roman" w:hAnsi="Times New Roman" w:cs="Times New Roman"/>
          <w:sz w:val="24"/>
          <w:szCs w:val="24"/>
        </w:rPr>
        <w:t>180.42</w:t>
      </w:r>
      <w:r w:rsidR="0090696A" w:rsidRPr="00156CD9">
        <w:rPr>
          <w:rFonts w:ascii="Times New Roman" w:hAnsi="Times New Roman" w:cs="Times New Roman"/>
          <w:sz w:val="24"/>
          <w:szCs w:val="24"/>
        </w:rPr>
        <w:t>7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</w:t>
      </w:r>
      <w:r w:rsidR="00CD4136" w:rsidRPr="00156CD9">
        <w:rPr>
          <w:rFonts w:ascii="Times New Roman" w:hAnsi="Times New Roman" w:cs="Times New Roman"/>
          <w:sz w:val="24"/>
          <w:szCs w:val="24"/>
        </w:rPr>
        <w:t>;</w:t>
      </w:r>
    </w:p>
    <w:p w14:paraId="0F69A8C8" w14:textId="57A57CEF" w:rsidR="004C01BF" w:rsidRPr="00156CD9" w:rsidRDefault="004C01BF" w:rsidP="00156CD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Projekt ITU za poslove vezane za koordinaciju provedbe Strategije razvoja urbanog područja Pula te provedbu mehanizma integriranih teritorijalnih ulaganja (ITU mehanizam) u iznosu od </w:t>
      </w:r>
      <w:r w:rsidR="00CD4136" w:rsidRPr="00156CD9">
        <w:rPr>
          <w:rFonts w:ascii="Times New Roman" w:hAnsi="Times New Roman" w:cs="Times New Roman"/>
          <w:sz w:val="24"/>
          <w:szCs w:val="24"/>
        </w:rPr>
        <w:t>1.031.772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</w:t>
      </w:r>
      <w:r w:rsidR="00CD4136" w:rsidRPr="00156CD9">
        <w:rPr>
          <w:rFonts w:ascii="Times New Roman" w:hAnsi="Times New Roman" w:cs="Times New Roman"/>
          <w:sz w:val="24"/>
          <w:szCs w:val="24"/>
        </w:rPr>
        <w:t>;</w:t>
      </w:r>
    </w:p>
    <w:p w14:paraId="637CBFF8" w14:textId="5D6AFFC5" w:rsidR="004C01BF" w:rsidRPr="00156CD9" w:rsidRDefault="004C01BF" w:rsidP="00156CD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Projekt Đir po Puli u iznosu od </w:t>
      </w:r>
      <w:r w:rsidR="00CD4136" w:rsidRPr="00156CD9">
        <w:rPr>
          <w:rFonts w:ascii="Times New Roman" w:hAnsi="Times New Roman" w:cs="Times New Roman"/>
          <w:sz w:val="24"/>
          <w:szCs w:val="24"/>
        </w:rPr>
        <w:t>239.803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</w:t>
      </w:r>
      <w:r w:rsidRPr="00156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čiji je cilj promicati zdrave navike djece predškolske i školske dobi te utjecati na svijest naših najmlađih, ali i svih građana o zdravoj prehrani uz praktične primjere i niz drugih aktivnosti</w:t>
      </w:r>
      <w:r w:rsidR="00CD4136" w:rsidRPr="00156C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3DD7997" w14:textId="6CE31DD4" w:rsidR="004C01BF" w:rsidRPr="00156CD9" w:rsidRDefault="004C01BF" w:rsidP="00156CD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Projekt Razmisli, odvoji, uštedi u iznosu od </w:t>
      </w:r>
      <w:r w:rsidR="00CD4136" w:rsidRPr="00156CD9">
        <w:rPr>
          <w:rFonts w:ascii="Times New Roman" w:hAnsi="Times New Roman" w:cs="Times New Roman"/>
          <w:sz w:val="24"/>
          <w:szCs w:val="24"/>
        </w:rPr>
        <w:t>458.855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kojim se građane upoznaje s važnosti i koristima održivog gospodarenja otpadom, odnosno sprječavanje nastanka otpada, pravilno odvajanje otpada u kućanstvima, kućno kompostiranje i ponovnu uporabu</w:t>
      </w:r>
      <w:r w:rsidR="00CD4136" w:rsidRPr="00156CD9">
        <w:rPr>
          <w:rFonts w:ascii="Times New Roman" w:hAnsi="Times New Roman" w:cs="Times New Roman"/>
          <w:sz w:val="24"/>
          <w:szCs w:val="24"/>
        </w:rPr>
        <w:t>;</w:t>
      </w:r>
    </w:p>
    <w:p w14:paraId="228E704C" w14:textId="635031D8" w:rsidR="004C01BF" w:rsidRPr="00156CD9" w:rsidRDefault="004C01BF" w:rsidP="00156CD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Projekt</w:t>
      </w:r>
      <w:r w:rsidR="00084F75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 xml:space="preserve">SOS u iznosu od 3.820 kn čiji je cilj </w:t>
      </w:r>
      <w:r w:rsidRPr="00156CD9">
        <w:rPr>
          <w:rFonts w:ascii="Times New Roman" w:hAnsi="Times New Roman" w:cs="Times New Roman"/>
          <w:sz w:val="24"/>
          <w:szCs w:val="24"/>
          <w:shd w:val="clear" w:color="auto" w:fill="FFFFFF"/>
        </w:rPr>
        <w:t>direktno utjecati na smanjenje stope nezaposlenosti i socijalne isključenosti radeći na konkurentnosti mladih na tržištu rada, rješavajući probleme nedovoljnog razvoja socijalnih i organizacijskih vještina te drugih kompetencija</w:t>
      </w:r>
      <w:r w:rsidR="00CD4136" w:rsidRPr="00156C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D76D04D" w14:textId="169506A9" w:rsidR="004C01BF" w:rsidRPr="00156CD9" w:rsidRDefault="004C01BF" w:rsidP="00156CD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Projekt Centar podrške 521 u iznosu od 512.736 kn, prijavljenog u sklopu ITU mehanizma s ciljem aktivnog uključivanja i poboljšanja zapošljavanja te razvoja inovativnih socijalnih usluga za ranjive skupine na području Pule</w:t>
      </w:r>
      <w:r w:rsidR="00CD4136" w:rsidRPr="00156CD9">
        <w:rPr>
          <w:rFonts w:ascii="Times New Roman" w:hAnsi="Times New Roman" w:cs="Times New Roman"/>
          <w:sz w:val="24"/>
          <w:szCs w:val="24"/>
        </w:rPr>
        <w:t>;</w:t>
      </w:r>
    </w:p>
    <w:p w14:paraId="6221F8C1" w14:textId="6E2D370A" w:rsidR="004C01BF" w:rsidRPr="00156CD9" w:rsidRDefault="004C01BF" w:rsidP="00156CD9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Projekt Ne budi u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pensiru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 xml:space="preserve">, s nama si na miru u iznosu od 325.704 kn s ciljem pružanja usluga pomoći u kući nemoćnima. </w:t>
      </w:r>
    </w:p>
    <w:p w14:paraId="3D06A7DA" w14:textId="0140C66F" w:rsidR="007E7716" w:rsidRPr="00156CD9" w:rsidRDefault="007E7716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E1A8D" w14:textId="2C97EC11" w:rsidR="00432C5C" w:rsidRPr="00156CD9" w:rsidRDefault="00432C5C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7E7716" w:rsidRPr="00156CD9">
        <w:rPr>
          <w:rFonts w:ascii="Times New Roman" w:hAnsi="Times New Roman" w:cs="Times New Roman"/>
          <w:b/>
        </w:rPr>
        <w:t>1</w:t>
      </w:r>
      <w:r w:rsidR="00905E84" w:rsidRPr="00156CD9">
        <w:rPr>
          <w:rFonts w:ascii="Times New Roman" w:hAnsi="Times New Roman" w:cs="Times New Roman"/>
          <w:b/>
        </w:rPr>
        <w:t>1</w:t>
      </w:r>
    </w:p>
    <w:p w14:paraId="277A9153" w14:textId="4F528D4A" w:rsidR="007E7716" w:rsidRPr="00156CD9" w:rsidRDefault="007E7716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Kapitalne pomoći temeljem prijenosa EU sredstava (AOP071) - iznose 7.521.327 kn, a odnose se na realizaciju Projekta Pulski fortifikacijski sustav.</w:t>
      </w:r>
    </w:p>
    <w:p w14:paraId="345CC7A0" w14:textId="66630F14" w:rsidR="007E7716" w:rsidRPr="00156CD9" w:rsidRDefault="007E7716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586C3B6C" w14:textId="78455C85" w:rsidR="00AD4724" w:rsidRPr="00156CD9" w:rsidRDefault="009A766F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 xml:space="preserve">BILJEŠKA br. </w:t>
      </w:r>
      <w:r w:rsidR="004F2097" w:rsidRPr="00156CD9">
        <w:rPr>
          <w:rFonts w:ascii="Times New Roman" w:hAnsi="Times New Roman" w:cs="Times New Roman"/>
          <w:b/>
          <w:sz w:val="24"/>
          <w:szCs w:val="24"/>
        </w:rPr>
        <w:t>1</w:t>
      </w:r>
      <w:r w:rsidR="00905E84" w:rsidRPr="00156CD9">
        <w:rPr>
          <w:rFonts w:ascii="Times New Roman" w:hAnsi="Times New Roman" w:cs="Times New Roman"/>
          <w:b/>
          <w:sz w:val="24"/>
          <w:szCs w:val="24"/>
        </w:rPr>
        <w:t>2</w:t>
      </w:r>
    </w:p>
    <w:p w14:paraId="0A0289ED" w14:textId="6CE574F2" w:rsidR="00974135" w:rsidRPr="00156CD9" w:rsidRDefault="00974135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Naknade za koncesije (AOP087) - iznose 3.825.979 kn ostvarene su za 5</w:t>
      </w:r>
      <w:r w:rsidR="00457047" w:rsidRPr="00156CD9">
        <w:rPr>
          <w:rFonts w:ascii="Times New Roman" w:hAnsi="Times New Roman" w:cs="Times New Roman"/>
          <w:sz w:val="24"/>
          <w:szCs w:val="24"/>
        </w:rPr>
        <w:t>4,5</w:t>
      </w:r>
      <w:r w:rsidRPr="00156CD9">
        <w:rPr>
          <w:rFonts w:ascii="Times New Roman" w:hAnsi="Times New Roman" w:cs="Times New Roman"/>
          <w:sz w:val="24"/>
          <w:szCs w:val="24"/>
        </w:rPr>
        <w:t>% više nego u istom izvještajnom razdoblju 2020. godine, a odnose se na naknade za koncesije na pomorskom dobru ostvarene u iznosu od 2.</w:t>
      </w:r>
      <w:r w:rsidR="0023071C" w:rsidRPr="00156CD9">
        <w:rPr>
          <w:rFonts w:ascii="Times New Roman" w:hAnsi="Times New Roman" w:cs="Times New Roman"/>
          <w:sz w:val="24"/>
          <w:szCs w:val="24"/>
        </w:rPr>
        <w:t>927.815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te naknade za koncesijsko odobrenje u iznosu od </w:t>
      </w:r>
      <w:r w:rsidR="0023071C" w:rsidRPr="00156CD9">
        <w:rPr>
          <w:rFonts w:ascii="Times New Roman" w:hAnsi="Times New Roman" w:cs="Times New Roman"/>
          <w:sz w:val="24"/>
          <w:szCs w:val="24"/>
        </w:rPr>
        <w:t>898.164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kn. </w:t>
      </w:r>
      <w:r w:rsidRPr="00156CD9">
        <w:rPr>
          <w:rFonts w:ascii="Times New Roman" w:hAnsi="Times New Roman" w:cs="Times New Roman"/>
          <w:sz w:val="24"/>
          <w:szCs w:val="24"/>
        </w:rPr>
        <w:lastRenderedPageBreak/>
        <w:t>Porast je zabilježen zbog većeg broja odobrenja koncesija na pomorskom dobru</w:t>
      </w:r>
      <w:r w:rsidR="005070B7">
        <w:rPr>
          <w:rFonts w:ascii="Times New Roman" w:hAnsi="Times New Roman" w:cs="Times New Roman"/>
          <w:sz w:val="24"/>
          <w:szCs w:val="24"/>
        </w:rPr>
        <w:t xml:space="preserve"> zbog bolje gospodarske situacije</w:t>
      </w:r>
      <w:r w:rsidRPr="00156CD9">
        <w:rPr>
          <w:rFonts w:ascii="Times New Roman" w:hAnsi="Times New Roman" w:cs="Times New Roman"/>
          <w:sz w:val="24"/>
          <w:szCs w:val="24"/>
        </w:rPr>
        <w:t>.</w:t>
      </w:r>
    </w:p>
    <w:p w14:paraId="6BE2D968" w14:textId="77777777" w:rsidR="000228CE" w:rsidRPr="00156CD9" w:rsidRDefault="000228CE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47BED" w14:textId="39C46785" w:rsidR="000228CE" w:rsidRPr="00156CD9" w:rsidRDefault="000228CE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BILJEŠKA br. 1</w:t>
      </w:r>
      <w:r w:rsidR="00206E78" w:rsidRPr="00156CD9">
        <w:rPr>
          <w:rFonts w:ascii="Times New Roman" w:hAnsi="Times New Roman" w:cs="Times New Roman"/>
          <w:b/>
          <w:sz w:val="24"/>
          <w:szCs w:val="24"/>
        </w:rPr>
        <w:t>3</w:t>
      </w:r>
    </w:p>
    <w:p w14:paraId="0126B4A9" w14:textId="136CB348" w:rsidR="003D1852" w:rsidRPr="00156CD9" w:rsidRDefault="00A16F19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P</w:t>
      </w:r>
      <w:r w:rsidR="008D6DCE" w:rsidRPr="00156CD9">
        <w:rPr>
          <w:rFonts w:ascii="Times New Roman" w:hAnsi="Times New Roman" w:cs="Times New Roman"/>
          <w:sz w:val="24"/>
          <w:szCs w:val="24"/>
        </w:rPr>
        <w:t>rihodi od zakupa i iznajmljivanja imovine</w:t>
      </w:r>
      <w:r w:rsidR="00EB597F" w:rsidRPr="00156CD9">
        <w:rPr>
          <w:rFonts w:ascii="Times New Roman" w:hAnsi="Times New Roman" w:cs="Times New Roman"/>
          <w:sz w:val="24"/>
          <w:szCs w:val="24"/>
        </w:rPr>
        <w:t xml:space="preserve"> (AOP08</w:t>
      </w:r>
      <w:r w:rsidR="001366C8" w:rsidRPr="00156CD9">
        <w:rPr>
          <w:rFonts w:ascii="Times New Roman" w:hAnsi="Times New Roman" w:cs="Times New Roman"/>
          <w:sz w:val="24"/>
          <w:szCs w:val="24"/>
        </w:rPr>
        <w:t>8</w:t>
      </w:r>
      <w:r w:rsidR="00EB597F" w:rsidRPr="00156CD9">
        <w:rPr>
          <w:rFonts w:ascii="Times New Roman" w:hAnsi="Times New Roman" w:cs="Times New Roman"/>
          <w:sz w:val="24"/>
          <w:szCs w:val="24"/>
        </w:rPr>
        <w:t xml:space="preserve">) </w:t>
      </w:r>
      <w:r w:rsidR="00D21C60" w:rsidRPr="00156CD9">
        <w:rPr>
          <w:rFonts w:ascii="Times New Roman" w:hAnsi="Times New Roman" w:cs="Times New Roman"/>
          <w:sz w:val="24"/>
          <w:szCs w:val="24"/>
        </w:rPr>
        <w:t>-</w:t>
      </w:r>
      <w:r w:rsidR="00EB597F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D21C60" w:rsidRPr="00156CD9">
        <w:rPr>
          <w:rFonts w:ascii="Times New Roman" w:hAnsi="Times New Roman" w:cs="Times New Roman"/>
          <w:sz w:val="24"/>
          <w:szCs w:val="24"/>
        </w:rPr>
        <w:t xml:space="preserve">iznose </w:t>
      </w:r>
      <w:r w:rsidR="001366C8" w:rsidRPr="00156CD9">
        <w:rPr>
          <w:rFonts w:ascii="Times New Roman" w:hAnsi="Times New Roman" w:cs="Times New Roman"/>
          <w:sz w:val="24"/>
          <w:szCs w:val="24"/>
        </w:rPr>
        <w:t>21.312.725</w:t>
      </w:r>
      <w:r w:rsidR="00522FE4" w:rsidRPr="00156CD9">
        <w:rPr>
          <w:rFonts w:ascii="Times New Roman" w:hAnsi="Times New Roman" w:cs="Times New Roman"/>
          <w:sz w:val="24"/>
          <w:szCs w:val="24"/>
        </w:rPr>
        <w:t xml:space="preserve"> kn</w:t>
      </w:r>
      <w:r w:rsidR="000B7AEA" w:rsidRPr="00156CD9">
        <w:rPr>
          <w:rFonts w:ascii="Times New Roman" w:hAnsi="Times New Roman" w:cs="Times New Roman"/>
          <w:sz w:val="24"/>
          <w:szCs w:val="24"/>
        </w:rPr>
        <w:t xml:space="preserve"> i</w:t>
      </w:r>
      <w:r w:rsidR="00FC08EF" w:rsidRPr="00156CD9">
        <w:rPr>
          <w:rFonts w:ascii="Times New Roman" w:hAnsi="Times New Roman" w:cs="Times New Roman"/>
          <w:sz w:val="24"/>
          <w:szCs w:val="24"/>
        </w:rPr>
        <w:t xml:space="preserve"> za </w:t>
      </w:r>
      <w:r w:rsidR="001366C8" w:rsidRPr="00156CD9">
        <w:rPr>
          <w:rFonts w:ascii="Times New Roman" w:hAnsi="Times New Roman" w:cs="Times New Roman"/>
          <w:sz w:val="24"/>
          <w:szCs w:val="24"/>
        </w:rPr>
        <w:t>4,0</w:t>
      </w:r>
      <w:r w:rsidR="00FC08EF" w:rsidRPr="00156CD9">
        <w:rPr>
          <w:rFonts w:ascii="Times New Roman" w:hAnsi="Times New Roman" w:cs="Times New Roman"/>
          <w:sz w:val="24"/>
          <w:szCs w:val="24"/>
        </w:rPr>
        <w:t>%</w:t>
      </w:r>
      <w:r w:rsidR="00955E71" w:rsidRPr="00156CD9">
        <w:rPr>
          <w:rFonts w:ascii="Times New Roman" w:hAnsi="Times New Roman" w:cs="Times New Roman"/>
          <w:sz w:val="24"/>
          <w:szCs w:val="24"/>
        </w:rPr>
        <w:t xml:space="preserve"> ili</w:t>
      </w:r>
      <w:r w:rsidR="00FC08EF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955E71" w:rsidRPr="00156CD9">
        <w:rPr>
          <w:rFonts w:ascii="Times New Roman" w:hAnsi="Times New Roman" w:cs="Times New Roman"/>
          <w:sz w:val="24"/>
          <w:szCs w:val="24"/>
        </w:rPr>
        <w:t xml:space="preserve">891.345 kn </w:t>
      </w:r>
      <w:r w:rsidR="00342E4E" w:rsidRPr="00156CD9">
        <w:rPr>
          <w:rFonts w:ascii="Times New Roman" w:hAnsi="Times New Roman" w:cs="Times New Roman"/>
          <w:sz w:val="24"/>
          <w:szCs w:val="24"/>
        </w:rPr>
        <w:t xml:space="preserve">su </w:t>
      </w:r>
      <w:r w:rsidR="00FC08EF" w:rsidRPr="00156CD9">
        <w:rPr>
          <w:rFonts w:ascii="Times New Roman" w:hAnsi="Times New Roman" w:cs="Times New Roman"/>
          <w:sz w:val="24"/>
          <w:szCs w:val="24"/>
        </w:rPr>
        <w:t xml:space="preserve">manje </w:t>
      </w:r>
      <w:r w:rsidR="00955E71" w:rsidRPr="00156CD9">
        <w:rPr>
          <w:rFonts w:ascii="Times New Roman" w:hAnsi="Times New Roman" w:cs="Times New Roman"/>
          <w:sz w:val="24"/>
          <w:szCs w:val="24"/>
        </w:rPr>
        <w:t xml:space="preserve">ostvareni </w:t>
      </w:r>
      <w:r w:rsidR="00FC08EF" w:rsidRPr="00156CD9">
        <w:rPr>
          <w:rFonts w:ascii="Times New Roman" w:hAnsi="Times New Roman" w:cs="Times New Roman"/>
          <w:sz w:val="24"/>
          <w:szCs w:val="24"/>
        </w:rPr>
        <w:t>nego u 20</w:t>
      </w:r>
      <w:r w:rsidR="001366C8" w:rsidRPr="00156CD9">
        <w:rPr>
          <w:rFonts w:ascii="Times New Roman" w:hAnsi="Times New Roman" w:cs="Times New Roman"/>
          <w:sz w:val="24"/>
          <w:szCs w:val="24"/>
        </w:rPr>
        <w:t>20</w:t>
      </w:r>
      <w:r w:rsidR="00FC08EF" w:rsidRPr="00156CD9">
        <w:rPr>
          <w:rFonts w:ascii="Times New Roman" w:hAnsi="Times New Roman" w:cs="Times New Roman"/>
          <w:sz w:val="24"/>
          <w:szCs w:val="24"/>
        </w:rPr>
        <w:t>. godini</w:t>
      </w:r>
      <w:r w:rsidR="000B7AEA" w:rsidRPr="00156CD9">
        <w:rPr>
          <w:rFonts w:ascii="Times New Roman" w:hAnsi="Times New Roman" w:cs="Times New Roman"/>
          <w:sz w:val="24"/>
          <w:szCs w:val="24"/>
        </w:rPr>
        <w:t>. Na smanjenje</w:t>
      </w:r>
      <w:r w:rsidR="007637D4">
        <w:rPr>
          <w:rFonts w:ascii="Times New Roman" w:hAnsi="Times New Roman" w:cs="Times New Roman"/>
          <w:sz w:val="24"/>
          <w:szCs w:val="24"/>
        </w:rPr>
        <w:t xml:space="preserve"> prihoda od zakupa poslovnih prostora</w:t>
      </w:r>
      <w:r w:rsidR="000B7AEA" w:rsidRPr="00156CD9">
        <w:rPr>
          <w:rFonts w:ascii="Times New Roman" w:hAnsi="Times New Roman" w:cs="Times New Roman"/>
          <w:sz w:val="24"/>
          <w:szCs w:val="24"/>
        </w:rPr>
        <w:t xml:space="preserve"> utjecala </w:t>
      </w:r>
      <w:r w:rsidR="007637D4">
        <w:rPr>
          <w:rFonts w:ascii="Times New Roman" w:hAnsi="Times New Roman" w:cs="Times New Roman"/>
          <w:sz w:val="24"/>
          <w:szCs w:val="24"/>
        </w:rPr>
        <w:t xml:space="preserve">je </w:t>
      </w:r>
      <w:r w:rsidR="000B7AEA" w:rsidRPr="00156CD9">
        <w:rPr>
          <w:rFonts w:ascii="Times New Roman" w:hAnsi="Times New Roman" w:cs="Times New Roman"/>
          <w:sz w:val="24"/>
          <w:szCs w:val="24"/>
        </w:rPr>
        <w:t xml:space="preserve">odluka Grada kojom se zakupci </w:t>
      </w:r>
      <w:r w:rsidR="00DB1818" w:rsidRPr="00156CD9">
        <w:rPr>
          <w:rFonts w:ascii="Times New Roman" w:hAnsi="Times New Roman" w:cs="Times New Roman"/>
          <w:sz w:val="24"/>
          <w:szCs w:val="24"/>
        </w:rPr>
        <w:t xml:space="preserve">koji posluju više od 25 godina </w:t>
      </w:r>
      <w:r w:rsidR="007637D4">
        <w:rPr>
          <w:rFonts w:ascii="Times New Roman" w:hAnsi="Times New Roman" w:cs="Times New Roman"/>
          <w:sz w:val="24"/>
          <w:szCs w:val="24"/>
        </w:rPr>
        <w:t xml:space="preserve">na području grada </w:t>
      </w:r>
      <w:r w:rsidR="00DB1818" w:rsidRPr="00156CD9">
        <w:rPr>
          <w:rFonts w:ascii="Times New Roman" w:hAnsi="Times New Roman" w:cs="Times New Roman"/>
          <w:sz w:val="24"/>
          <w:szCs w:val="24"/>
        </w:rPr>
        <w:t xml:space="preserve">oslobađaju </w:t>
      </w:r>
      <w:r w:rsidR="000B7AEA" w:rsidRPr="00156CD9">
        <w:rPr>
          <w:rFonts w:ascii="Times New Roman" w:hAnsi="Times New Roman" w:cs="Times New Roman"/>
          <w:sz w:val="24"/>
          <w:szCs w:val="24"/>
        </w:rPr>
        <w:t xml:space="preserve">od plaćanja </w:t>
      </w:r>
      <w:r w:rsidR="00DB1818" w:rsidRPr="00156CD9">
        <w:rPr>
          <w:rFonts w:ascii="Times New Roman" w:hAnsi="Times New Roman" w:cs="Times New Roman"/>
          <w:sz w:val="24"/>
          <w:szCs w:val="24"/>
        </w:rPr>
        <w:t xml:space="preserve">zakupnine </w:t>
      </w:r>
      <w:r w:rsidR="000B7AEA" w:rsidRPr="00156CD9">
        <w:rPr>
          <w:rFonts w:ascii="Times New Roman" w:hAnsi="Times New Roman" w:cs="Times New Roman"/>
          <w:sz w:val="24"/>
          <w:szCs w:val="24"/>
        </w:rPr>
        <w:t xml:space="preserve">za </w:t>
      </w:r>
      <w:r w:rsidR="00DB1818" w:rsidRPr="00156CD9">
        <w:rPr>
          <w:rFonts w:ascii="Times New Roman" w:hAnsi="Times New Roman" w:cs="Times New Roman"/>
          <w:sz w:val="24"/>
          <w:szCs w:val="24"/>
        </w:rPr>
        <w:t>50%</w:t>
      </w:r>
      <w:r w:rsidR="000B7AEA" w:rsidRPr="00156CD9">
        <w:rPr>
          <w:rFonts w:ascii="Times New Roman" w:hAnsi="Times New Roman" w:cs="Times New Roman"/>
          <w:sz w:val="24"/>
          <w:szCs w:val="24"/>
        </w:rPr>
        <w:t>, a o</w:t>
      </w:r>
      <w:r w:rsidR="00DB1818" w:rsidRPr="00156CD9">
        <w:rPr>
          <w:rFonts w:ascii="Times New Roman" w:hAnsi="Times New Roman" w:cs="Times New Roman"/>
          <w:sz w:val="24"/>
          <w:szCs w:val="24"/>
        </w:rPr>
        <w:t xml:space="preserve">ni koji posluju do 25 godina oslobađaju </w:t>
      </w:r>
      <w:r w:rsidR="000B7AEA" w:rsidRPr="00156CD9">
        <w:rPr>
          <w:rFonts w:ascii="Times New Roman" w:hAnsi="Times New Roman" w:cs="Times New Roman"/>
          <w:sz w:val="24"/>
          <w:szCs w:val="24"/>
        </w:rPr>
        <w:t xml:space="preserve">plaćanja zakupnine </w:t>
      </w:r>
      <w:r w:rsidR="00DB1818" w:rsidRPr="00156CD9">
        <w:rPr>
          <w:rFonts w:ascii="Times New Roman" w:hAnsi="Times New Roman" w:cs="Times New Roman"/>
          <w:sz w:val="24"/>
          <w:szCs w:val="24"/>
        </w:rPr>
        <w:t xml:space="preserve">za 30% </w:t>
      </w:r>
      <w:r w:rsidR="00084F75">
        <w:rPr>
          <w:rFonts w:ascii="Times New Roman" w:hAnsi="Times New Roman" w:cs="Times New Roman"/>
          <w:sz w:val="24"/>
          <w:szCs w:val="24"/>
        </w:rPr>
        <w:t>zbog pomoći u poslovanju uzrokovane epidemijom bolesti C</w:t>
      </w:r>
      <w:r w:rsidR="00D65F79">
        <w:rPr>
          <w:rFonts w:ascii="Times New Roman" w:hAnsi="Times New Roman" w:cs="Times New Roman"/>
          <w:sz w:val="24"/>
          <w:szCs w:val="24"/>
        </w:rPr>
        <w:t>ovid</w:t>
      </w:r>
      <w:r w:rsidR="00084F75">
        <w:rPr>
          <w:rFonts w:ascii="Times New Roman" w:hAnsi="Times New Roman" w:cs="Times New Roman"/>
          <w:sz w:val="24"/>
          <w:szCs w:val="24"/>
        </w:rPr>
        <w:t>-19</w:t>
      </w:r>
      <w:r w:rsidR="007637D4">
        <w:rPr>
          <w:rFonts w:ascii="Times New Roman" w:hAnsi="Times New Roman" w:cs="Times New Roman"/>
          <w:sz w:val="24"/>
          <w:szCs w:val="24"/>
        </w:rPr>
        <w:t>.</w:t>
      </w:r>
    </w:p>
    <w:p w14:paraId="1DD86C02" w14:textId="12B45C5A" w:rsidR="00D46BD0" w:rsidRPr="00156CD9" w:rsidRDefault="00D46BD0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F256B7" w14:textId="74B215A9" w:rsidR="00D46BD0" w:rsidRPr="00156CD9" w:rsidRDefault="00D46BD0" w:rsidP="00156C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BILJEŠKA br. 1</w:t>
      </w:r>
      <w:r w:rsidR="00206E78" w:rsidRPr="00156CD9">
        <w:rPr>
          <w:rFonts w:ascii="Times New Roman" w:hAnsi="Times New Roman" w:cs="Times New Roman"/>
          <w:b/>
          <w:sz w:val="24"/>
          <w:szCs w:val="24"/>
        </w:rPr>
        <w:t>4</w:t>
      </w:r>
    </w:p>
    <w:p w14:paraId="7D240001" w14:textId="22434B4A" w:rsidR="00D46BD0" w:rsidRPr="00156CD9" w:rsidRDefault="00D46BD0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Naknada za korištenje nefinancijske imovine (AOP089) - iznose 1.435.152 kn i ostvarena je za 10,4%  više u odnosu na isto razdoblje izvještavanja 2020. godine. Na povećanje ove vrste prihoda utjecala je </w:t>
      </w:r>
      <w:r w:rsidR="005070B7">
        <w:rPr>
          <w:rFonts w:ascii="Times New Roman" w:hAnsi="Times New Roman" w:cs="Times New Roman"/>
          <w:sz w:val="24"/>
          <w:szCs w:val="24"/>
        </w:rPr>
        <w:t>bolja naplata spomeničke rente.</w:t>
      </w:r>
    </w:p>
    <w:p w14:paraId="23B78E9F" w14:textId="7A12D49D" w:rsidR="00DB1818" w:rsidRPr="00156CD9" w:rsidRDefault="00DB1818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273BE" w14:textId="11963AC3" w:rsidR="00996C51" w:rsidRPr="00156CD9" w:rsidRDefault="00996C51" w:rsidP="00156C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BILJEŠKA br. 1</w:t>
      </w:r>
      <w:r w:rsidR="00206E78" w:rsidRPr="00156CD9">
        <w:rPr>
          <w:rFonts w:ascii="Times New Roman" w:hAnsi="Times New Roman" w:cs="Times New Roman"/>
          <w:b/>
          <w:sz w:val="24"/>
          <w:szCs w:val="24"/>
        </w:rPr>
        <w:t>5</w:t>
      </w:r>
    </w:p>
    <w:p w14:paraId="151F0CE7" w14:textId="3E3439AE" w:rsidR="00996C51" w:rsidRPr="00156CD9" w:rsidRDefault="00996C51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Ostali prihodi od nefinancijske imovine (AOP092) - iznose 264.410 kn i bilježe porast zbog većeg broja zahtjeva odnosno bolje naplate naknade za legalizacijom objekata.</w:t>
      </w:r>
    </w:p>
    <w:p w14:paraId="3F737954" w14:textId="77777777" w:rsidR="00996C51" w:rsidRPr="00156CD9" w:rsidRDefault="00996C51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24092" w14:textId="321B2456" w:rsidR="00424514" w:rsidRPr="00156CD9" w:rsidRDefault="00424514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BILJEŠKA br. 1</w:t>
      </w:r>
      <w:r w:rsidR="00206E78" w:rsidRPr="00156CD9">
        <w:rPr>
          <w:rFonts w:ascii="Times New Roman" w:hAnsi="Times New Roman" w:cs="Times New Roman"/>
          <w:b/>
          <w:sz w:val="24"/>
          <w:szCs w:val="24"/>
        </w:rPr>
        <w:t>6</w:t>
      </w:r>
    </w:p>
    <w:p w14:paraId="4236CB00" w14:textId="75D1654E" w:rsidR="00A563BE" w:rsidRPr="00156CD9" w:rsidRDefault="00A563BE" w:rsidP="00156C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Ostale pristojbe i naknade (AOP106) - iznose 2.126.988 kn i za 92,9% su ostvarene više nego u istom razdoblju 2020. godine zbog bolje turističke sezone u 2021. godini. Turistička pristojba je ostvarena u iznosu od 1.</w:t>
      </w:r>
      <w:r w:rsidR="006A4B95" w:rsidRPr="00156CD9">
        <w:rPr>
          <w:rFonts w:ascii="Times New Roman" w:hAnsi="Times New Roman" w:cs="Times New Roman"/>
          <w:sz w:val="24"/>
          <w:szCs w:val="24"/>
        </w:rPr>
        <w:t>603.781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odnosno za </w:t>
      </w:r>
      <w:r w:rsidR="006A4B95" w:rsidRPr="00156CD9">
        <w:rPr>
          <w:rFonts w:ascii="Times New Roman" w:hAnsi="Times New Roman" w:cs="Times New Roman"/>
          <w:sz w:val="24"/>
          <w:szCs w:val="24"/>
        </w:rPr>
        <w:t>867.261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više nego u 2020. godini, a turistička pristojba za noćenje na plovnom objektu u iznosu od </w:t>
      </w:r>
      <w:r w:rsidR="006A4B95" w:rsidRPr="00156CD9">
        <w:rPr>
          <w:rFonts w:ascii="Times New Roman" w:hAnsi="Times New Roman" w:cs="Times New Roman"/>
          <w:sz w:val="24"/>
          <w:szCs w:val="24"/>
        </w:rPr>
        <w:t>523.207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</w:t>
      </w:r>
      <w:r w:rsidR="006A4B95" w:rsidRPr="00156CD9">
        <w:rPr>
          <w:rFonts w:ascii="Times New Roman" w:hAnsi="Times New Roman" w:cs="Times New Roman"/>
          <w:sz w:val="24"/>
          <w:szCs w:val="24"/>
        </w:rPr>
        <w:t>odnosno za 287.758 kn više nego u 2020. godini.</w:t>
      </w:r>
    </w:p>
    <w:p w14:paraId="7DC33CED" w14:textId="02D39EE0" w:rsidR="00413FC4" w:rsidRPr="00156CD9" w:rsidRDefault="00413FC4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Razliku od 157 kn čini ostvarena boravišna pristojba u 2020. godini doznačena od Turističke zajednice grada Pule. U 2020. godini novim Zakonom o turističkim pristojbama definiran je novi način plaćanja turističke pristojbe, a i mijenja se sam naziv iz boravišne u turističku pristojbu. </w:t>
      </w:r>
    </w:p>
    <w:p w14:paraId="08351248" w14:textId="77777777" w:rsidR="00413FC4" w:rsidRPr="00156CD9" w:rsidRDefault="00413FC4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F5DD20" w14:textId="2BDEE188" w:rsidR="00AE1C62" w:rsidRPr="00156CD9" w:rsidRDefault="00AE1C62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BILJEŠKA br. 1</w:t>
      </w:r>
      <w:r w:rsidR="00206E78" w:rsidRPr="00156CD9">
        <w:rPr>
          <w:rFonts w:ascii="Times New Roman" w:hAnsi="Times New Roman" w:cs="Times New Roman"/>
          <w:b/>
          <w:sz w:val="24"/>
          <w:szCs w:val="24"/>
        </w:rPr>
        <w:t>7</w:t>
      </w:r>
    </w:p>
    <w:p w14:paraId="6D5FF7AD" w14:textId="14DBED0E" w:rsidR="002A0817" w:rsidRPr="00156CD9" w:rsidRDefault="002A0817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Prihodi od vodnog gospodarstva (AOP1</w:t>
      </w:r>
      <w:r w:rsidR="009A30FF" w:rsidRPr="00156CD9">
        <w:rPr>
          <w:rFonts w:ascii="Times New Roman" w:hAnsi="Times New Roman" w:cs="Times New Roman"/>
          <w:sz w:val="24"/>
          <w:szCs w:val="24"/>
        </w:rPr>
        <w:t>09</w:t>
      </w:r>
      <w:r w:rsidRPr="00156CD9">
        <w:rPr>
          <w:rFonts w:ascii="Times New Roman" w:hAnsi="Times New Roman" w:cs="Times New Roman"/>
          <w:sz w:val="24"/>
          <w:szCs w:val="24"/>
        </w:rPr>
        <w:t>)</w:t>
      </w:r>
      <w:r w:rsidR="00A4766D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AB1AE9" w:rsidRPr="00156CD9">
        <w:rPr>
          <w:rFonts w:ascii="Times New Roman" w:hAnsi="Times New Roman" w:cs="Times New Roman"/>
          <w:sz w:val="24"/>
          <w:szCs w:val="24"/>
        </w:rPr>
        <w:t xml:space="preserve">- iznose </w:t>
      </w:r>
      <w:r w:rsidR="009A30FF" w:rsidRPr="00156CD9">
        <w:rPr>
          <w:rFonts w:ascii="Times New Roman" w:hAnsi="Times New Roman" w:cs="Times New Roman"/>
          <w:sz w:val="24"/>
          <w:szCs w:val="24"/>
        </w:rPr>
        <w:t>83.109</w:t>
      </w:r>
      <w:r w:rsidR="00AB1AE9" w:rsidRPr="00156CD9">
        <w:rPr>
          <w:rFonts w:ascii="Times New Roman" w:hAnsi="Times New Roman" w:cs="Times New Roman"/>
          <w:sz w:val="24"/>
          <w:szCs w:val="24"/>
        </w:rPr>
        <w:t xml:space="preserve"> kn i </w:t>
      </w:r>
      <w:r w:rsidR="00AE1C62" w:rsidRPr="00156CD9">
        <w:rPr>
          <w:rFonts w:ascii="Times New Roman" w:hAnsi="Times New Roman" w:cs="Times New Roman"/>
          <w:sz w:val="24"/>
          <w:szCs w:val="24"/>
        </w:rPr>
        <w:t xml:space="preserve">bilježe smanjenje za </w:t>
      </w:r>
      <w:r w:rsidR="009A30FF" w:rsidRPr="00156CD9">
        <w:rPr>
          <w:rFonts w:ascii="Times New Roman" w:hAnsi="Times New Roman" w:cs="Times New Roman"/>
          <w:sz w:val="24"/>
          <w:szCs w:val="24"/>
        </w:rPr>
        <w:t>31,3</w:t>
      </w:r>
      <w:r w:rsidR="00AE1C62" w:rsidRPr="00156CD9">
        <w:rPr>
          <w:rFonts w:ascii="Times New Roman" w:hAnsi="Times New Roman" w:cs="Times New Roman"/>
          <w:sz w:val="24"/>
          <w:szCs w:val="24"/>
        </w:rPr>
        <w:t>%</w:t>
      </w:r>
      <w:r w:rsidRPr="00156CD9">
        <w:rPr>
          <w:rFonts w:ascii="Times New Roman" w:hAnsi="Times New Roman" w:cs="Times New Roman"/>
          <w:sz w:val="24"/>
          <w:szCs w:val="24"/>
        </w:rPr>
        <w:t>. Vodni doprinos obračunavaju i naplaćuju Hrvatske vode te Gradu pripada 8% vodnog doprinosa naplaćenog na njegovom području.</w:t>
      </w:r>
    </w:p>
    <w:p w14:paraId="76B74B5E" w14:textId="70D3416B" w:rsidR="00AE1C62" w:rsidRPr="00156CD9" w:rsidRDefault="00AE1C62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191D7" w14:textId="3E7107D7" w:rsidR="00AE1C62" w:rsidRPr="00156CD9" w:rsidRDefault="00E91ECD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BILJEŠKA br. 1</w:t>
      </w:r>
      <w:r w:rsidR="00206E78" w:rsidRPr="00156CD9">
        <w:rPr>
          <w:rFonts w:ascii="Times New Roman" w:hAnsi="Times New Roman" w:cs="Times New Roman"/>
          <w:b/>
          <w:sz w:val="24"/>
          <w:szCs w:val="24"/>
        </w:rPr>
        <w:t>8</w:t>
      </w:r>
    </w:p>
    <w:p w14:paraId="5A60DE6F" w14:textId="3D8E8526" w:rsidR="000F20BA" w:rsidRPr="00156CD9" w:rsidRDefault="000F20BA" w:rsidP="00156C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Ostali nespomenuti prihodi (AOP112) - ostvareni su u iznosu od 4.490.576 kn odnosno za 27,6% više nego u 2020. godini u istom izvještajnom razdoblju. Na povećanje prihoda utjecale su uplate prema sklopljenim ugovorima stvarnih troškova gradnje čije financiranje nije predviđeno Programom gradnje i financiraju privatni investitori, a razlog tomu je što su u 2021. godini nastavljeni prošlogodišnji radovi te se ugovaraju novi za izgradnju prometnica, više je ostvaren prihod od nasljedstva, povrati sredstava u proračun te</w:t>
      </w:r>
      <w:r w:rsidRPr="00156CD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naknada za </w:t>
      </w:r>
      <w:r w:rsidR="008404E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odlagalište</w:t>
      </w:r>
      <w:r w:rsidRPr="00156CD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otpada na lokaciji </w:t>
      </w:r>
      <w:proofErr w:type="spellStart"/>
      <w:r w:rsidR="007637D4" w:rsidRPr="00156CD9">
        <w:rPr>
          <w:rFonts w:ascii="Times New Roman" w:hAnsi="Times New Roman" w:cs="Times New Roman"/>
          <w:sz w:val="24"/>
          <w:szCs w:val="24"/>
        </w:rPr>
        <w:t>Kaštiju</w:t>
      </w:r>
      <w:r w:rsidR="007637D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D6202">
        <w:rPr>
          <w:rFonts w:ascii="Times New Roman" w:hAnsi="Times New Roman" w:cs="Times New Roman"/>
          <w:sz w:val="24"/>
          <w:szCs w:val="24"/>
        </w:rPr>
        <w:t>.</w:t>
      </w:r>
      <w:r w:rsidR="007637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3EF1D" w14:textId="5E68DF26" w:rsidR="00106046" w:rsidRPr="00156CD9" w:rsidRDefault="00106046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BD3FF" w14:textId="77777777" w:rsidR="00084F75" w:rsidRDefault="00084F75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323F32D9" w14:textId="77777777" w:rsidR="00DD6202" w:rsidRDefault="00DD6202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55E7D50A" w14:textId="0EF042CC" w:rsidR="009650F5" w:rsidRPr="00156CD9" w:rsidRDefault="009650F5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lastRenderedPageBreak/>
        <w:t xml:space="preserve">BILJEŠKA br. </w:t>
      </w:r>
      <w:r w:rsidR="00206E78" w:rsidRPr="00156CD9">
        <w:rPr>
          <w:rFonts w:ascii="Times New Roman" w:hAnsi="Times New Roman" w:cs="Times New Roman"/>
          <w:b/>
        </w:rPr>
        <w:t>19</w:t>
      </w:r>
    </w:p>
    <w:p w14:paraId="4E515417" w14:textId="3C474895" w:rsidR="00805E71" w:rsidRPr="00156CD9" w:rsidRDefault="009650F5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Tekuće donacije (AOP124) </w:t>
      </w:r>
      <w:r w:rsidR="006B4094" w:rsidRPr="00156CD9">
        <w:rPr>
          <w:rFonts w:ascii="Times New Roman" w:hAnsi="Times New Roman" w:cs="Times New Roman"/>
          <w:sz w:val="24"/>
          <w:szCs w:val="24"/>
        </w:rPr>
        <w:t>-</w:t>
      </w:r>
      <w:r w:rsidRPr="00156CD9">
        <w:rPr>
          <w:rFonts w:ascii="Times New Roman" w:hAnsi="Times New Roman" w:cs="Times New Roman"/>
          <w:sz w:val="24"/>
          <w:szCs w:val="24"/>
        </w:rPr>
        <w:t xml:space="preserve"> iznose 97.340 kn</w:t>
      </w:r>
      <w:r w:rsidR="006B4094" w:rsidRPr="00156CD9">
        <w:rPr>
          <w:rFonts w:ascii="Times New Roman" w:hAnsi="Times New Roman" w:cs="Times New Roman"/>
          <w:sz w:val="24"/>
          <w:szCs w:val="24"/>
        </w:rPr>
        <w:t xml:space="preserve">  odnosno za 150,7% više nego u 2020. godini u istom izvještajnom razdoblju. </w:t>
      </w:r>
      <w:r w:rsidR="00B9496D" w:rsidRPr="00156CD9">
        <w:rPr>
          <w:rFonts w:ascii="Times New Roman" w:hAnsi="Times New Roman" w:cs="Times New Roman"/>
          <w:sz w:val="24"/>
          <w:szCs w:val="24"/>
        </w:rPr>
        <w:t>P</w:t>
      </w:r>
      <w:r w:rsidRPr="00156CD9">
        <w:rPr>
          <w:rFonts w:ascii="Times New Roman" w:hAnsi="Times New Roman" w:cs="Times New Roman"/>
          <w:sz w:val="24"/>
          <w:szCs w:val="24"/>
        </w:rPr>
        <w:t>ovećanj</w:t>
      </w:r>
      <w:r w:rsidR="006B4094" w:rsidRPr="00156CD9">
        <w:rPr>
          <w:rFonts w:ascii="Times New Roman" w:hAnsi="Times New Roman" w:cs="Times New Roman"/>
          <w:sz w:val="24"/>
          <w:szCs w:val="24"/>
        </w:rPr>
        <w:t>e</w:t>
      </w:r>
      <w:r w:rsidRPr="00156CD9">
        <w:rPr>
          <w:rFonts w:ascii="Times New Roman" w:hAnsi="Times New Roman" w:cs="Times New Roman"/>
          <w:sz w:val="24"/>
          <w:szCs w:val="24"/>
        </w:rPr>
        <w:t xml:space="preserve"> je </w:t>
      </w:r>
      <w:r w:rsidR="00B9496D" w:rsidRPr="00156CD9">
        <w:rPr>
          <w:rFonts w:ascii="Times New Roman" w:hAnsi="Times New Roman" w:cs="Times New Roman"/>
          <w:sz w:val="24"/>
          <w:szCs w:val="24"/>
        </w:rPr>
        <w:t xml:space="preserve">vrijednosno </w:t>
      </w:r>
      <w:r w:rsidRPr="00156CD9">
        <w:rPr>
          <w:rFonts w:ascii="Times New Roman" w:hAnsi="Times New Roman" w:cs="Times New Roman"/>
          <w:sz w:val="24"/>
          <w:szCs w:val="24"/>
        </w:rPr>
        <w:t>manje značaj</w:t>
      </w:r>
      <w:r w:rsidR="006B4094" w:rsidRPr="00156CD9">
        <w:rPr>
          <w:rFonts w:ascii="Times New Roman" w:hAnsi="Times New Roman" w:cs="Times New Roman"/>
          <w:sz w:val="24"/>
          <w:szCs w:val="24"/>
        </w:rPr>
        <w:t>no na što je utjecala donacija od subjekta izvan općeg proračuna za organizaciju manifestacije Advent u Puli.</w:t>
      </w:r>
    </w:p>
    <w:p w14:paraId="6B3FC1F3" w14:textId="77777777" w:rsidR="00156CD9" w:rsidRDefault="00156CD9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2113E6AD" w14:textId="4E64813D" w:rsidR="00805E71" w:rsidRPr="00156CD9" w:rsidRDefault="00156CD9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805E71" w:rsidRPr="00156CD9">
        <w:rPr>
          <w:rFonts w:ascii="Times New Roman" w:hAnsi="Times New Roman" w:cs="Times New Roman"/>
          <w:b/>
        </w:rPr>
        <w:t xml:space="preserve">ILJEŠKA br. </w:t>
      </w:r>
      <w:r w:rsidR="00206E78" w:rsidRPr="00156CD9">
        <w:rPr>
          <w:rFonts w:ascii="Times New Roman" w:hAnsi="Times New Roman" w:cs="Times New Roman"/>
          <w:b/>
        </w:rPr>
        <w:t>20</w:t>
      </w:r>
    </w:p>
    <w:p w14:paraId="1385390B" w14:textId="42A4A909" w:rsidR="00805E71" w:rsidRPr="00156CD9" w:rsidRDefault="00805E71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Kapitalne donacije (AOP125) - iznose 403.721 kn, a odnose se na donaciju Plana ( I ID UPU IPZ), Plana (I ID UPU Ribarska koliba), Plana (IX ID GUP-a), EKK Trgovinskog centra Pula, donaciju za radove na stepenicama u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Lussijevoj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 xml:space="preserve"> ulici te donaciju gola sa mrežom za dječje igralište.</w:t>
      </w:r>
    </w:p>
    <w:p w14:paraId="2103965B" w14:textId="77777777" w:rsidR="00206E78" w:rsidRPr="00156CD9" w:rsidRDefault="00206E78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19327" w14:textId="37966DEB" w:rsidR="00381D3A" w:rsidRPr="00156CD9" w:rsidRDefault="00381D3A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 xml:space="preserve">BILJEŠKA br. </w:t>
      </w:r>
      <w:r w:rsidR="00921CFB" w:rsidRPr="00156CD9">
        <w:rPr>
          <w:rFonts w:ascii="Times New Roman" w:hAnsi="Times New Roman" w:cs="Times New Roman"/>
          <w:b/>
          <w:sz w:val="24"/>
          <w:szCs w:val="24"/>
        </w:rPr>
        <w:t>2</w:t>
      </w:r>
      <w:r w:rsidR="00206E78" w:rsidRPr="00156CD9">
        <w:rPr>
          <w:rFonts w:ascii="Times New Roman" w:hAnsi="Times New Roman" w:cs="Times New Roman"/>
          <w:b/>
          <w:sz w:val="24"/>
          <w:szCs w:val="24"/>
        </w:rPr>
        <w:t>1</w:t>
      </w:r>
    </w:p>
    <w:p w14:paraId="65F1A7CA" w14:textId="317B7A1A" w:rsidR="0095249B" w:rsidRPr="00156CD9" w:rsidRDefault="00921CFB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K</w:t>
      </w:r>
      <w:r w:rsidR="000D44B2" w:rsidRPr="00156CD9">
        <w:rPr>
          <w:rFonts w:ascii="Times New Roman" w:hAnsi="Times New Roman" w:cs="Times New Roman"/>
          <w:sz w:val="24"/>
          <w:szCs w:val="24"/>
        </w:rPr>
        <w:t>azn</w:t>
      </w:r>
      <w:r w:rsidRPr="00156CD9">
        <w:rPr>
          <w:rFonts w:ascii="Times New Roman" w:hAnsi="Times New Roman" w:cs="Times New Roman"/>
          <w:sz w:val="24"/>
          <w:szCs w:val="24"/>
        </w:rPr>
        <w:t>e</w:t>
      </w:r>
      <w:r w:rsidR="000D44B2" w:rsidRPr="00156CD9">
        <w:rPr>
          <w:rFonts w:ascii="Times New Roman" w:hAnsi="Times New Roman" w:cs="Times New Roman"/>
          <w:sz w:val="24"/>
          <w:szCs w:val="24"/>
        </w:rPr>
        <w:t xml:space="preserve"> za prometne i ostale prekršaje</w:t>
      </w:r>
      <w:r w:rsidRPr="00156CD9">
        <w:rPr>
          <w:rFonts w:ascii="Times New Roman" w:hAnsi="Times New Roman" w:cs="Times New Roman"/>
          <w:sz w:val="24"/>
          <w:szCs w:val="24"/>
        </w:rPr>
        <w:t xml:space="preserve"> u nadležnosti MUP-a (AOP14</w:t>
      </w:r>
      <w:r w:rsidR="00215049" w:rsidRPr="00156CD9">
        <w:rPr>
          <w:rFonts w:ascii="Times New Roman" w:hAnsi="Times New Roman" w:cs="Times New Roman"/>
          <w:sz w:val="24"/>
          <w:szCs w:val="24"/>
        </w:rPr>
        <w:t>0</w:t>
      </w:r>
      <w:r w:rsidRPr="00156CD9">
        <w:rPr>
          <w:rFonts w:ascii="Times New Roman" w:hAnsi="Times New Roman" w:cs="Times New Roman"/>
          <w:sz w:val="24"/>
          <w:szCs w:val="24"/>
        </w:rPr>
        <w:t xml:space="preserve">) </w:t>
      </w:r>
      <w:r w:rsidR="00AB1AE9" w:rsidRPr="00156CD9">
        <w:rPr>
          <w:rFonts w:ascii="Times New Roman" w:hAnsi="Times New Roman" w:cs="Times New Roman"/>
          <w:sz w:val="24"/>
          <w:szCs w:val="24"/>
        </w:rPr>
        <w:t>-</w:t>
      </w:r>
      <w:r w:rsidR="000D44B2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AB1AE9" w:rsidRPr="00156CD9">
        <w:rPr>
          <w:rFonts w:ascii="Times New Roman" w:hAnsi="Times New Roman" w:cs="Times New Roman"/>
          <w:sz w:val="24"/>
          <w:szCs w:val="24"/>
        </w:rPr>
        <w:t>iznose 1.</w:t>
      </w:r>
      <w:r w:rsidR="00215049" w:rsidRPr="00156CD9">
        <w:rPr>
          <w:rFonts w:ascii="Times New Roman" w:hAnsi="Times New Roman" w:cs="Times New Roman"/>
          <w:sz w:val="24"/>
          <w:szCs w:val="24"/>
        </w:rPr>
        <w:t>821.611</w:t>
      </w:r>
      <w:r w:rsidR="00AB1AE9" w:rsidRPr="00156CD9">
        <w:rPr>
          <w:rFonts w:ascii="Times New Roman" w:hAnsi="Times New Roman" w:cs="Times New Roman"/>
          <w:sz w:val="24"/>
          <w:szCs w:val="24"/>
        </w:rPr>
        <w:t xml:space="preserve"> kn i bilježe </w:t>
      </w:r>
      <w:r w:rsidR="00A4766D" w:rsidRPr="00156CD9">
        <w:rPr>
          <w:rFonts w:ascii="Times New Roman" w:hAnsi="Times New Roman" w:cs="Times New Roman"/>
          <w:sz w:val="24"/>
          <w:szCs w:val="24"/>
        </w:rPr>
        <w:t xml:space="preserve">povećanje za </w:t>
      </w:r>
      <w:r w:rsidR="00215049" w:rsidRPr="00156CD9">
        <w:rPr>
          <w:rFonts w:ascii="Times New Roman" w:hAnsi="Times New Roman" w:cs="Times New Roman"/>
          <w:sz w:val="24"/>
          <w:szCs w:val="24"/>
        </w:rPr>
        <w:t>18,0</w:t>
      </w:r>
      <w:r w:rsidR="00A4766D" w:rsidRPr="00156CD9">
        <w:rPr>
          <w:rFonts w:ascii="Times New Roman" w:hAnsi="Times New Roman" w:cs="Times New Roman"/>
          <w:sz w:val="24"/>
          <w:szCs w:val="24"/>
        </w:rPr>
        <w:t xml:space="preserve">% </w:t>
      </w:r>
      <w:r w:rsidR="00215049" w:rsidRPr="00156CD9">
        <w:rPr>
          <w:rFonts w:ascii="Times New Roman" w:hAnsi="Times New Roman" w:cs="Times New Roman"/>
          <w:sz w:val="24"/>
          <w:szCs w:val="24"/>
        </w:rPr>
        <w:t>zbog većeg broja izdanih kazni za nepropisno parkirana vozila u ljetnim mjesecima odnosno naplatu istih.</w:t>
      </w:r>
    </w:p>
    <w:p w14:paraId="4638E633" w14:textId="77777777" w:rsidR="005C3F39" w:rsidRPr="00156CD9" w:rsidRDefault="005C3F39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3FA50" w14:textId="5BC5723F" w:rsidR="005C3F39" w:rsidRPr="00156CD9" w:rsidRDefault="005C3F39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 2</w:t>
      </w:r>
      <w:r w:rsidR="00206E78" w:rsidRPr="00156CD9">
        <w:rPr>
          <w:rFonts w:ascii="Times New Roman" w:hAnsi="Times New Roman" w:cs="Times New Roman"/>
          <w:b/>
        </w:rPr>
        <w:t>2</w:t>
      </w:r>
    </w:p>
    <w:p w14:paraId="380682FD" w14:textId="6B55B7B1" w:rsidR="005C3F39" w:rsidRPr="00156CD9" w:rsidRDefault="005C3F39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Ostali prihodi (AOP145) - ostvareni su u iznosu od 277.562 kn što je za 150,4% više nego u 2020. godini u istom izvještajnom razdoblju, a na povećanje je utjecala djelomična naplata </w:t>
      </w:r>
      <w:r w:rsidR="00084F75">
        <w:rPr>
          <w:rFonts w:ascii="Times New Roman" w:hAnsi="Times New Roman" w:cs="Times New Roman"/>
          <w:sz w:val="24"/>
          <w:szCs w:val="24"/>
        </w:rPr>
        <w:t xml:space="preserve">po jednoj </w:t>
      </w:r>
      <w:r w:rsidRPr="00156CD9">
        <w:rPr>
          <w:rFonts w:ascii="Times New Roman" w:hAnsi="Times New Roman" w:cs="Times New Roman"/>
          <w:sz w:val="24"/>
          <w:szCs w:val="24"/>
        </w:rPr>
        <w:t>presud</w:t>
      </w:r>
      <w:r w:rsidR="00084F75">
        <w:rPr>
          <w:rFonts w:ascii="Times New Roman" w:hAnsi="Times New Roman" w:cs="Times New Roman"/>
          <w:sz w:val="24"/>
          <w:szCs w:val="24"/>
        </w:rPr>
        <w:t xml:space="preserve">i </w:t>
      </w:r>
      <w:r w:rsidRPr="00156CD9">
        <w:rPr>
          <w:rFonts w:ascii="Times New Roman" w:hAnsi="Times New Roman" w:cs="Times New Roman"/>
          <w:sz w:val="24"/>
          <w:szCs w:val="24"/>
        </w:rPr>
        <w:t>u iznosu od 235.317 kn.</w:t>
      </w:r>
    </w:p>
    <w:p w14:paraId="46993B38" w14:textId="7F81B7AB" w:rsidR="005C3F39" w:rsidRPr="00156CD9" w:rsidRDefault="005C3F39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04147A" w14:textId="230F0E01" w:rsidR="00171C18" w:rsidRPr="00156CD9" w:rsidRDefault="00171C18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8233F5" w:rsidRPr="00156CD9">
        <w:rPr>
          <w:rFonts w:ascii="Times New Roman" w:hAnsi="Times New Roman" w:cs="Times New Roman"/>
          <w:b/>
        </w:rPr>
        <w:t>2</w:t>
      </w:r>
      <w:r w:rsidR="00206E78" w:rsidRPr="00156CD9">
        <w:rPr>
          <w:rFonts w:ascii="Times New Roman" w:hAnsi="Times New Roman" w:cs="Times New Roman"/>
          <w:b/>
        </w:rPr>
        <w:t>3</w:t>
      </w:r>
    </w:p>
    <w:p w14:paraId="77744F69" w14:textId="7A6F86F0" w:rsidR="00083BE0" w:rsidRPr="00156CD9" w:rsidRDefault="00083BE0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U skladu s odredbama Pravilnika o proračunskom računovodstvu i računskom plan</w:t>
      </w:r>
      <w:r w:rsidR="004B28F6" w:rsidRPr="00156CD9">
        <w:rPr>
          <w:rFonts w:ascii="Times New Roman" w:hAnsi="Times New Roman" w:cs="Times New Roman"/>
          <w:sz w:val="24"/>
          <w:szCs w:val="24"/>
        </w:rPr>
        <w:t>u („Narodne novine“ br. 124/14,</w:t>
      </w:r>
      <w:r w:rsidRPr="00156CD9">
        <w:rPr>
          <w:rFonts w:ascii="Times New Roman" w:hAnsi="Times New Roman" w:cs="Times New Roman"/>
          <w:sz w:val="24"/>
          <w:szCs w:val="24"/>
        </w:rPr>
        <w:t xml:space="preserve"> 115/15</w:t>
      </w:r>
      <w:r w:rsidR="00712A4C" w:rsidRPr="00156CD9">
        <w:rPr>
          <w:rFonts w:ascii="Times New Roman" w:hAnsi="Times New Roman" w:cs="Times New Roman"/>
          <w:sz w:val="24"/>
          <w:szCs w:val="24"/>
        </w:rPr>
        <w:t>, 87/16,</w:t>
      </w:r>
      <w:r w:rsidR="004B28F6" w:rsidRPr="00156CD9">
        <w:rPr>
          <w:rFonts w:ascii="Times New Roman" w:hAnsi="Times New Roman" w:cs="Times New Roman"/>
          <w:sz w:val="24"/>
          <w:szCs w:val="24"/>
        </w:rPr>
        <w:t xml:space="preserve"> 3/18</w:t>
      </w:r>
      <w:r w:rsidR="00C42BB5" w:rsidRPr="00156CD9">
        <w:rPr>
          <w:rFonts w:ascii="Times New Roman" w:hAnsi="Times New Roman" w:cs="Times New Roman"/>
          <w:sz w:val="24"/>
          <w:szCs w:val="24"/>
        </w:rPr>
        <w:t xml:space="preserve">, </w:t>
      </w:r>
      <w:r w:rsidR="00712A4C" w:rsidRPr="00156CD9">
        <w:rPr>
          <w:rFonts w:ascii="Times New Roman" w:hAnsi="Times New Roman" w:cs="Times New Roman"/>
          <w:sz w:val="24"/>
          <w:szCs w:val="24"/>
        </w:rPr>
        <w:t>126/19</w:t>
      </w:r>
      <w:r w:rsidR="00C42BB5" w:rsidRPr="00156CD9">
        <w:rPr>
          <w:rFonts w:ascii="Times New Roman" w:hAnsi="Times New Roman" w:cs="Times New Roman"/>
          <w:sz w:val="24"/>
          <w:szCs w:val="24"/>
        </w:rPr>
        <w:t xml:space="preserve"> i 108/20</w:t>
      </w:r>
      <w:r w:rsidRPr="00156CD9">
        <w:rPr>
          <w:rFonts w:ascii="Times New Roman" w:hAnsi="Times New Roman" w:cs="Times New Roman"/>
          <w:sz w:val="24"/>
          <w:szCs w:val="24"/>
        </w:rPr>
        <w:t>) u izvještaju PR</w:t>
      </w:r>
      <w:r w:rsidR="003A7E83" w:rsidRPr="00156CD9">
        <w:rPr>
          <w:rFonts w:ascii="Times New Roman" w:hAnsi="Times New Roman" w:cs="Times New Roman"/>
          <w:sz w:val="24"/>
          <w:szCs w:val="24"/>
        </w:rPr>
        <w:t>-</w:t>
      </w:r>
      <w:r w:rsidRPr="00156CD9">
        <w:rPr>
          <w:rFonts w:ascii="Times New Roman" w:hAnsi="Times New Roman" w:cs="Times New Roman"/>
          <w:sz w:val="24"/>
          <w:szCs w:val="24"/>
        </w:rPr>
        <w:t>RAS sredstva namijenjena proračunskim korisnicima iz nadležnosti Grada odnosno rashodi koji su financirani iz tih sredstava iskazana su na podskupini 367</w:t>
      </w:r>
      <w:r w:rsidR="003C1304" w:rsidRPr="00156CD9">
        <w:rPr>
          <w:rFonts w:ascii="Times New Roman" w:hAnsi="Times New Roman" w:cs="Times New Roman"/>
          <w:sz w:val="24"/>
          <w:szCs w:val="24"/>
        </w:rPr>
        <w:t>-</w:t>
      </w:r>
      <w:r w:rsidRPr="00156CD9">
        <w:rPr>
          <w:rFonts w:ascii="Times New Roman" w:hAnsi="Times New Roman" w:cs="Times New Roman"/>
          <w:sz w:val="24"/>
          <w:szCs w:val="24"/>
        </w:rPr>
        <w:t>Prijenosi proračunskim korisnicima iz nadležnog proračuna za financiranje redovne djelatnosti, a ne raspoređeni prema prirodnoj vrsti i to isključivo prema novčanom načelu.</w:t>
      </w:r>
    </w:p>
    <w:p w14:paraId="45146A1E" w14:textId="77777777" w:rsidR="00AB1AE9" w:rsidRPr="00156CD9" w:rsidRDefault="00AB1AE9" w:rsidP="00156CD9">
      <w:pPr>
        <w:pStyle w:val="Style20"/>
        <w:widowControl/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01AB20B" w14:textId="6D0D9E96" w:rsidR="00083BE0" w:rsidRPr="00156CD9" w:rsidRDefault="00083BE0" w:rsidP="00156CD9">
      <w:pPr>
        <w:pStyle w:val="Style20"/>
        <w:widowControl/>
        <w:spacing w:line="240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66624E" w:rsidRPr="00156CD9">
        <w:rPr>
          <w:rFonts w:ascii="Times New Roman" w:hAnsi="Times New Roman" w:cs="Times New Roman"/>
          <w:b/>
        </w:rPr>
        <w:t>2</w:t>
      </w:r>
      <w:r w:rsidR="00206E78" w:rsidRPr="00156CD9">
        <w:rPr>
          <w:rFonts w:ascii="Times New Roman" w:hAnsi="Times New Roman" w:cs="Times New Roman"/>
          <w:b/>
        </w:rPr>
        <w:t>4</w:t>
      </w:r>
    </w:p>
    <w:p w14:paraId="65C7E3E2" w14:textId="407E3D8D" w:rsidR="007B1924" w:rsidRPr="00156CD9" w:rsidRDefault="00083BE0" w:rsidP="00156CD9">
      <w:pPr>
        <w:pStyle w:val="Style20"/>
        <w:widowControl/>
        <w:spacing w:line="240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R</w:t>
      </w:r>
      <w:r w:rsidR="00171C18" w:rsidRPr="00156CD9">
        <w:rPr>
          <w:rFonts w:ascii="Times New Roman" w:hAnsi="Times New Roman" w:cs="Times New Roman"/>
          <w:b/>
        </w:rPr>
        <w:t>ashodi poslovanja</w:t>
      </w:r>
    </w:p>
    <w:tbl>
      <w:tblPr>
        <w:tblW w:w="9495" w:type="dxa"/>
        <w:jc w:val="center"/>
        <w:tblLook w:val="04A0" w:firstRow="1" w:lastRow="0" w:firstColumn="1" w:lastColumn="0" w:noHBand="0" w:noVBand="1"/>
      </w:tblPr>
      <w:tblGrid>
        <w:gridCol w:w="741"/>
        <w:gridCol w:w="3368"/>
        <w:gridCol w:w="712"/>
        <w:gridCol w:w="1558"/>
        <w:gridCol w:w="1408"/>
        <w:gridCol w:w="656"/>
        <w:gridCol w:w="1053"/>
      </w:tblGrid>
      <w:tr w:rsidR="00865015" w:rsidRPr="00156CD9" w14:paraId="51EB6A1D" w14:textId="77777777" w:rsidTr="00156CD9">
        <w:trPr>
          <w:trHeight w:val="309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3415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bookmarkStart w:id="1" w:name="OLE_LINK2" w:colFirst="3" w:colLast="6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D95A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35BA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bookmarkStart w:id="2" w:name="RANGE!C4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AOP</w:t>
            </w:r>
            <w:bookmarkEnd w:id="2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E6DA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Ostvareno u izvještajnom razdoblju prethodne godine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2192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Ostvareno u izvještajnom razdoblju tekuće godine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B8DA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Indeks 5/4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62BB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</w:tr>
      <w:tr w:rsidR="00865015" w:rsidRPr="00156CD9" w14:paraId="1C67676E" w14:textId="77777777" w:rsidTr="00156CD9">
        <w:trPr>
          <w:trHeight w:val="454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ADA1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E430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D216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8F3B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79DE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EC4E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2EBA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865015" w:rsidRPr="00156CD9" w14:paraId="5107D28D" w14:textId="77777777" w:rsidTr="006B53F8">
        <w:trPr>
          <w:trHeight w:val="113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B303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61F1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2AF3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824B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652A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E802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4FD8" w14:textId="1C2039E8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5-4</w:t>
            </w:r>
          </w:p>
        </w:tc>
      </w:tr>
      <w:tr w:rsidR="00865015" w:rsidRPr="00156CD9" w14:paraId="1EBD114D" w14:textId="77777777" w:rsidTr="00156CD9">
        <w:trPr>
          <w:trHeight w:val="19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394D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FCCB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A59B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E515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26.377.144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0BD4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27.795.539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A803" w14:textId="21BFAA4F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105,</w:t>
            </w:r>
            <w:r w:rsidR="00206E78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2ABF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1.418.395</w:t>
            </w:r>
          </w:p>
        </w:tc>
      </w:tr>
      <w:tr w:rsidR="00865015" w:rsidRPr="00156CD9" w14:paraId="798EF141" w14:textId="77777777" w:rsidTr="00156CD9">
        <w:trPr>
          <w:trHeight w:val="19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7217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C241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Materijalni rashodi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3903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1C9A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84.337.884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2B18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90.288.912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07F7" w14:textId="6DAEC98F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107,</w:t>
            </w:r>
            <w:r w:rsidR="00206E78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7D2C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5.951.028</w:t>
            </w:r>
          </w:p>
        </w:tc>
      </w:tr>
      <w:tr w:rsidR="00865015" w:rsidRPr="00156CD9" w14:paraId="296A5931" w14:textId="77777777" w:rsidTr="00156CD9">
        <w:trPr>
          <w:trHeight w:val="19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31DC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D0D1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Financijski rashodi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9A32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59D0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2.181.539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5EBF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1.180.718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AB97" w14:textId="65777120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9068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-1.000.821</w:t>
            </w:r>
          </w:p>
        </w:tc>
      </w:tr>
      <w:tr w:rsidR="00865015" w:rsidRPr="00156CD9" w14:paraId="1F56A2B0" w14:textId="77777777" w:rsidTr="00156CD9">
        <w:trPr>
          <w:trHeight w:val="19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7302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F522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F84A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E7AE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18.355.349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CBE9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11.332.697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9159" w14:textId="323BD455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C5CA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-7.022.652</w:t>
            </w:r>
          </w:p>
        </w:tc>
      </w:tr>
      <w:tr w:rsidR="00865015" w:rsidRPr="00156CD9" w14:paraId="715344F8" w14:textId="77777777" w:rsidTr="00156CD9">
        <w:trPr>
          <w:trHeight w:val="19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EDF0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EC47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Pomoći dane u ino. i unutar općeg proračuna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1C55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E017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74.371.747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ABD3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81.860.207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6C7B" w14:textId="73974B92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110,</w:t>
            </w:r>
            <w:r w:rsidR="00206E78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98AE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7.488.460</w:t>
            </w:r>
          </w:p>
        </w:tc>
      </w:tr>
      <w:tr w:rsidR="00865015" w:rsidRPr="00156CD9" w14:paraId="78978EAB" w14:textId="77777777" w:rsidTr="00156CD9">
        <w:trPr>
          <w:trHeight w:val="19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C546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C68E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EAF0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B941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6.571.011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B1B4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6.900.185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1DFC" w14:textId="0E1FB2F6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105,</w:t>
            </w:r>
            <w:r w:rsidR="00206E78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0CFC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329.174</w:t>
            </w:r>
          </w:p>
        </w:tc>
      </w:tr>
      <w:tr w:rsidR="00865015" w:rsidRPr="00156CD9" w14:paraId="4A859E66" w14:textId="77777777" w:rsidTr="00156CD9">
        <w:trPr>
          <w:trHeight w:val="19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1ECB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4882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793E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2D72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46.537.077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33E0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49.152.210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DA76" w14:textId="71214B8D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C2A7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2.615.133</w:t>
            </w:r>
          </w:p>
        </w:tc>
      </w:tr>
      <w:tr w:rsidR="00865015" w:rsidRPr="00156CD9" w14:paraId="7FB9DC9E" w14:textId="77777777" w:rsidTr="006B53F8">
        <w:trPr>
          <w:trHeight w:val="22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7EB5" w14:textId="77777777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9C74" w14:textId="77777777" w:rsidR="00865015" w:rsidRPr="00156CD9" w:rsidRDefault="00865015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D88C" w14:textId="65E4A43F" w:rsidR="00865015" w:rsidRPr="00156CD9" w:rsidRDefault="00865015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</w:t>
            </w:r>
            <w:r w:rsidR="00206E78"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4B7F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258.731.751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42C4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268.510.468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4E51" w14:textId="6DC4957C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103,</w:t>
            </w:r>
            <w:r w:rsidR="00206E78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4F98" w14:textId="77777777" w:rsidR="00865015" w:rsidRPr="00156CD9" w:rsidRDefault="00865015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9.778.717</w:t>
            </w:r>
          </w:p>
        </w:tc>
      </w:tr>
      <w:bookmarkEnd w:id="1"/>
    </w:tbl>
    <w:p w14:paraId="0646BD75" w14:textId="77777777" w:rsidR="001D103D" w:rsidRPr="00156CD9" w:rsidRDefault="001D103D" w:rsidP="00156CD9">
      <w:pPr>
        <w:pStyle w:val="Style20"/>
        <w:widowControl/>
        <w:spacing w:line="240" w:lineRule="auto"/>
        <w:rPr>
          <w:rFonts w:ascii="Times New Roman" w:hAnsi="Times New Roman" w:cs="Times New Roman"/>
          <w:b/>
        </w:rPr>
      </w:pPr>
    </w:p>
    <w:p w14:paraId="3D0BDEB4" w14:textId="13511B92" w:rsidR="009F5F03" w:rsidRPr="00156CD9" w:rsidRDefault="00EB2FC4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EA1110" w:rsidRPr="00156CD9">
        <w:rPr>
          <w:rFonts w:ascii="Times New Roman" w:hAnsi="Times New Roman" w:cs="Times New Roman"/>
          <w:b/>
        </w:rPr>
        <w:t>2</w:t>
      </w:r>
      <w:r w:rsidR="008527CD" w:rsidRPr="00156CD9">
        <w:rPr>
          <w:rFonts w:ascii="Times New Roman" w:hAnsi="Times New Roman" w:cs="Times New Roman"/>
          <w:b/>
        </w:rPr>
        <w:t>5</w:t>
      </w:r>
    </w:p>
    <w:p w14:paraId="2FCB8A93" w14:textId="15D2F175" w:rsidR="00EA1110" w:rsidRPr="00156CD9" w:rsidRDefault="006553BD" w:rsidP="00156CD9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 xml:space="preserve">Ostali rashodi za zaposlene (AOP153) - iznose 1.329.670 kn i za 421.335 kn </w:t>
      </w:r>
      <w:r w:rsidR="008527CD" w:rsidRPr="00156CD9">
        <w:rPr>
          <w:rFonts w:ascii="Times New Roman" w:hAnsi="Times New Roman" w:cs="Times New Roman"/>
          <w:bCs/>
        </w:rPr>
        <w:t xml:space="preserve">odnosno 46,4% </w:t>
      </w:r>
      <w:r w:rsidRPr="00156CD9">
        <w:rPr>
          <w:rFonts w:ascii="Times New Roman" w:hAnsi="Times New Roman" w:cs="Times New Roman"/>
          <w:bCs/>
        </w:rPr>
        <w:t>su veći u odnosu na 2021. godinu  zbog isplaćenih na</w:t>
      </w:r>
      <w:r w:rsidR="008404E3">
        <w:rPr>
          <w:rFonts w:ascii="Times New Roman" w:hAnsi="Times New Roman" w:cs="Times New Roman"/>
          <w:bCs/>
        </w:rPr>
        <w:t>knada</w:t>
      </w:r>
      <w:r w:rsidRPr="00156CD9">
        <w:rPr>
          <w:rFonts w:ascii="Times New Roman" w:hAnsi="Times New Roman" w:cs="Times New Roman"/>
          <w:bCs/>
        </w:rPr>
        <w:t xml:space="preserve"> zaposlenima te </w:t>
      </w:r>
      <w:r w:rsidR="004A5F24" w:rsidRPr="00156CD9">
        <w:rPr>
          <w:rFonts w:ascii="Times New Roman" w:hAnsi="Times New Roman" w:cs="Times New Roman"/>
          <w:bCs/>
        </w:rPr>
        <w:t xml:space="preserve">više isplaćenih </w:t>
      </w:r>
      <w:r w:rsidRPr="00156CD9">
        <w:rPr>
          <w:rFonts w:ascii="Times New Roman" w:hAnsi="Times New Roman" w:cs="Times New Roman"/>
          <w:bCs/>
        </w:rPr>
        <w:t>otpremnina.</w:t>
      </w:r>
      <w:r w:rsidR="008404E3">
        <w:rPr>
          <w:rFonts w:ascii="Times New Roman" w:hAnsi="Times New Roman" w:cs="Times New Roman"/>
          <w:bCs/>
        </w:rPr>
        <w:t xml:space="preserve"> U 2020. godini zbog bolesti Covid-19 nije isplaćen regres za godišnji odmor.</w:t>
      </w:r>
    </w:p>
    <w:p w14:paraId="60D7597F" w14:textId="22DA7F0B" w:rsidR="000171D0" w:rsidRPr="00156CD9" w:rsidRDefault="000171D0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lastRenderedPageBreak/>
        <w:t xml:space="preserve">BILJEŠKA br. </w:t>
      </w:r>
      <w:r w:rsidR="001F268F" w:rsidRPr="00156CD9">
        <w:rPr>
          <w:rFonts w:ascii="Times New Roman" w:hAnsi="Times New Roman" w:cs="Times New Roman"/>
          <w:b/>
        </w:rPr>
        <w:t>2</w:t>
      </w:r>
      <w:r w:rsidR="008527CD" w:rsidRPr="00156CD9">
        <w:rPr>
          <w:rFonts w:ascii="Times New Roman" w:hAnsi="Times New Roman" w:cs="Times New Roman"/>
          <w:b/>
        </w:rPr>
        <w:t>6</w:t>
      </w:r>
    </w:p>
    <w:p w14:paraId="4091369A" w14:textId="06B8B9DC" w:rsidR="000171D0" w:rsidRPr="00156CD9" w:rsidRDefault="000171D0" w:rsidP="00156CD9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 xml:space="preserve">Usluge telefona, pošte i prijevoza (AOP173) - iznose 8.591.140 kn i evidentiraju najveće povećanje materijalnih rashoda, za 593,0% zbog promjene iskazivanja </w:t>
      </w:r>
      <w:r w:rsidR="005070B7">
        <w:rPr>
          <w:rFonts w:ascii="Times New Roman" w:hAnsi="Times New Roman" w:cs="Times New Roman"/>
          <w:bCs/>
        </w:rPr>
        <w:t xml:space="preserve">naknade za obavljanje javnog gradskog prijevoza </w:t>
      </w:r>
      <w:r w:rsidRPr="00156CD9">
        <w:rPr>
          <w:rFonts w:ascii="Times New Roman" w:hAnsi="Times New Roman" w:cs="Times New Roman"/>
          <w:bCs/>
        </w:rPr>
        <w:t>koji smo u  odnosu na 2020. godinu iskazali kao subvenciju trgovačkim društvima u javnom sektora.</w:t>
      </w:r>
    </w:p>
    <w:p w14:paraId="3171F4A1" w14:textId="695A9F9C" w:rsidR="006553BD" w:rsidRPr="00156CD9" w:rsidRDefault="006553BD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354175EA" w14:textId="4D066010" w:rsidR="007671CE" w:rsidRPr="00156CD9" w:rsidRDefault="007671CE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 2</w:t>
      </w:r>
      <w:r w:rsidR="008527CD" w:rsidRPr="00156CD9">
        <w:rPr>
          <w:rFonts w:ascii="Times New Roman" w:hAnsi="Times New Roman" w:cs="Times New Roman"/>
          <w:b/>
        </w:rPr>
        <w:t>7</w:t>
      </w:r>
    </w:p>
    <w:p w14:paraId="2B5569E6" w14:textId="551163A8" w:rsidR="007671CE" w:rsidRPr="00156CD9" w:rsidRDefault="007671CE" w:rsidP="00156CD9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>Usluge tekućeg i investicijskog održavanja (AOP174) - iznose 8.439.800 kn i smanjene su za 5,3%  ili 475.007 kn</w:t>
      </w:r>
      <w:r w:rsidR="005070B7">
        <w:rPr>
          <w:rFonts w:ascii="Times New Roman" w:hAnsi="Times New Roman" w:cs="Times New Roman"/>
          <w:bCs/>
        </w:rPr>
        <w:t>.</w:t>
      </w:r>
      <w:r w:rsidRPr="00156CD9">
        <w:rPr>
          <w:rFonts w:ascii="Times New Roman" w:hAnsi="Times New Roman" w:cs="Times New Roman"/>
          <w:bCs/>
        </w:rPr>
        <w:t xml:space="preserve"> </w:t>
      </w:r>
      <w:r w:rsidR="0082031A" w:rsidRPr="00156CD9">
        <w:rPr>
          <w:rFonts w:ascii="Times New Roman" w:hAnsi="Times New Roman" w:cs="Times New Roman"/>
          <w:bCs/>
        </w:rPr>
        <w:t xml:space="preserve">Tijekom 2021. godine porast investicijskog održavanja zabilježen je </w:t>
      </w:r>
      <w:r w:rsidR="00084F75">
        <w:rPr>
          <w:rFonts w:ascii="Times New Roman" w:hAnsi="Times New Roman" w:cs="Times New Roman"/>
          <w:bCs/>
        </w:rPr>
        <w:t>u</w:t>
      </w:r>
      <w:r w:rsidR="0082031A" w:rsidRPr="00156CD9">
        <w:rPr>
          <w:rFonts w:ascii="Times New Roman" w:hAnsi="Times New Roman" w:cs="Times New Roman"/>
          <w:bCs/>
        </w:rPr>
        <w:t xml:space="preserve"> OŠ </w:t>
      </w:r>
      <w:proofErr w:type="spellStart"/>
      <w:r w:rsidR="0082031A" w:rsidRPr="00156CD9">
        <w:rPr>
          <w:rFonts w:ascii="Times New Roman" w:hAnsi="Times New Roman" w:cs="Times New Roman"/>
          <w:bCs/>
        </w:rPr>
        <w:t>Giuseppina</w:t>
      </w:r>
      <w:proofErr w:type="spellEnd"/>
      <w:r w:rsidR="0082031A" w:rsidRPr="00156CD9">
        <w:rPr>
          <w:rFonts w:ascii="Times New Roman" w:hAnsi="Times New Roman" w:cs="Times New Roman"/>
          <w:bCs/>
        </w:rPr>
        <w:t xml:space="preserve"> </w:t>
      </w:r>
      <w:proofErr w:type="spellStart"/>
      <w:r w:rsidR="0082031A" w:rsidRPr="00156CD9">
        <w:rPr>
          <w:rFonts w:ascii="Times New Roman" w:hAnsi="Times New Roman" w:cs="Times New Roman"/>
          <w:bCs/>
        </w:rPr>
        <w:t>Martinuzzi</w:t>
      </w:r>
      <w:proofErr w:type="spellEnd"/>
      <w:r w:rsidR="0082031A" w:rsidRPr="00156CD9">
        <w:rPr>
          <w:rFonts w:ascii="Times New Roman" w:hAnsi="Times New Roman" w:cs="Times New Roman"/>
          <w:bCs/>
        </w:rPr>
        <w:t xml:space="preserve">, OŠ Monte Zaro te OŠ </w:t>
      </w:r>
      <w:proofErr w:type="spellStart"/>
      <w:r w:rsidR="0082031A" w:rsidRPr="00156CD9">
        <w:rPr>
          <w:rFonts w:ascii="Times New Roman" w:hAnsi="Times New Roman" w:cs="Times New Roman"/>
          <w:bCs/>
        </w:rPr>
        <w:t>Stoja</w:t>
      </w:r>
      <w:proofErr w:type="spellEnd"/>
      <w:r w:rsidR="0082031A" w:rsidRPr="00156CD9">
        <w:rPr>
          <w:rFonts w:ascii="Times New Roman" w:hAnsi="Times New Roman" w:cs="Times New Roman"/>
          <w:bCs/>
        </w:rPr>
        <w:t xml:space="preserve"> dok je značajnije smanjenje rashoda investicijskog održavanja evidentirano na objektima u vlasništvu Grada koji su se odrazili na sveukupno smanjenje rashoda u ovom odjeljku.</w:t>
      </w:r>
    </w:p>
    <w:p w14:paraId="5D62EB74" w14:textId="77777777" w:rsidR="0082477C" w:rsidRPr="00156CD9" w:rsidRDefault="0082477C" w:rsidP="00156C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9E397D" w14:textId="00500DD6" w:rsidR="0082477C" w:rsidRPr="00156CD9" w:rsidRDefault="0082477C" w:rsidP="00156C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BILJEŠKA br. 2</w:t>
      </w:r>
      <w:r w:rsidR="008527CD" w:rsidRPr="00156C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</w:p>
    <w:p w14:paraId="3B9F3B54" w14:textId="4EDACF6B" w:rsidR="0082477C" w:rsidRPr="00156CD9" w:rsidRDefault="0082477C" w:rsidP="00156CD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Usluge promidžbe i informiranja (AOP175)  -  iznose 2.876.402 kn, smanjene su za 17,6% u odnosu na 2020. godinu </w:t>
      </w:r>
      <w:r w:rsidR="00C40974" w:rsidRPr="00156CD9">
        <w:rPr>
          <w:rFonts w:ascii="Times New Roman" w:hAnsi="Times New Roman" w:cs="Times New Roman"/>
          <w:sz w:val="24"/>
          <w:szCs w:val="24"/>
        </w:rPr>
        <w:t>zbog manj</w:t>
      </w:r>
      <w:r w:rsidR="0048521E">
        <w:rPr>
          <w:rFonts w:ascii="Times New Roman" w:hAnsi="Times New Roman" w:cs="Times New Roman"/>
          <w:sz w:val="24"/>
          <w:szCs w:val="24"/>
        </w:rPr>
        <w:t xml:space="preserve">ih </w:t>
      </w:r>
      <w:r w:rsidR="00C40974" w:rsidRPr="00156CD9">
        <w:rPr>
          <w:rFonts w:ascii="Times New Roman" w:hAnsi="Times New Roman" w:cs="Times New Roman"/>
          <w:sz w:val="24"/>
          <w:szCs w:val="24"/>
        </w:rPr>
        <w:t>promidžbeni</w:t>
      </w:r>
      <w:r w:rsidR="0048521E">
        <w:rPr>
          <w:rFonts w:ascii="Times New Roman" w:hAnsi="Times New Roman" w:cs="Times New Roman"/>
          <w:sz w:val="24"/>
          <w:szCs w:val="24"/>
        </w:rPr>
        <w:t>h</w:t>
      </w:r>
      <w:r w:rsidR="00C40974" w:rsidRPr="00156CD9">
        <w:rPr>
          <w:rFonts w:ascii="Times New Roman" w:hAnsi="Times New Roman" w:cs="Times New Roman"/>
          <w:sz w:val="24"/>
          <w:szCs w:val="24"/>
        </w:rPr>
        <w:t xml:space="preserve"> i informativni</w:t>
      </w:r>
      <w:r w:rsidR="0048521E">
        <w:rPr>
          <w:rFonts w:ascii="Times New Roman" w:hAnsi="Times New Roman" w:cs="Times New Roman"/>
          <w:sz w:val="24"/>
          <w:szCs w:val="24"/>
        </w:rPr>
        <w:t>h</w:t>
      </w:r>
      <w:r w:rsidR="00C40974" w:rsidRPr="00156CD9">
        <w:rPr>
          <w:rFonts w:ascii="Times New Roman" w:hAnsi="Times New Roman" w:cs="Times New Roman"/>
          <w:sz w:val="24"/>
          <w:szCs w:val="24"/>
        </w:rPr>
        <w:t xml:space="preserve"> aktivnost</w:t>
      </w:r>
      <w:r w:rsidR="0048521E">
        <w:rPr>
          <w:rFonts w:ascii="Times New Roman" w:hAnsi="Times New Roman" w:cs="Times New Roman"/>
          <w:sz w:val="24"/>
          <w:szCs w:val="24"/>
        </w:rPr>
        <w:t>i</w:t>
      </w:r>
      <w:r w:rsidR="008527CD" w:rsidRPr="00156CD9">
        <w:rPr>
          <w:rFonts w:ascii="Times New Roman" w:hAnsi="Times New Roman" w:cs="Times New Roman"/>
          <w:sz w:val="24"/>
          <w:szCs w:val="24"/>
        </w:rPr>
        <w:t>.</w:t>
      </w:r>
    </w:p>
    <w:p w14:paraId="51D97E24" w14:textId="1FC902D2" w:rsidR="00C1230B" w:rsidRPr="00156CD9" w:rsidRDefault="00C1230B" w:rsidP="00156CD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A2697" w14:textId="2D0C84DF" w:rsidR="00C1230B" w:rsidRPr="00156CD9" w:rsidRDefault="00C1230B" w:rsidP="00156C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BILJEŠKA br. 2</w:t>
      </w:r>
      <w:r w:rsidR="008527CD" w:rsidRPr="00156C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</w:p>
    <w:p w14:paraId="7D7E00A9" w14:textId="1E6689F9" w:rsidR="00C1230B" w:rsidRPr="00156CD9" w:rsidRDefault="00C1230B" w:rsidP="00156CD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CD9">
        <w:rPr>
          <w:rFonts w:ascii="Times New Roman" w:hAnsi="Times New Roman" w:cs="Times New Roman"/>
          <w:bCs/>
          <w:sz w:val="24"/>
          <w:szCs w:val="24"/>
        </w:rPr>
        <w:t xml:space="preserve">Komunalne usluge (AOP176) </w:t>
      </w:r>
      <w:r w:rsidR="00080737" w:rsidRPr="00156CD9">
        <w:rPr>
          <w:rFonts w:ascii="Times New Roman" w:hAnsi="Times New Roman" w:cs="Times New Roman"/>
          <w:bCs/>
          <w:sz w:val="24"/>
          <w:szCs w:val="24"/>
        </w:rPr>
        <w:t>-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iznose 47.059.881 kn i smanjene su za </w:t>
      </w:r>
      <w:r w:rsidR="00080737" w:rsidRPr="00156CD9">
        <w:rPr>
          <w:rFonts w:ascii="Times New Roman" w:hAnsi="Times New Roman" w:cs="Times New Roman"/>
          <w:bCs/>
          <w:sz w:val="24"/>
          <w:szCs w:val="24"/>
        </w:rPr>
        <w:t>1.056.700 kn</w:t>
      </w:r>
      <w:r w:rsidR="00A414E0" w:rsidRPr="00156CD9">
        <w:rPr>
          <w:rFonts w:ascii="Times New Roman" w:hAnsi="Times New Roman" w:cs="Times New Roman"/>
          <w:bCs/>
          <w:sz w:val="24"/>
          <w:szCs w:val="24"/>
        </w:rPr>
        <w:t>. Najznačajnije smanjenje komunalnih usluga</w:t>
      </w:r>
      <w:r w:rsidR="00BB4887" w:rsidRPr="00156C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4E0" w:rsidRPr="00156CD9">
        <w:rPr>
          <w:rFonts w:ascii="Times New Roman" w:hAnsi="Times New Roman" w:cs="Times New Roman"/>
          <w:bCs/>
          <w:sz w:val="24"/>
          <w:szCs w:val="24"/>
        </w:rPr>
        <w:t>evidentirano je kod održavanj</w:t>
      </w:r>
      <w:r w:rsidR="00BB4887" w:rsidRPr="00156CD9">
        <w:rPr>
          <w:rFonts w:ascii="Times New Roman" w:hAnsi="Times New Roman" w:cs="Times New Roman"/>
          <w:bCs/>
          <w:sz w:val="24"/>
          <w:szCs w:val="24"/>
        </w:rPr>
        <w:t>a</w:t>
      </w:r>
      <w:r w:rsidR="00A414E0" w:rsidRPr="00156CD9">
        <w:rPr>
          <w:rFonts w:ascii="Times New Roman" w:hAnsi="Times New Roman" w:cs="Times New Roman"/>
          <w:bCs/>
          <w:sz w:val="24"/>
          <w:szCs w:val="24"/>
        </w:rPr>
        <w:t xml:space="preserve"> javne rasvjete</w:t>
      </w:r>
      <w:r w:rsidR="00BB4887" w:rsidRPr="00156CD9">
        <w:rPr>
          <w:rFonts w:ascii="Times New Roman" w:hAnsi="Times New Roman" w:cs="Times New Roman"/>
          <w:bCs/>
          <w:sz w:val="24"/>
          <w:szCs w:val="24"/>
        </w:rPr>
        <w:t xml:space="preserve"> i kod </w:t>
      </w:r>
      <w:r w:rsidR="00A414E0" w:rsidRPr="00156CD9">
        <w:rPr>
          <w:rFonts w:ascii="Times New Roman" w:hAnsi="Times New Roman" w:cs="Times New Roman"/>
          <w:bCs/>
          <w:sz w:val="24"/>
          <w:szCs w:val="24"/>
        </w:rPr>
        <w:t>održavanj</w:t>
      </w:r>
      <w:r w:rsidR="00BB4887" w:rsidRPr="00156CD9">
        <w:rPr>
          <w:rFonts w:ascii="Times New Roman" w:hAnsi="Times New Roman" w:cs="Times New Roman"/>
          <w:bCs/>
          <w:sz w:val="24"/>
          <w:szCs w:val="24"/>
        </w:rPr>
        <w:t>a</w:t>
      </w:r>
      <w:r w:rsidR="00A414E0" w:rsidRPr="00156CD9">
        <w:rPr>
          <w:rFonts w:ascii="Times New Roman" w:hAnsi="Times New Roman" w:cs="Times New Roman"/>
          <w:bCs/>
          <w:sz w:val="24"/>
          <w:szCs w:val="24"/>
        </w:rPr>
        <w:t xml:space="preserve"> građevina javne odvodnje oborinskih voda</w:t>
      </w:r>
      <w:r w:rsidR="00BB4887" w:rsidRPr="00156C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20C097" w14:textId="7D8940AF" w:rsidR="007671CE" w:rsidRPr="00156CD9" w:rsidRDefault="007671CE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7756A092" w14:textId="7B9801F7" w:rsidR="00EA1110" w:rsidRPr="00156CD9" w:rsidRDefault="00EA1110" w:rsidP="00156C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BILJEŠKA br.</w:t>
      </w:r>
      <w:r w:rsidR="002C2A95" w:rsidRPr="00156C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527CD" w:rsidRPr="00156C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</w:t>
      </w:r>
    </w:p>
    <w:p w14:paraId="5BEDD37F" w14:textId="51A333CA" w:rsidR="00BB4887" w:rsidRPr="00156CD9" w:rsidRDefault="00BB4887" w:rsidP="00156CD9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Zdravstvene i veterinarske usluge (AOP178) - iznose 559.992 kn, smanjene su za 14,5% u odnosu na 2020. godinu kada je bilo veće izdvajanje za </w:t>
      </w:r>
      <w:r w:rsidR="005070B7">
        <w:rPr>
          <w:rFonts w:ascii="Times New Roman" w:hAnsi="Times New Roman" w:cs="Times New Roman"/>
          <w:sz w:val="24"/>
          <w:szCs w:val="24"/>
        </w:rPr>
        <w:t xml:space="preserve">sklonište za </w:t>
      </w:r>
      <w:r w:rsidRPr="00156CD9">
        <w:rPr>
          <w:rFonts w:ascii="Times New Roman" w:hAnsi="Times New Roman" w:cs="Times New Roman"/>
          <w:sz w:val="24"/>
          <w:szCs w:val="24"/>
        </w:rPr>
        <w:t xml:space="preserve">napuštene životinje te </w:t>
      </w:r>
      <w:r w:rsidR="008404E3">
        <w:rPr>
          <w:rFonts w:ascii="Times New Roman" w:hAnsi="Times New Roman" w:cs="Times New Roman"/>
          <w:sz w:val="24"/>
          <w:szCs w:val="24"/>
        </w:rPr>
        <w:t xml:space="preserve">veća izdvajanja za </w:t>
      </w:r>
      <w:r w:rsidR="00B43D54" w:rsidRPr="00156CD9">
        <w:rPr>
          <w:rFonts w:ascii="Times New Roman" w:hAnsi="Times New Roman" w:cs="Times New Roman"/>
          <w:sz w:val="24"/>
          <w:szCs w:val="24"/>
        </w:rPr>
        <w:t>provođenj</w:t>
      </w:r>
      <w:r w:rsidR="008404E3">
        <w:rPr>
          <w:rFonts w:ascii="Times New Roman" w:hAnsi="Times New Roman" w:cs="Times New Roman"/>
          <w:sz w:val="24"/>
          <w:szCs w:val="24"/>
        </w:rPr>
        <w:t>e</w:t>
      </w:r>
      <w:r w:rsidRPr="00156CD9">
        <w:rPr>
          <w:rFonts w:ascii="Times New Roman" w:hAnsi="Times New Roman" w:cs="Times New Roman"/>
          <w:sz w:val="24"/>
          <w:szCs w:val="24"/>
        </w:rPr>
        <w:t xml:space="preserve"> projekta za kontrolu suzbijanja populacije galeba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Klaukavca</w:t>
      </w:r>
      <w:proofErr w:type="spellEnd"/>
      <w:r w:rsidR="002C2A95" w:rsidRPr="00156CD9">
        <w:rPr>
          <w:rFonts w:ascii="Times New Roman" w:hAnsi="Times New Roman" w:cs="Times New Roman"/>
          <w:sz w:val="24"/>
          <w:szCs w:val="24"/>
        </w:rPr>
        <w:t>.</w:t>
      </w:r>
    </w:p>
    <w:p w14:paraId="573905AD" w14:textId="419BA387" w:rsidR="00BB4887" w:rsidRPr="00156CD9" w:rsidRDefault="00BB4887" w:rsidP="00156C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4E3C85" w14:textId="1F4C4C0B" w:rsidR="002C2A95" w:rsidRPr="00156CD9" w:rsidRDefault="002C2A95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 3</w:t>
      </w:r>
      <w:r w:rsidR="008527CD" w:rsidRPr="00156CD9">
        <w:rPr>
          <w:rFonts w:ascii="Times New Roman" w:hAnsi="Times New Roman" w:cs="Times New Roman"/>
          <w:b/>
        </w:rPr>
        <w:t>1</w:t>
      </w:r>
    </w:p>
    <w:p w14:paraId="0374AA30" w14:textId="4318A800" w:rsidR="002C2A95" w:rsidRPr="00156CD9" w:rsidRDefault="002C2A95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Ostale usluge (AOP181) - iznose 2.504.792 kn i veće su za 11,7% zbog većih rashoda za usluge tehničke i tjelesne zaštite u odnosu na isto razdoblje 2020. godine te većih rashoda za naknadu u visini od 1% od ukupno naplaćenih prihoda za troškove obavljanja poslova utvrđivanja, evidentiranja, naplate, nadzora i ovrhe poreza na dohodak koju </w:t>
      </w:r>
      <w:r w:rsidR="00523F62">
        <w:rPr>
          <w:rFonts w:ascii="Times New Roman" w:hAnsi="Times New Roman" w:cs="Times New Roman"/>
          <w:sz w:val="24"/>
          <w:szCs w:val="24"/>
        </w:rPr>
        <w:t>naplaćuje</w:t>
      </w:r>
      <w:r w:rsidRPr="00156CD9">
        <w:rPr>
          <w:rFonts w:ascii="Times New Roman" w:hAnsi="Times New Roman" w:cs="Times New Roman"/>
          <w:sz w:val="24"/>
          <w:szCs w:val="24"/>
        </w:rPr>
        <w:t xml:space="preserve"> Porezn</w:t>
      </w:r>
      <w:r w:rsidR="00523F62">
        <w:rPr>
          <w:rFonts w:ascii="Times New Roman" w:hAnsi="Times New Roman" w:cs="Times New Roman"/>
          <w:sz w:val="24"/>
          <w:szCs w:val="24"/>
        </w:rPr>
        <w:t>a</w:t>
      </w:r>
      <w:r w:rsidRPr="00156CD9">
        <w:rPr>
          <w:rFonts w:ascii="Times New Roman" w:hAnsi="Times New Roman" w:cs="Times New Roman"/>
          <w:sz w:val="24"/>
          <w:szCs w:val="24"/>
        </w:rPr>
        <w:t xml:space="preserve"> uprav</w:t>
      </w:r>
      <w:r w:rsidR="00523F62">
        <w:rPr>
          <w:rFonts w:ascii="Times New Roman" w:hAnsi="Times New Roman" w:cs="Times New Roman"/>
          <w:sz w:val="24"/>
          <w:szCs w:val="24"/>
        </w:rPr>
        <w:t>a</w:t>
      </w:r>
      <w:r w:rsidRPr="00156CD9">
        <w:rPr>
          <w:rFonts w:ascii="Times New Roman" w:hAnsi="Times New Roman" w:cs="Times New Roman"/>
          <w:sz w:val="24"/>
          <w:szCs w:val="24"/>
        </w:rPr>
        <w:t>.</w:t>
      </w:r>
    </w:p>
    <w:p w14:paraId="67D83C7A" w14:textId="77777777" w:rsidR="00134F6F" w:rsidRPr="00156CD9" w:rsidRDefault="00134F6F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41FD3A57" w14:textId="274D26A6" w:rsidR="00134F6F" w:rsidRPr="00156CD9" w:rsidRDefault="00134F6F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 3</w:t>
      </w:r>
      <w:r w:rsidR="00A27348" w:rsidRPr="00156CD9">
        <w:rPr>
          <w:rFonts w:ascii="Times New Roman" w:hAnsi="Times New Roman" w:cs="Times New Roman"/>
          <w:b/>
        </w:rPr>
        <w:t>2</w:t>
      </w:r>
    </w:p>
    <w:p w14:paraId="2AB3FE4A" w14:textId="78D7AE22" w:rsidR="00134F6F" w:rsidRPr="00156CD9" w:rsidRDefault="00134F6F" w:rsidP="00156CD9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 xml:space="preserve">Reprezentacija (AOP186) </w:t>
      </w:r>
      <w:r w:rsidR="00507294" w:rsidRPr="00156CD9">
        <w:rPr>
          <w:rFonts w:ascii="Times New Roman" w:hAnsi="Times New Roman" w:cs="Times New Roman"/>
          <w:bCs/>
        </w:rPr>
        <w:t>-</w:t>
      </w:r>
      <w:r w:rsidRPr="00156CD9">
        <w:rPr>
          <w:rFonts w:ascii="Times New Roman" w:hAnsi="Times New Roman" w:cs="Times New Roman"/>
          <w:bCs/>
        </w:rPr>
        <w:t xml:space="preserve"> iznosi 114.245 kn </w:t>
      </w:r>
      <w:r w:rsidR="00507294" w:rsidRPr="00156CD9">
        <w:rPr>
          <w:rFonts w:ascii="Times New Roman" w:hAnsi="Times New Roman" w:cs="Times New Roman"/>
          <w:bCs/>
        </w:rPr>
        <w:t xml:space="preserve">i za 35.580 kn ili </w:t>
      </w:r>
      <w:r w:rsidRPr="00156CD9">
        <w:rPr>
          <w:rFonts w:ascii="Times New Roman" w:hAnsi="Times New Roman" w:cs="Times New Roman"/>
          <w:bCs/>
        </w:rPr>
        <w:t>45,2%</w:t>
      </w:r>
      <w:r w:rsidR="00507294" w:rsidRPr="00156CD9">
        <w:rPr>
          <w:rFonts w:ascii="Times New Roman" w:hAnsi="Times New Roman" w:cs="Times New Roman"/>
          <w:bCs/>
        </w:rPr>
        <w:t xml:space="preserve"> je utrošeno više nego 2020. godine. Mjesni odbori i vijeća nacionalnih manjina evidentiraju veće rashode reprezentacije za 21.099 kn, a Grad za 14.481 kn.</w:t>
      </w:r>
    </w:p>
    <w:p w14:paraId="2E955A87" w14:textId="77777777" w:rsidR="00A27348" w:rsidRPr="00156CD9" w:rsidRDefault="00A27348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53387131" w14:textId="4469EC27" w:rsidR="00A27348" w:rsidRPr="00156CD9" w:rsidRDefault="00A27348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 33</w:t>
      </w:r>
    </w:p>
    <w:p w14:paraId="4C06BC99" w14:textId="25018070" w:rsidR="003358B1" w:rsidRPr="00156CD9" w:rsidRDefault="00A27348" w:rsidP="00156C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Pristojbe i naknade (AOP188) - iznose 290.073 kn, smanjene su za 41,8% u odnosu na 2020. godinu </w:t>
      </w:r>
      <w:r w:rsidRPr="00156CD9">
        <w:rPr>
          <w:rFonts w:ascii="Times New Roman" w:hAnsi="Times New Roman" w:cs="Times New Roman"/>
          <w:color w:val="000000"/>
          <w:sz w:val="24"/>
          <w:szCs w:val="24"/>
        </w:rPr>
        <w:t xml:space="preserve">zbog </w:t>
      </w:r>
      <w:r w:rsidR="00523F62">
        <w:rPr>
          <w:rFonts w:ascii="Times New Roman" w:hAnsi="Times New Roman" w:cs="Times New Roman"/>
          <w:color w:val="000000"/>
          <w:sz w:val="24"/>
          <w:szCs w:val="24"/>
        </w:rPr>
        <w:t>manjih rashoda</w:t>
      </w:r>
      <w:r w:rsidRPr="00156CD9">
        <w:rPr>
          <w:rFonts w:ascii="Times New Roman" w:hAnsi="Times New Roman" w:cs="Times New Roman"/>
          <w:color w:val="000000"/>
          <w:sz w:val="24"/>
          <w:szCs w:val="24"/>
        </w:rPr>
        <w:t xml:space="preserve"> javnobilježničkih naknada, predujmova za provođenje ovršnih rješenja i parničnih troškova sukladno rješenjima suda</w:t>
      </w:r>
      <w:r w:rsidR="00523F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59DADF" w14:textId="77777777" w:rsidR="00A27348" w:rsidRPr="00156CD9" w:rsidRDefault="00A27348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3AD5E1C1" w14:textId="32BEB606" w:rsidR="00E8255C" w:rsidRPr="00156CD9" w:rsidRDefault="00E8255C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lastRenderedPageBreak/>
        <w:t xml:space="preserve">BILJEŠKA br. </w:t>
      </w:r>
      <w:r w:rsidR="003358B1" w:rsidRPr="00156CD9">
        <w:rPr>
          <w:rFonts w:ascii="Times New Roman" w:hAnsi="Times New Roman" w:cs="Times New Roman"/>
          <w:b/>
        </w:rPr>
        <w:t>3</w:t>
      </w:r>
      <w:r w:rsidR="00507294" w:rsidRPr="00156CD9">
        <w:rPr>
          <w:rFonts w:ascii="Times New Roman" w:hAnsi="Times New Roman" w:cs="Times New Roman"/>
          <w:b/>
        </w:rPr>
        <w:t>4</w:t>
      </w:r>
    </w:p>
    <w:p w14:paraId="03F7CE43" w14:textId="55E65EC0" w:rsidR="003E54AB" w:rsidRPr="00156CD9" w:rsidRDefault="003E54AB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Ostali nespomenuti rashodi poslovanja (AOP190) - iznose </w:t>
      </w:r>
      <w:r w:rsidR="008527CD" w:rsidRPr="00156CD9">
        <w:rPr>
          <w:rFonts w:ascii="Times New Roman" w:hAnsi="Times New Roman" w:cs="Times New Roman"/>
          <w:sz w:val="24"/>
          <w:szCs w:val="24"/>
        </w:rPr>
        <w:t>5</w:t>
      </w:r>
      <w:r w:rsidRPr="00156CD9">
        <w:rPr>
          <w:rFonts w:ascii="Times New Roman" w:hAnsi="Times New Roman" w:cs="Times New Roman"/>
          <w:sz w:val="24"/>
          <w:szCs w:val="24"/>
        </w:rPr>
        <w:t>.761.974 kn i povećani su za 17,5% u odnosu na 2020. godinu</w:t>
      </w:r>
      <w:r w:rsidR="009D3DC1" w:rsidRPr="00156CD9">
        <w:rPr>
          <w:rFonts w:ascii="Times New Roman" w:hAnsi="Times New Roman" w:cs="Times New Roman"/>
          <w:sz w:val="24"/>
          <w:szCs w:val="24"/>
        </w:rPr>
        <w:t xml:space="preserve"> zbog naknade troškova izborne promidžbe, naknada biračkih odbora te ostalih rashoda vezanih za provođenje izbora jedinic</w:t>
      </w:r>
      <w:r w:rsidR="00523F62">
        <w:rPr>
          <w:rFonts w:ascii="Times New Roman" w:hAnsi="Times New Roman" w:cs="Times New Roman"/>
          <w:sz w:val="24"/>
          <w:szCs w:val="24"/>
        </w:rPr>
        <w:t>e</w:t>
      </w:r>
      <w:r w:rsidR="009D3DC1" w:rsidRPr="00156CD9">
        <w:rPr>
          <w:rFonts w:ascii="Times New Roman" w:hAnsi="Times New Roman" w:cs="Times New Roman"/>
          <w:sz w:val="24"/>
          <w:szCs w:val="24"/>
        </w:rPr>
        <w:t xml:space="preserve"> lokalne samouprave.</w:t>
      </w:r>
    </w:p>
    <w:p w14:paraId="5B1FDE02" w14:textId="77777777" w:rsidR="002312C1" w:rsidRPr="00156CD9" w:rsidRDefault="002312C1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40420AEC" w14:textId="0C62D6F8" w:rsidR="003358B1" w:rsidRPr="00156CD9" w:rsidRDefault="002312C1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</w:t>
      </w:r>
      <w:r w:rsidR="00EB2FC4" w:rsidRPr="00156CD9">
        <w:rPr>
          <w:rFonts w:ascii="Times New Roman" w:hAnsi="Times New Roman" w:cs="Times New Roman"/>
          <w:b/>
        </w:rPr>
        <w:t xml:space="preserve">A br. </w:t>
      </w:r>
      <w:r w:rsidR="003358B1" w:rsidRPr="00156CD9">
        <w:rPr>
          <w:rFonts w:ascii="Times New Roman" w:hAnsi="Times New Roman" w:cs="Times New Roman"/>
          <w:b/>
        </w:rPr>
        <w:t>3</w:t>
      </w:r>
      <w:r w:rsidR="00507294" w:rsidRPr="00156CD9">
        <w:rPr>
          <w:rFonts w:ascii="Times New Roman" w:hAnsi="Times New Roman" w:cs="Times New Roman"/>
          <w:b/>
        </w:rPr>
        <w:t>5</w:t>
      </w:r>
    </w:p>
    <w:p w14:paraId="40A9C5B8" w14:textId="77777777" w:rsidR="003358B1" w:rsidRPr="00156CD9" w:rsidRDefault="003358B1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Materijalni rashodi koji bilježe značajno povećanje ili smanjenje u postotnom iznosu, a nisu komentirani, nisu vrijednosno značajni.</w:t>
      </w:r>
    </w:p>
    <w:p w14:paraId="1C96E892" w14:textId="6464DADD" w:rsidR="003358B1" w:rsidRPr="00156CD9" w:rsidRDefault="003358B1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0C2D4879" w14:textId="3E586534" w:rsidR="003358B1" w:rsidRPr="00156CD9" w:rsidRDefault="003358B1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735A34" w:rsidRPr="00156CD9">
        <w:rPr>
          <w:rFonts w:ascii="Times New Roman" w:hAnsi="Times New Roman" w:cs="Times New Roman"/>
          <w:b/>
        </w:rPr>
        <w:t>3</w:t>
      </w:r>
      <w:r w:rsidR="00507294" w:rsidRPr="00156CD9">
        <w:rPr>
          <w:rFonts w:ascii="Times New Roman" w:hAnsi="Times New Roman" w:cs="Times New Roman"/>
          <w:b/>
        </w:rPr>
        <w:t>6</w:t>
      </w:r>
    </w:p>
    <w:p w14:paraId="120DD160" w14:textId="0CDE77FD" w:rsidR="00735A34" w:rsidRPr="00156CD9" w:rsidRDefault="00735A34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Kamate za primljene kredite i zajmove (AOP200) - utrošen je iznos od 851.893 kn,</w:t>
      </w:r>
      <w:r w:rsidR="00A27348" w:rsidRPr="00156CD9">
        <w:rPr>
          <w:rFonts w:ascii="Times New Roman" w:hAnsi="Times New Roman" w:cs="Times New Roman"/>
          <w:sz w:val="24"/>
          <w:szCs w:val="24"/>
        </w:rPr>
        <w:t xml:space="preserve"> a</w:t>
      </w:r>
      <w:r w:rsidRPr="00156CD9">
        <w:rPr>
          <w:rFonts w:ascii="Times New Roman" w:hAnsi="Times New Roman" w:cs="Times New Roman"/>
          <w:sz w:val="24"/>
          <w:szCs w:val="24"/>
        </w:rPr>
        <w:t xml:space="preserve"> odnose se na rashode za kamate po kreditu za izgradnju OŠ Veli Vrh (I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 xml:space="preserve"> II faza)</w:t>
      </w:r>
      <w:r w:rsidR="00A27348" w:rsidRPr="00156CD9">
        <w:rPr>
          <w:rFonts w:ascii="Times New Roman" w:hAnsi="Times New Roman" w:cs="Times New Roman"/>
          <w:sz w:val="24"/>
          <w:szCs w:val="24"/>
        </w:rPr>
        <w:t>. S</w:t>
      </w:r>
      <w:r w:rsidRPr="00156CD9">
        <w:rPr>
          <w:rFonts w:ascii="Times New Roman" w:hAnsi="Times New Roman" w:cs="Times New Roman"/>
          <w:sz w:val="24"/>
          <w:szCs w:val="24"/>
        </w:rPr>
        <w:t>manjene su iz razloga što su otplatom smanjene glavnice kredita</w:t>
      </w:r>
      <w:r w:rsidR="00A27348" w:rsidRPr="00156CD9">
        <w:rPr>
          <w:rFonts w:ascii="Times New Roman" w:hAnsi="Times New Roman" w:cs="Times New Roman"/>
          <w:sz w:val="24"/>
          <w:szCs w:val="24"/>
        </w:rPr>
        <w:t xml:space="preserve"> te je došlo do smanjenja kamatnih stopa po </w:t>
      </w:r>
      <w:r w:rsidR="008404E3">
        <w:rPr>
          <w:rFonts w:ascii="Times New Roman" w:hAnsi="Times New Roman" w:cs="Times New Roman"/>
          <w:sz w:val="24"/>
          <w:szCs w:val="24"/>
        </w:rPr>
        <w:t>oba</w:t>
      </w:r>
      <w:r w:rsidR="00A27348" w:rsidRPr="00156CD9">
        <w:rPr>
          <w:rFonts w:ascii="Times New Roman" w:hAnsi="Times New Roman" w:cs="Times New Roman"/>
          <w:sz w:val="24"/>
          <w:szCs w:val="24"/>
        </w:rPr>
        <w:t xml:space="preserve"> kredita u zadnjem kvartalu 2021. godine.</w:t>
      </w:r>
    </w:p>
    <w:p w14:paraId="69257BDE" w14:textId="77777777" w:rsidR="00735A34" w:rsidRPr="00156CD9" w:rsidRDefault="00735A34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7D7A6" w14:textId="1254DFFB" w:rsidR="00803D2E" w:rsidRPr="00156CD9" w:rsidRDefault="00EB2FC4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8E0FA0" w:rsidRPr="00156CD9">
        <w:rPr>
          <w:rFonts w:ascii="Times New Roman" w:hAnsi="Times New Roman" w:cs="Times New Roman"/>
          <w:b/>
        </w:rPr>
        <w:t>3</w:t>
      </w:r>
      <w:r w:rsidR="00507294" w:rsidRPr="00156CD9">
        <w:rPr>
          <w:rFonts w:ascii="Times New Roman" w:hAnsi="Times New Roman" w:cs="Times New Roman"/>
          <w:b/>
        </w:rPr>
        <w:t>7</w:t>
      </w:r>
    </w:p>
    <w:p w14:paraId="65F52490" w14:textId="0BB57DBA" w:rsidR="00EB15A3" w:rsidRPr="00156CD9" w:rsidRDefault="00EB15A3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3845446"/>
      <w:r w:rsidRPr="00156CD9">
        <w:rPr>
          <w:rFonts w:ascii="Times New Roman" w:hAnsi="Times New Roman" w:cs="Times New Roman"/>
          <w:sz w:val="24"/>
          <w:szCs w:val="24"/>
        </w:rPr>
        <w:t>Subvencije trgovačkim društvima u javnom sektoru (AOP213) - iznose 370.000 kn i bilježe smanjenje od 95,2% što je objašnjeno u bilješci broj 2</w:t>
      </w:r>
      <w:r w:rsidR="00A27348" w:rsidRPr="00156CD9">
        <w:rPr>
          <w:rFonts w:ascii="Times New Roman" w:hAnsi="Times New Roman" w:cs="Times New Roman"/>
          <w:sz w:val="24"/>
          <w:szCs w:val="24"/>
        </w:rPr>
        <w:t>6</w:t>
      </w:r>
      <w:r w:rsidRPr="00156CD9">
        <w:rPr>
          <w:rFonts w:ascii="Times New Roman" w:hAnsi="Times New Roman" w:cs="Times New Roman"/>
          <w:sz w:val="24"/>
          <w:szCs w:val="24"/>
        </w:rPr>
        <w:t xml:space="preserve"> (AOP173).</w:t>
      </w:r>
    </w:p>
    <w:p w14:paraId="20BF0B47" w14:textId="77777777" w:rsidR="00E712C6" w:rsidRPr="00156CD9" w:rsidRDefault="00E712C6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6DFA495F" w14:textId="7D7B3063" w:rsidR="00921012" w:rsidRPr="00156CD9" w:rsidRDefault="00921012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 3</w:t>
      </w:r>
      <w:r w:rsidR="00A27348" w:rsidRPr="00156CD9">
        <w:rPr>
          <w:rFonts w:ascii="Times New Roman" w:hAnsi="Times New Roman" w:cs="Times New Roman"/>
          <w:b/>
        </w:rPr>
        <w:t>8</w:t>
      </w:r>
    </w:p>
    <w:p w14:paraId="36C3E7E9" w14:textId="014B0BCF" w:rsidR="00455238" w:rsidRPr="00156CD9" w:rsidRDefault="00455238" w:rsidP="00156C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CD9">
        <w:rPr>
          <w:rFonts w:ascii="Times New Roman" w:hAnsi="Times New Roman" w:cs="Times New Roman"/>
          <w:bCs/>
          <w:sz w:val="24"/>
          <w:szCs w:val="24"/>
        </w:rPr>
        <w:t>Subvencije trgovačkim društvima i zadrugama izvan javnog sektora (AOP216)</w:t>
      </w:r>
      <w:r w:rsidRPr="00156CD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56CD9">
        <w:rPr>
          <w:rFonts w:ascii="Times New Roman" w:hAnsi="Times New Roman"/>
          <w:noProof/>
          <w:sz w:val="24"/>
          <w:szCs w:val="24"/>
        </w:rPr>
        <w:t xml:space="preserve">iznose 9.984.333 kn, a odnose se na </w:t>
      </w:r>
      <w:r w:rsidRPr="00156CD9">
        <w:rPr>
          <w:rFonts w:ascii="Times New Roman" w:hAnsi="Times New Roman" w:cs="Times New Roman"/>
          <w:noProof/>
          <w:sz w:val="24"/>
          <w:szCs w:val="24"/>
        </w:rPr>
        <w:t>sufinanciranje programa i projekata od interesa za opće dobro. Evidentirano je povećanje rashoda sufinanciranja redovitih programa za djecu smještenu u predškolske ustanove drugih osnivača te većeg broja</w:t>
      </w:r>
      <w:r w:rsidRPr="00156CD9">
        <w:rPr>
          <w:noProof/>
          <w:sz w:val="24"/>
          <w:szCs w:val="24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hr-HR"/>
        </w:rPr>
        <w:t>subvencija kamata na kredite po kreditnim linijama.</w:t>
      </w:r>
    </w:p>
    <w:bookmarkEnd w:id="3"/>
    <w:p w14:paraId="7D3CDC9F" w14:textId="77777777" w:rsidR="00154763" w:rsidRDefault="00154763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523D76E2" w14:textId="00DEC51F" w:rsidR="00D55537" w:rsidRPr="00156CD9" w:rsidRDefault="00D55537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 3</w:t>
      </w:r>
      <w:r w:rsidR="00A27348" w:rsidRPr="00156CD9">
        <w:rPr>
          <w:rFonts w:ascii="Times New Roman" w:hAnsi="Times New Roman" w:cs="Times New Roman"/>
          <w:b/>
        </w:rPr>
        <w:t>9</w:t>
      </w:r>
    </w:p>
    <w:p w14:paraId="60C27258" w14:textId="207AC3B0" w:rsidR="00156BC6" w:rsidRPr="00156CD9" w:rsidRDefault="00E96D4F" w:rsidP="00156CD9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 xml:space="preserve">Subvencije poljoprivrednicima i obrtnicima (AOP217) </w:t>
      </w:r>
      <w:r w:rsidR="00E759F1" w:rsidRPr="00156CD9">
        <w:rPr>
          <w:rFonts w:ascii="Times New Roman" w:hAnsi="Times New Roman" w:cs="Times New Roman"/>
          <w:bCs/>
        </w:rPr>
        <w:t>-</w:t>
      </w:r>
      <w:r w:rsidRPr="00156CD9">
        <w:rPr>
          <w:rFonts w:ascii="Times New Roman" w:hAnsi="Times New Roman" w:cs="Times New Roman"/>
          <w:bCs/>
        </w:rPr>
        <w:t xml:space="preserve"> iznose 921.702 kn i </w:t>
      </w:r>
      <w:r w:rsidR="00E759F1" w:rsidRPr="00156CD9">
        <w:rPr>
          <w:rFonts w:ascii="Times New Roman" w:hAnsi="Times New Roman" w:cs="Times New Roman"/>
          <w:bCs/>
        </w:rPr>
        <w:t xml:space="preserve">evidentiraju smanjenje iz razloga što se u 2020. godini izdvojilo više </w:t>
      </w:r>
      <w:r w:rsidR="008404E3">
        <w:rPr>
          <w:rFonts w:ascii="Times New Roman" w:hAnsi="Times New Roman" w:cs="Times New Roman"/>
          <w:bCs/>
        </w:rPr>
        <w:t xml:space="preserve">sredstva </w:t>
      </w:r>
      <w:r w:rsidR="00E759F1" w:rsidRPr="00156CD9">
        <w:rPr>
          <w:rFonts w:ascii="Times New Roman" w:hAnsi="Times New Roman" w:cs="Times New Roman"/>
          <w:bCs/>
        </w:rPr>
        <w:t>za subvencije po programu potpora razvoja gospodarstva.</w:t>
      </w:r>
    </w:p>
    <w:p w14:paraId="6AF40282" w14:textId="77777777" w:rsidR="00156BC6" w:rsidRPr="00156CD9" w:rsidRDefault="00156BC6" w:rsidP="00156CD9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</w:p>
    <w:p w14:paraId="02064A11" w14:textId="5D9F9A57" w:rsidR="00156BC6" w:rsidRPr="00156CD9" w:rsidRDefault="00156BC6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A27348" w:rsidRPr="00156CD9">
        <w:rPr>
          <w:rFonts w:ascii="Times New Roman" w:hAnsi="Times New Roman" w:cs="Times New Roman"/>
          <w:b/>
        </w:rPr>
        <w:t>40</w:t>
      </w:r>
    </w:p>
    <w:p w14:paraId="465425B3" w14:textId="6C6AB750" w:rsidR="00156BC6" w:rsidRPr="00156CD9" w:rsidRDefault="00156BC6" w:rsidP="00156CD9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>Tekuće pomoći unutar općeg proračuna (AOP227) - iznose 819.605 kn odnosno 34,4% manje nego u 2020. godini</w:t>
      </w:r>
      <w:r w:rsidRPr="00156CD9">
        <w:rPr>
          <w:rFonts w:ascii="Times New Roman" w:hAnsi="Times New Roman" w:cs="Times New Roman"/>
        </w:rPr>
        <w:t xml:space="preserve"> kada se kupila zaštitna oprema i materijal za potrebe zdravstvenih ustanova čiji je osnivač Istarska županija</w:t>
      </w:r>
      <w:r w:rsidR="00A800DB" w:rsidRPr="00156CD9">
        <w:rPr>
          <w:rFonts w:ascii="Times New Roman" w:hAnsi="Times New Roman" w:cs="Times New Roman"/>
        </w:rPr>
        <w:t xml:space="preserve"> i dala pomoć Sisačko-moslavačkoj županiji zbog potresa.</w:t>
      </w:r>
    </w:p>
    <w:p w14:paraId="5D4E9310" w14:textId="25370E5C" w:rsidR="00E96D4F" w:rsidRPr="00156CD9" w:rsidRDefault="00E96D4F" w:rsidP="00156CD9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</w:p>
    <w:p w14:paraId="3F7C32BE" w14:textId="065942D9" w:rsidR="002067CC" w:rsidRPr="00156CD9" w:rsidRDefault="002067CC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A27348" w:rsidRPr="00156CD9">
        <w:rPr>
          <w:rFonts w:ascii="Times New Roman" w:hAnsi="Times New Roman" w:cs="Times New Roman"/>
          <w:b/>
        </w:rPr>
        <w:t>41</w:t>
      </w:r>
    </w:p>
    <w:p w14:paraId="1D58980D" w14:textId="0E254C9A" w:rsidR="002067CC" w:rsidRDefault="002067CC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Prijenos proračunskim korisnicima iz nadležnog proračuna (AOP23</w:t>
      </w:r>
      <w:r w:rsidR="00AC59B9" w:rsidRPr="00156CD9">
        <w:rPr>
          <w:rFonts w:ascii="Times New Roman" w:hAnsi="Times New Roman" w:cs="Times New Roman"/>
          <w:sz w:val="24"/>
          <w:szCs w:val="24"/>
        </w:rPr>
        <w:t>5</w:t>
      </w:r>
      <w:r w:rsidRPr="00156CD9">
        <w:rPr>
          <w:rFonts w:ascii="Times New Roman" w:hAnsi="Times New Roman" w:cs="Times New Roman"/>
          <w:sz w:val="24"/>
          <w:szCs w:val="24"/>
        </w:rPr>
        <w:t>), iskazan po novčanom načelu, za financiranje redovne djelatnosti daje se u nastavku:</w:t>
      </w:r>
    </w:p>
    <w:tbl>
      <w:tblPr>
        <w:tblW w:w="8130" w:type="dxa"/>
        <w:jc w:val="center"/>
        <w:tblLook w:val="04A0" w:firstRow="1" w:lastRow="0" w:firstColumn="1" w:lastColumn="0" w:noHBand="0" w:noVBand="1"/>
      </w:tblPr>
      <w:tblGrid>
        <w:gridCol w:w="430"/>
        <w:gridCol w:w="3280"/>
        <w:gridCol w:w="1300"/>
        <w:gridCol w:w="1180"/>
        <w:gridCol w:w="640"/>
        <w:gridCol w:w="1300"/>
      </w:tblGrid>
      <w:tr w:rsidR="00E53BFC" w:rsidRPr="00156CD9" w14:paraId="7D1CFE49" w14:textId="77777777" w:rsidTr="006B53F8">
        <w:trPr>
          <w:trHeight w:val="255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7523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RB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7418" w14:textId="77777777" w:rsidR="00E53BFC" w:rsidRPr="00156CD9" w:rsidRDefault="00E53BFC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NAZIV KORISNIKA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EED" w14:textId="77777777" w:rsidR="00E53BFC" w:rsidRPr="00156CD9" w:rsidRDefault="00E53BFC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IZNOS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390A" w14:textId="77777777" w:rsidR="00E53BFC" w:rsidRPr="00156CD9" w:rsidRDefault="00E53BFC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UKUPNO 367</w:t>
            </w:r>
          </w:p>
        </w:tc>
      </w:tr>
      <w:tr w:rsidR="00E53BFC" w:rsidRPr="00156CD9" w14:paraId="6DDC52C0" w14:textId="77777777" w:rsidTr="006B53F8">
        <w:trPr>
          <w:trHeight w:val="262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2590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E6A5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1FE8" w14:textId="77777777" w:rsidR="00E53BFC" w:rsidRPr="00156CD9" w:rsidRDefault="00E53BFC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A90" w14:textId="77777777" w:rsidR="00E53BFC" w:rsidRPr="00156CD9" w:rsidRDefault="00E53BFC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36712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63A4" w14:textId="77777777" w:rsidR="00E53BFC" w:rsidRPr="00156CD9" w:rsidRDefault="00E53BFC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36714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F70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E53BFC" w:rsidRPr="00156CD9" w14:paraId="1B508920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9280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10FE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DV RINTINTIN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A79A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4.174.182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BC27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EBB9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03F5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4.174.182</w:t>
            </w:r>
          </w:p>
        </w:tc>
      </w:tr>
      <w:tr w:rsidR="00E53BFC" w:rsidRPr="00156CD9" w14:paraId="4EDF7F05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5029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364C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OŠ ŠIJANA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CFC3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1.676.972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309F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3A39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7D38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1.681.972</w:t>
            </w:r>
          </w:p>
        </w:tc>
      </w:tr>
      <w:tr w:rsidR="00E53BFC" w:rsidRPr="00156CD9" w14:paraId="532F2DD9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CD10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CE62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OŠ VELI VRH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4AE9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2.243.664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A729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938F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8940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2.248.664</w:t>
            </w:r>
          </w:p>
        </w:tc>
      </w:tr>
      <w:tr w:rsidR="00E53BFC" w:rsidRPr="00156CD9" w14:paraId="3EDD0928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041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7FF5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OŠ VERUDA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CBBF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1.623.282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2E0A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EC56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4349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1.628.282</w:t>
            </w:r>
          </w:p>
        </w:tc>
      </w:tr>
      <w:tr w:rsidR="00E53BFC" w:rsidRPr="00156CD9" w14:paraId="662AD9E2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21DE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0F6C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OŠ MONTE ZARO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90E6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1.781.723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D2B3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DC58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E21A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1.784.223</w:t>
            </w:r>
          </w:p>
        </w:tc>
      </w:tr>
      <w:tr w:rsidR="00E53BFC" w:rsidRPr="00156CD9" w14:paraId="10C558AC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9629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5B51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DC VERUDA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03A5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2.770.482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CD40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D0E9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717B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2.770.482</w:t>
            </w:r>
          </w:p>
        </w:tc>
      </w:tr>
      <w:tr w:rsidR="00E53BFC" w:rsidRPr="00156CD9" w14:paraId="2FB7C18A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81EB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007E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OŠ G.MARTINUZZI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BFCF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1.492.171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4077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EE05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1906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1.496.171</w:t>
            </w:r>
          </w:p>
        </w:tc>
      </w:tr>
      <w:tr w:rsidR="00E53BFC" w:rsidRPr="00156CD9" w14:paraId="125B518E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941D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F33B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OŠ KAŠTANJER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D7FA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1.446.271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7ED7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E2F6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BDB9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1.451.271</w:t>
            </w:r>
          </w:p>
        </w:tc>
      </w:tr>
      <w:tr w:rsidR="00E53BFC" w:rsidRPr="00156CD9" w14:paraId="1B86AB53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64EA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44EB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OŠ T.PERUŠKA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B207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1.066.739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9B65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5E43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11BF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1.069.739</w:t>
            </w:r>
          </w:p>
        </w:tc>
      </w:tr>
      <w:tr w:rsidR="00E53BFC" w:rsidRPr="00156CD9" w14:paraId="0071A4F0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47F3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02FA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OŠ STOJA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1886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1.082.153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8F24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3657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6E6B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1.085.653</w:t>
            </w:r>
          </w:p>
        </w:tc>
      </w:tr>
      <w:tr w:rsidR="00E53BFC" w:rsidRPr="00156CD9" w14:paraId="25F18796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4928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3F53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DV PULA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368C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12.106.776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5D7E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57.996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934D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B370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12.164.772</w:t>
            </w:r>
          </w:p>
        </w:tc>
      </w:tr>
      <w:tr w:rsidR="00E53BFC" w:rsidRPr="00156CD9" w14:paraId="19D6C051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4C4D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F267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DV MALI SVIJET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1763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13.774.544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ECC2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20.902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A65E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4077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13.795.446</w:t>
            </w:r>
          </w:p>
        </w:tc>
      </w:tr>
      <w:tr w:rsidR="00E53BFC" w:rsidRPr="00156CD9" w14:paraId="4122D7DE" w14:textId="77777777" w:rsidTr="00154763">
        <w:trPr>
          <w:trHeight w:val="198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A7E9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703C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OŠ VIDIKOVAC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786E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1.642.387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C424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6B0D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A09F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1.648.387</w:t>
            </w:r>
          </w:p>
        </w:tc>
      </w:tr>
      <w:tr w:rsidR="00E53BFC" w:rsidRPr="00156CD9" w14:paraId="1EE2CA3E" w14:textId="77777777" w:rsidTr="00154763">
        <w:trPr>
          <w:trHeight w:val="19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2CE6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57D0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GRADSKA KNJIŽNICA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B8A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4.091.521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20B8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505.036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068A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B1DA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4.596.557</w:t>
            </w:r>
          </w:p>
        </w:tc>
      </w:tr>
      <w:tr w:rsidR="00E53BFC" w:rsidRPr="00156CD9" w14:paraId="5F1EC682" w14:textId="77777777" w:rsidTr="00154763">
        <w:trPr>
          <w:trHeight w:val="19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8263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1650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ISTARSKO NARODNO KAZALIŠTE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C8C3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5.308.190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C88B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1.546.465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EF6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1B43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6.854.655</w:t>
            </w:r>
          </w:p>
        </w:tc>
      </w:tr>
      <w:tr w:rsidR="00E53BFC" w:rsidRPr="00156CD9" w14:paraId="3B8C5857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5C04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E9C8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OŠ CENTAR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7FD0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1.218.362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2675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0C73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8F97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1.221.362</w:t>
            </w:r>
          </w:p>
        </w:tc>
      </w:tr>
      <w:tr w:rsidR="00E53BFC" w:rsidRPr="00156CD9" w14:paraId="5CDB97EC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DC32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34CB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VATROGASNA POSTROJBA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264A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13.441.334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B6DB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84.665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BE75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729B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13.525.999</w:t>
            </w:r>
          </w:p>
        </w:tc>
      </w:tr>
      <w:tr w:rsidR="00E53BFC" w:rsidRPr="00156CD9" w14:paraId="40907571" w14:textId="77777777" w:rsidTr="006B53F8">
        <w:trPr>
          <w:trHeight w:val="19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1CFC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F119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ŠKOLA ZA ODGOJ I OBRAZOVANJE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282B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1.505.746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DC88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F7E5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BF4B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1.507.746</w:t>
            </w:r>
          </w:p>
        </w:tc>
      </w:tr>
      <w:tr w:rsidR="00E53BFC" w:rsidRPr="00156CD9" w14:paraId="1F4FC0AD" w14:textId="77777777" w:rsidTr="006B53F8">
        <w:trPr>
          <w:trHeight w:val="198"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37B0" w14:textId="77777777" w:rsidR="00E53BFC" w:rsidRPr="00156CD9" w:rsidRDefault="00E53B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UKUPNO 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00EE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72.446.500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6175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2.259.064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B748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145B" w14:textId="77777777" w:rsidR="00E53BFC" w:rsidRPr="00156CD9" w:rsidRDefault="00E53BFC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74.705.564</w:t>
            </w:r>
          </w:p>
        </w:tc>
      </w:tr>
    </w:tbl>
    <w:p w14:paraId="72DE539A" w14:textId="77777777" w:rsidR="006B53F8" w:rsidRDefault="006B53F8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BED630" w14:textId="593ECBE3" w:rsidR="00AC59B9" w:rsidRPr="00156CD9" w:rsidRDefault="00AC59B9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Navedeni rashodi financirani su iz gradskih i decentraliziranih sredstava te projek</w:t>
      </w:r>
      <w:r w:rsidR="0048521E">
        <w:rPr>
          <w:rFonts w:ascii="Times New Roman" w:hAnsi="Times New Roman" w:cs="Times New Roman"/>
          <w:sz w:val="24"/>
          <w:szCs w:val="24"/>
        </w:rPr>
        <w:t>a</w:t>
      </w:r>
      <w:r w:rsidRPr="00156CD9">
        <w:rPr>
          <w:rFonts w:ascii="Times New Roman" w:hAnsi="Times New Roman" w:cs="Times New Roman"/>
          <w:sz w:val="24"/>
          <w:szCs w:val="24"/>
        </w:rPr>
        <w:t xml:space="preserve">ta </w:t>
      </w:r>
      <w:r w:rsidR="0048521E">
        <w:rPr>
          <w:rFonts w:ascii="Times New Roman" w:hAnsi="Times New Roman" w:cs="Times New Roman"/>
          <w:sz w:val="24"/>
          <w:szCs w:val="24"/>
        </w:rPr>
        <w:t>Z</w:t>
      </w:r>
      <w:r w:rsidRPr="00156CD9">
        <w:rPr>
          <w:rFonts w:ascii="Times New Roman" w:hAnsi="Times New Roman" w:cs="Times New Roman"/>
          <w:sz w:val="24"/>
          <w:szCs w:val="24"/>
        </w:rPr>
        <w:t xml:space="preserve">ajedno do znanja i </w:t>
      </w:r>
      <w:r w:rsidR="0048521E">
        <w:rPr>
          <w:rFonts w:ascii="Times New Roman" w:hAnsi="Times New Roman" w:cs="Times New Roman"/>
          <w:sz w:val="24"/>
          <w:szCs w:val="24"/>
        </w:rPr>
        <w:t>Š</w:t>
      </w:r>
      <w:r w:rsidRPr="00156CD9">
        <w:rPr>
          <w:rFonts w:ascii="Times New Roman" w:hAnsi="Times New Roman" w:cs="Times New Roman"/>
          <w:sz w:val="24"/>
          <w:szCs w:val="24"/>
        </w:rPr>
        <w:t>kolska shema, iskazani po novčanom načelu.</w:t>
      </w:r>
    </w:p>
    <w:p w14:paraId="754EF94C" w14:textId="77777777" w:rsidR="00AC59B9" w:rsidRPr="00156CD9" w:rsidRDefault="00AC59B9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638B84" w14:textId="4E91F423" w:rsidR="00803D2E" w:rsidRPr="00156CD9" w:rsidRDefault="00426D9F" w:rsidP="006B53F8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AC59B9" w:rsidRPr="00156CD9">
        <w:rPr>
          <w:rFonts w:ascii="Times New Roman" w:hAnsi="Times New Roman" w:cs="Times New Roman"/>
          <w:b/>
        </w:rPr>
        <w:t>4</w:t>
      </w:r>
      <w:r w:rsidR="00B410E7" w:rsidRPr="00156CD9">
        <w:rPr>
          <w:rFonts w:ascii="Times New Roman" w:hAnsi="Times New Roman" w:cs="Times New Roman"/>
          <w:b/>
        </w:rPr>
        <w:t>2</w:t>
      </w:r>
    </w:p>
    <w:p w14:paraId="2584C669" w14:textId="6C779308" w:rsidR="00AC59B9" w:rsidRPr="00156CD9" w:rsidRDefault="00AC59B9" w:rsidP="006B53F8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CD9">
        <w:rPr>
          <w:rFonts w:ascii="Times New Roman" w:hAnsi="Times New Roman" w:cs="Times New Roman"/>
          <w:bCs/>
          <w:sz w:val="24"/>
          <w:szCs w:val="24"/>
        </w:rPr>
        <w:t>Kapitalne pomoći temeljem prijenosa EU sredstava (AOP241) - iznose 1.999.098 kn</w:t>
      </w:r>
      <w:r w:rsidR="00AD5CFC" w:rsidRPr="00156CD9">
        <w:rPr>
          <w:rFonts w:ascii="Times New Roman" w:hAnsi="Times New Roman" w:cs="Times New Roman"/>
          <w:bCs/>
          <w:sz w:val="24"/>
          <w:szCs w:val="24"/>
        </w:rPr>
        <w:t>,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a odnose se na projekt Pulski fortifikacijski sustav</w:t>
      </w:r>
      <w:r w:rsidR="00AD5CFC" w:rsidRPr="00156CD9">
        <w:rPr>
          <w:rFonts w:ascii="Times New Roman" w:hAnsi="Times New Roman" w:cs="Times New Roman"/>
          <w:bCs/>
          <w:sz w:val="24"/>
          <w:szCs w:val="24"/>
        </w:rPr>
        <w:t xml:space="preserve"> u odnosu na isto razdoblje izvještavanja 2020. godine</w:t>
      </w:r>
      <w:r w:rsidRPr="00156C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2828C1" w14:textId="77777777" w:rsidR="00AA672A" w:rsidRPr="00156CD9" w:rsidRDefault="00AA672A" w:rsidP="006B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22F4E8" w14:textId="0BBBF36A" w:rsidR="00FC6162" w:rsidRPr="00156CD9" w:rsidRDefault="00FC6162" w:rsidP="006B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B</w:t>
      </w:r>
      <w:r w:rsidR="00AA672A" w:rsidRPr="00156CD9">
        <w:rPr>
          <w:rFonts w:ascii="Times New Roman" w:hAnsi="Times New Roman" w:cs="Times New Roman"/>
          <w:b/>
          <w:sz w:val="24"/>
          <w:szCs w:val="24"/>
        </w:rPr>
        <w:t>I</w:t>
      </w:r>
      <w:r w:rsidRPr="00156CD9">
        <w:rPr>
          <w:rFonts w:ascii="Times New Roman" w:hAnsi="Times New Roman" w:cs="Times New Roman"/>
          <w:b/>
          <w:sz w:val="24"/>
          <w:szCs w:val="24"/>
        </w:rPr>
        <w:t xml:space="preserve">LJEŠKA </w:t>
      </w:r>
      <w:proofErr w:type="spellStart"/>
      <w:r w:rsidRPr="00156CD9">
        <w:rPr>
          <w:rFonts w:ascii="Times New Roman" w:hAnsi="Times New Roman" w:cs="Times New Roman"/>
          <w:b/>
          <w:sz w:val="24"/>
          <w:szCs w:val="24"/>
        </w:rPr>
        <w:t>br</w:t>
      </w:r>
      <w:proofErr w:type="spellEnd"/>
      <w:r w:rsidR="00D24EDD" w:rsidRPr="00156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CD9" w:rsidRPr="00156CD9">
        <w:rPr>
          <w:rFonts w:ascii="Times New Roman" w:hAnsi="Times New Roman" w:cs="Times New Roman"/>
          <w:b/>
          <w:sz w:val="24"/>
          <w:szCs w:val="24"/>
        </w:rPr>
        <w:t>43</w:t>
      </w:r>
    </w:p>
    <w:p w14:paraId="271A2F17" w14:textId="164EDA7A" w:rsidR="00FC6162" w:rsidRPr="00156CD9" w:rsidRDefault="00D24EDD" w:rsidP="006B5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bCs/>
          <w:sz w:val="24"/>
          <w:szCs w:val="24"/>
        </w:rPr>
        <w:t xml:space="preserve">Tekuće donacije </w:t>
      </w:r>
      <w:r w:rsidR="00675D6A" w:rsidRPr="00156CD9">
        <w:rPr>
          <w:rFonts w:ascii="Times New Roman" w:hAnsi="Times New Roman" w:cs="Times New Roman"/>
          <w:bCs/>
          <w:sz w:val="24"/>
          <w:szCs w:val="24"/>
        </w:rPr>
        <w:t>u novcu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(AOP26</w:t>
      </w:r>
      <w:r w:rsidR="00675D6A" w:rsidRPr="00156CD9">
        <w:rPr>
          <w:rFonts w:ascii="Times New Roman" w:hAnsi="Times New Roman" w:cs="Times New Roman"/>
          <w:bCs/>
          <w:sz w:val="24"/>
          <w:szCs w:val="24"/>
        </w:rPr>
        <w:t>0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) - iznose </w:t>
      </w:r>
      <w:r w:rsidR="00675D6A" w:rsidRPr="00156CD9">
        <w:rPr>
          <w:rFonts w:ascii="Times New Roman" w:hAnsi="Times New Roman" w:cs="Times New Roman"/>
          <w:bCs/>
          <w:sz w:val="24"/>
          <w:szCs w:val="24"/>
        </w:rPr>
        <w:t>38.804.518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kn i bilježe </w:t>
      </w:r>
      <w:r w:rsidR="00675D6A" w:rsidRPr="00156CD9">
        <w:rPr>
          <w:rFonts w:ascii="Times New Roman" w:hAnsi="Times New Roman" w:cs="Times New Roman"/>
          <w:bCs/>
          <w:sz w:val="24"/>
          <w:szCs w:val="24"/>
        </w:rPr>
        <w:t>rast od 25,0</w:t>
      </w:r>
      <w:r w:rsidRPr="00156CD9">
        <w:rPr>
          <w:rFonts w:ascii="Times New Roman" w:hAnsi="Times New Roman" w:cs="Times New Roman"/>
          <w:bCs/>
          <w:sz w:val="24"/>
          <w:szCs w:val="24"/>
        </w:rPr>
        <w:t>%</w:t>
      </w:r>
      <w:r w:rsidR="006E1443" w:rsidRPr="00156CD9">
        <w:rPr>
          <w:rFonts w:ascii="Times New Roman" w:hAnsi="Times New Roman" w:cs="Times New Roman"/>
          <w:bCs/>
          <w:sz w:val="24"/>
          <w:szCs w:val="24"/>
        </w:rPr>
        <w:t xml:space="preserve"> iz razloga što su u 2021. godini bila veća izdvajanja za </w:t>
      </w:r>
      <w:r w:rsidR="00987146" w:rsidRPr="00156CD9">
        <w:rPr>
          <w:rFonts w:ascii="Times New Roman" w:hAnsi="Times New Roman" w:cs="Times New Roman"/>
          <w:bCs/>
          <w:sz w:val="24"/>
          <w:szCs w:val="24"/>
        </w:rPr>
        <w:t xml:space="preserve">provođenje sportskih aktivnosti djece i mladeži, djelovanje sportskih </w:t>
      </w:r>
      <w:proofErr w:type="spellStart"/>
      <w:r w:rsidR="00987146" w:rsidRPr="00156CD9">
        <w:rPr>
          <w:rFonts w:ascii="Times New Roman" w:hAnsi="Times New Roman" w:cs="Times New Roman"/>
          <w:bCs/>
          <w:sz w:val="24"/>
          <w:szCs w:val="24"/>
        </w:rPr>
        <w:t>sportskih</w:t>
      </w:r>
      <w:proofErr w:type="spellEnd"/>
      <w:r w:rsidR="00987146" w:rsidRPr="00156CD9">
        <w:rPr>
          <w:rFonts w:ascii="Times New Roman" w:hAnsi="Times New Roman" w:cs="Times New Roman"/>
          <w:bCs/>
          <w:sz w:val="24"/>
          <w:szCs w:val="24"/>
        </w:rPr>
        <w:t xml:space="preserve"> udruga i sportske zajednice te korištenje sportskih objekata.</w:t>
      </w:r>
      <w:r w:rsidR="006E1443" w:rsidRPr="00156C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AC59D0" w14:textId="77777777" w:rsidR="00675D6A" w:rsidRPr="00156CD9" w:rsidRDefault="00675D6A" w:rsidP="006B53F8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FE7273" w14:textId="51448C2D" w:rsidR="00675D6A" w:rsidRPr="00156CD9" w:rsidRDefault="00675D6A" w:rsidP="006B53F8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 xml:space="preserve">BILJEŠKA br. </w:t>
      </w:r>
      <w:r w:rsidR="004A7908" w:rsidRPr="00156CD9">
        <w:rPr>
          <w:rFonts w:ascii="Times New Roman" w:hAnsi="Times New Roman" w:cs="Times New Roman"/>
          <w:b/>
          <w:sz w:val="24"/>
          <w:szCs w:val="24"/>
        </w:rPr>
        <w:t>4</w:t>
      </w:r>
      <w:r w:rsidR="00111AE0">
        <w:rPr>
          <w:rFonts w:ascii="Times New Roman" w:hAnsi="Times New Roman" w:cs="Times New Roman"/>
          <w:b/>
          <w:sz w:val="24"/>
          <w:szCs w:val="24"/>
        </w:rPr>
        <w:t>4</w:t>
      </w:r>
    </w:p>
    <w:p w14:paraId="6B79A993" w14:textId="4250959D" w:rsidR="00675D6A" w:rsidRPr="00156CD9" w:rsidRDefault="00675D6A" w:rsidP="006B53F8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CD9">
        <w:rPr>
          <w:rFonts w:ascii="Times New Roman" w:hAnsi="Times New Roman" w:cs="Times New Roman"/>
          <w:bCs/>
          <w:sz w:val="24"/>
          <w:szCs w:val="24"/>
        </w:rPr>
        <w:t xml:space="preserve">Tekuće donacije iz EU sredstava (AOP262) - iznose </w:t>
      </w:r>
      <w:r w:rsidR="004A7908" w:rsidRPr="00156CD9">
        <w:rPr>
          <w:rFonts w:ascii="Times New Roman" w:hAnsi="Times New Roman" w:cs="Times New Roman"/>
          <w:bCs/>
          <w:sz w:val="24"/>
          <w:szCs w:val="24"/>
        </w:rPr>
        <w:t>399.253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kn i čine sredstva za projekt Pulski fortifikacijski sustav Turističkoj zajednici Grada Pule.</w:t>
      </w:r>
    </w:p>
    <w:p w14:paraId="5EEDC92F" w14:textId="77777777" w:rsidR="00A557E6" w:rsidRPr="00156CD9" w:rsidRDefault="00A557E6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28EF45CF" w14:textId="3A7CA9C1" w:rsidR="00111AE0" w:rsidRPr="00156CD9" w:rsidRDefault="00111AE0" w:rsidP="00111AE0">
      <w:pPr>
        <w:spacing w:after="0"/>
        <w:jc w:val="both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BILJEŠKA br. 4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7E55DBF4" w14:textId="35FA1E91" w:rsidR="00111AE0" w:rsidRPr="00156CD9" w:rsidRDefault="00111AE0" w:rsidP="00111AE0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Kapitalne pomoći kreditnim i ostalim financijskim institucijama te trgovačkim društvima u javnom sektoru (AOP27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6CD9">
        <w:rPr>
          <w:rFonts w:ascii="Times New Roman" w:hAnsi="Times New Roman" w:cs="Times New Roman"/>
          <w:sz w:val="24"/>
          <w:szCs w:val="24"/>
        </w:rPr>
        <w:t xml:space="preserve">) - iznose 9.948.439 kn i za 35,3% su manje iz razloga što je Grad u 2020. godini dao kapitalnu pomoć za izgradnju plinske infrastrukture Punta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Verudela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 xml:space="preserve"> te za projektiranje i izgradnju vodnih građevina na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Valkanama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>.</w:t>
      </w:r>
    </w:p>
    <w:p w14:paraId="2ABF8A49" w14:textId="77777777" w:rsidR="00C45CCD" w:rsidRDefault="00C45CCD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5D650D20" w14:textId="162529C1" w:rsidR="00E72FEF" w:rsidRPr="00156CD9" w:rsidRDefault="00A571F6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</w:t>
      </w:r>
      <w:r w:rsidR="00E95A49" w:rsidRPr="00156CD9">
        <w:rPr>
          <w:rFonts w:ascii="Times New Roman" w:hAnsi="Times New Roman" w:cs="Times New Roman"/>
          <w:b/>
        </w:rPr>
        <w:t xml:space="preserve">ILJEŠKA br. </w:t>
      </w:r>
      <w:r w:rsidR="001F6AEB" w:rsidRPr="00156CD9">
        <w:rPr>
          <w:rFonts w:ascii="Times New Roman" w:hAnsi="Times New Roman" w:cs="Times New Roman"/>
          <w:b/>
        </w:rPr>
        <w:t>4</w:t>
      </w:r>
      <w:r w:rsidR="00156CD9" w:rsidRPr="00156CD9">
        <w:rPr>
          <w:rFonts w:ascii="Times New Roman" w:hAnsi="Times New Roman" w:cs="Times New Roman"/>
          <w:b/>
        </w:rPr>
        <w:t>6</w:t>
      </w:r>
    </w:p>
    <w:p w14:paraId="514F477A" w14:textId="7A364063" w:rsidR="003E0CAA" w:rsidRPr="00156CD9" w:rsidRDefault="00171C18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Prihodi od prodaje nefinancijske imovine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41"/>
        <w:gridCol w:w="3790"/>
        <w:gridCol w:w="567"/>
        <w:gridCol w:w="1418"/>
        <w:gridCol w:w="1417"/>
        <w:gridCol w:w="709"/>
        <w:gridCol w:w="992"/>
      </w:tblGrid>
      <w:tr w:rsidR="001F6AEB" w:rsidRPr="00156CD9" w14:paraId="584BC96B" w14:textId="77777777" w:rsidTr="00156CD9">
        <w:trPr>
          <w:trHeight w:val="30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B596" w14:textId="77777777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322E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DDC2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AOP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4D84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Ostvareno u izvještajnom razdoblju prethodne godine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AC79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Ostvareno u izvještajnom razdoblju tekuće godine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90E7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(5/4)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9375" w14:textId="77777777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Povećanje / Smanjenje</w:t>
            </w:r>
          </w:p>
        </w:tc>
      </w:tr>
      <w:tr w:rsidR="00ED0CFE" w:rsidRPr="00156CD9" w14:paraId="6DDF7455" w14:textId="77777777" w:rsidTr="00156CD9">
        <w:trPr>
          <w:trHeight w:val="309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E682" w14:textId="77777777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04DB" w14:textId="77777777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3AAC" w14:textId="77777777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AEBA" w14:textId="77777777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209" w14:textId="77777777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FC4B" w14:textId="77777777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857E" w14:textId="77777777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ED0CFE" w:rsidRPr="00156CD9" w14:paraId="445B1C22" w14:textId="77777777" w:rsidTr="00156CD9">
        <w:trPr>
          <w:trHeight w:val="5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DAF0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FEFC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BC33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C246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D7C9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2A7D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C98B" w14:textId="1393BDDE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5-4</w:t>
            </w:r>
          </w:p>
        </w:tc>
      </w:tr>
      <w:tr w:rsidR="00ED0CFE" w:rsidRPr="00156CD9" w14:paraId="3DCE7B57" w14:textId="77777777" w:rsidTr="006B53F8">
        <w:trPr>
          <w:trHeight w:val="198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1ABE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56B" w14:textId="77777777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Prihodi od prodaje </w:t>
            </w:r>
            <w:proofErr w:type="spellStart"/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neproizvedene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dugotrajne imovine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6760" w14:textId="543B60AA" w:rsidR="00ED0CFE" w:rsidRPr="00156CD9" w:rsidRDefault="001F6AEB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B14E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9.255.459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D899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15.112.165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4890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9434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5.856.706</w:t>
            </w:r>
          </w:p>
        </w:tc>
      </w:tr>
      <w:tr w:rsidR="00ED0CFE" w:rsidRPr="00156CD9" w14:paraId="624B39BD" w14:textId="77777777" w:rsidTr="006B53F8">
        <w:trPr>
          <w:trHeight w:val="198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7D17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B5F3" w14:textId="77777777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Prihodi od prodaje proizvedene dugotrajne imovine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CF8B" w14:textId="6005B232" w:rsidR="00ED0CFE" w:rsidRPr="00156CD9" w:rsidRDefault="001F6AEB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DE0A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1.414.904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F79B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3.193.398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C436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095C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1.778.494</w:t>
            </w:r>
          </w:p>
        </w:tc>
      </w:tr>
      <w:tr w:rsidR="00ED0CFE" w:rsidRPr="00156CD9" w14:paraId="4B16BE49" w14:textId="77777777" w:rsidTr="000A1889">
        <w:trPr>
          <w:trHeight w:val="22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E2D8" w14:textId="77777777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7AD8" w14:textId="29AD529B" w:rsidR="00ED0CFE" w:rsidRPr="00156CD9" w:rsidRDefault="00ED0CF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NEFINANC</w:t>
            </w:r>
            <w:r w:rsidR="000A188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. </w:t>
            </w: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IMOVINE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8C68" w14:textId="601BB700" w:rsidR="00ED0CFE" w:rsidRPr="00156CD9" w:rsidRDefault="00ED0CF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  <w:r w:rsidR="001F6AEB"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46C1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10.670.363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0CD8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18.305.563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6CD1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9086" w14:textId="77777777" w:rsidR="00ED0CFE" w:rsidRPr="00156CD9" w:rsidRDefault="00ED0CFE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7.635.200</w:t>
            </w:r>
          </w:p>
        </w:tc>
      </w:tr>
    </w:tbl>
    <w:p w14:paraId="004DD0E0" w14:textId="77777777" w:rsidR="001F6AEB" w:rsidRPr="00156CD9" w:rsidRDefault="001F6AEB" w:rsidP="00156CD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C4791" w14:textId="28887DAE" w:rsidR="001F6AEB" w:rsidRPr="00156CD9" w:rsidRDefault="001F6AEB" w:rsidP="00D72BB2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763">
        <w:rPr>
          <w:rFonts w:ascii="Times New Roman" w:hAnsi="Times New Roman" w:cs="Times New Roman"/>
          <w:b/>
          <w:sz w:val="24"/>
          <w:szCs w:val="24"/>
        </w:rPr>
        <w:t xml:space="preserve">BILJEŠKA br. </w:t>
      </w:r>
      <w:r w:rsidR="00523F62" w:rsidRPr="00154763">
        <w:rPr>
          <w:rFonts w:ascii="Times New Roman" w:hAnsi="Times New Roman" w:cs="Times New Roman"/>
          <w:b/>
          <w:sz w:val="24"/>
          <w:szCs w:val="24"/>
        </w:rPr>
        <w:t>47</w:t>
      </w:r>
    </w:p>
    <w:p w14:paraId="11EAE7BC" w14:textId="7E74D812" w:rsidR="00D46432" w:rsidRPr="00156CD9" w:rsidRDefault="00D46432" w:rsidP="00D72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Zemljište (AOP295) </w:t>
      </w:r>
      <w:r w:rsidR="00467635" w:rsidRPr="00156CD9">
        <w:rPr>
          <w:rFonts w:ascii="Times New Roman" w:hAnsi="Times New Roman" w:cs="Times New Roman"/>
          <w:sz w:val="24"/>
          <w:szCs w:val="24"/>
        </w:rPr>
        <w:t>-</w:t>
      </w:r>
      <w:r w:rsidRPr="00156CD9">
        <w:rPr>
          <w:rFonts w:ascii="Times New Roman" w:hAnsi="Times New Roman" w:cs="Times New Roman"/>
          <w:sz w:val="24"/>
          <w:szCs w:val="24"/>
        </w:rPr>
        <w:t xml:space="preserve"> iznose 15.112.165 kn i za 63,3% je više ostvaren prihod od prodaje zemljišta  u odnosu na isto razdoblje u 2020. godini zbog potrebe </w:t>
      </w:r>
      <w:r w:rsidR="00467635" w:rsidRPr="00156CD9">
        <w:rPr>
          <w:rFonts w:ascii="Times New Roman" w:hAnsi="Times New Roman" w:cs="Times New Roman"/>
          <w:sz w:val="24"/>
          <w:szCs w:val="24"/>
        </w:rPr>
        <w:t xml:space="preserve">za </w:t>
      </w:r>
      <w:r w:rsidRPr="00156CD9">
        <w:rPr>
          <w:rFonts w:ascii="Times New Roman" w:hAnsi="Times New Roman" w:cs="Times New Roman"/>
          <w:sz w:val="24"/>
          <w:szCs w:val="24"/>
        </w:rPr>
        <w:t>gradnj</w:t>
      </w:r>
      <w:r w:rsidR="00467635" w:rsidRPr="00156CD9">
        <w:rPr>
          <w:rFonts w:ascii="Times New Roman" w:hAnsi="Times New Roman" w:cs="Times New Roman"/>
          <w:sz w:val="24"/>
          <w:szCs w:val="24"/>
        </w:rPr>
        <w:t>om</w:t>
      </w:r>
      <w:r w:rsidR="008404E3">
        <w:rPr>
          <w:rFonts w:ascii="Times New Roman" w:hAnsi="Times New Roman" w:cs="Times New Roman"/>
          <w:sz w:val="24"/>
          <w:szCs w:val="24"/>
        </w:rPr>
        <w:t>.</w:t>
      </w:r>
    </w:p>
    <w:p w14:paraId="22B549A0" w14:textId="22532CC4" w:rsidR="00F730C2" w:rsidRPr="00156CD9" w:rsidRDefault="00F730C2" w:rsidP="00D72BB2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lastRenderedPageBreak/>
        <w:t>BILJEŠKA br. 4</w:t>
      </w:r>
      <w:r w:rsidR="00523F62">
        <w:rPr>
          <w:rFonts w:ascii="Times New Roman" w:hAnsi="Times New Roman" w:cs="Times New Roman"/>
          <w:b/>
          <w:sz w:val="24"/>
          <w:szCs w:val="24"/>
        </w:rPr>
        <w:t>8</w:t>
      </w:r>
    </w:p>
    <w:p w14:paraId="12A75A11" w14:textId="65A59BA6" w:rsidR="00D46432" w:rsidRPr="00156CD9" w:rsidRDefault="00467635" w:rsidP="00D72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Stambeni objekti (AOP307) </w:t>
      </w:r>
      <w:r w:rsidR="00FC11D2" w:rsidRPr="00156CD9">
        <w:rPr>
          <w:rFonts w:ascii="Times New Roman" w:hAnsi="Times New Roman" w:cs="Times New Roman"/>
          <w:sz w:val="24"/>
          <w:szCs w:val="24"/>
        </w:rPr>
        <w:t>-</w:t>
      </w:r>
      <w:r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D67F47" w:rsidRPr="00156CD9">
        <w:rPr>
          <w:rFonts w:ascii="Times New Roman" w:hAnsi="Times New Roman" w:cs="Times New Roman"/>
          <w:sz w:val="24"/>
          <w:szCs w:val="24"/>
        </w:rPr>
        <w:t xml:space="preserve">prihodi su </w:t>
      </w:r>
      <w:r w:rsidRPr="00156CD9">
        <w:rPr>
          <w:rFonts w:ascii="Times New Roman" w:hAnsi="Times New Roman" w:cs="Times New Roman"/>
          <w:sz w:val="24"/>
          <w:szCs w:val="24"/>
        </w:rPr>
        <w:t>ostvareni u iznosu od 3.033.666 kn odnosno za 137,3% je više u odnosu na isto razdoblje 2020. godine.</w:t>
      </w:r>
      <w:r w:rsidR="00FC11D2" w:rsidRPr="00156CD9">
        <w:rPr>
          <w:rFonts w:ascii="Times New Roman" w:hAnsi="Times New Roman" w:cs="Times New Roman"/>
          <w:sz w:val="24"/>
          <w:szCs w:val="24"/>
        </w:rPr>
        <w:t xml:space="preserve"> U 2021. godini Grad je prodao 13 stambenih jedinica od čega 10 putem licitacije, a 3 stana sudskim putem iz razloga što je određeno razvrgnuće suvlasničke zajednice.</w:t>
      </w:r>
    </w:p>
    <w:p w14:paraId="245BBAA4" w14:textId="77777777" w:rsidR="00A73DFA" w:rsidRPr="00156CD9" w:rsidRDefault="00A73DFA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53483B8A" w14:textId="008DEDD1" w:rsidR="009D17E2" w:rsidRPr="00156CD9" w:rsidRDefault="00426D9F" w:rsidP="00D72BB2">
      <w:pPr>
        <w:pStyle w:val="Style20"/>
        <w:widowControl/>
        <w:spacing w:line="276" w:lineRule="auto"/>
        <w:rPr>
          <w:rFonts w:ascii="Times New Roman" w:hAnsi="Times New Roman" w:cs="Times New Roman"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A73DFA" w:rsidRPr="00156CD9">
        <w:rPr>
          <w:rFonts w:ascii="Times New Roman" w:hAnsi="Times New Roman" w:cs="Times New Roman"/>
          <w:b/>
        </w:rPr>
        <w:t>4</w:t>
      </w:r>
      <w:r w:rsidR="00523F62">
        <w:rPr>
          <w:rFonts w:ascii="Times New Roman" w:hAnsi="Times New Roman" w:cs="Times New Roman"/>
          <w:b/>
        </w:rPr>
        <w:t>9</w:t>
      </w:r>
      <w:r w:rsidR="009D17E2" w:rsidRPr="00156CD9">
        <w:rPr>
          <w:rFonts w:ascii="Times New Roman" w:hAnsi="Times New Roman" w:cs="Times New Roman"/>
        </w:rPr>
        <w:t xml:space="preserve"> </w:t>
      </w:r>
    </w:p>
    <w:p w14:paraId="300AF976" w14:textId="77777777" w:rsidR="009D17E2" w:rsidRPr="00156CD9" w:rsidRDefault="009D17E2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Rashodi za nabavu nefinancijske imovine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41"/>
        <w:gridCol w:w="3932"/>
        <w:gridCol w:w="567"/>
        <w:gridCol w:w="1418"/>
        <w:gridCol w:w="1275"/>
        <w:gridCol w:w="709"/>
        <w:gridCol w:w="992"/>
      </w:tblGrid>
      <w:tr w:rsidR="007B2CC0" w:rsidRPr="00156CD9" w14:paraId="12AADFCB" w14:textId="77777777" w:rsidTr="00523F62">
        <w:trPr>
          <w:trHeight w:val="52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A23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B289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E1E0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AOP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1962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Ostvareno u izvještajnom razdoblju prethodne godine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8843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Ostvareno u izvještajnom razdoblju tekuće godine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4D00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(5/4)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F0F6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</w:tr>
      <w:tr w:rsidR="007B2CC0" w:rsidRPr="00156CD9" w14:paraId="0ADF9E7E" w14:textId="77777777" w:rsidTr="00523F62">
        <w:trPr>
          <w:trHeight w:val="309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1ABB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4351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238F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1A71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0D55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5D22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A05E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7B2CC0" w:rsidRPr="00156CD9" w14:paraId="790EDD54" w14:textId="77777777" w:rsidTr="00523F62">
        <w:trPr>
          <w:trHeight w:val="4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02F8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AA9A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ACDE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68BB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D4F5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7AC4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A125" w14:textId="5B41C6CD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5-4</w:t>
            </w:r>
          </w:p>
        </w:tc>
      </w:tr>
      <w:tr w:rsidR="007B2CC0" w:rsidRPr="00156CD9" w14:paraId="3B8FC64F" w14:textId="77777777" w:rsidTr="00523F62">
        <w:trPr>
          <w:trHeight w:val="198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680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D76D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dugotrajne imovine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2BCB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D142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2.344.861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8189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2.449.837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0CDB" w14:textId="50137704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104,</w:t>
            </w:r>
            <w:r w:rsidR="00154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0E37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104.976</w:t>
            </w:r>
          </w:p>
        </w:tc>
      </w:tr>
      <w:tr w:rsidR="007B2CC0" w:rsidRPr="00156CD9" w14:paraId="37537BDA" w14:textId="77777777" w:rsidTr="00523F62">
        <w:trPr>
          <w:trHeight w:val="198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8F7B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1FCD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Rashodi za nabavu proizvedene dugotrajne imovine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C533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2B8A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30.968.620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2A32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51.551.147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8A91" w14:textId="6EDACFA5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166,</w:t>
            </w:r>
            <w:r w:rsidR="001547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C4AD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20.582.527</w:t>
            </w:r>
          </w:p>
        </w:tc>
      </w:tr>
      <w:tr w:rsidR="007B2CC0" w:rsidRPr="00156CD9" w14:paraId="1DED0965" w14:textId="77777777" w:rsidTr="00523F62">
        <w:trPr>
          <w:trHeight w:val="198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2281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6D35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Rashodi za dodatna ulaganja na nefinancijske imovini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287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F855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7.556.992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8CB4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2.737.479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953B" w14:textId="63593A40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C8FB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-4.819.513</w:t>
            </w:r>
          </w:p>
        </w:tc>
      </w:tr>
      <w:tr w:rsidR="007B2CC0" w:rsidRPr="00156CD9" w14:paraId="69018BEC" w14:textId="77777777" w:rsidTr="00523F62">
        <w:trPr>
          <w:trHeight w:val="23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2DE7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B1F6" w14:textId="77777777" w:rsidR="007B2CC0" w:rsidRPr="00156CD9" w:rsidRDefault="007B2CC0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094E" w14:textId="77777777" w:rsidR="007B2CC0" w:rsidRPr="00156CD9" w:rsidRDefault="007B2CC0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AE22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40.870.473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1C0E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56.738.463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066C" w14:textId="15C9B99C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460F" w14:textId="77777777" w:rsidR="007B2CC0" w:rsidRPr="00156CD9" w:rsidRDefault="007B2CC0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15.867.990</w:t>
            </w:r>
          </w:p>
        </w:tc>
      </w:tr>
    </w:tbl>
    <w:p w14:paraId="3010F8B0" w14:textId="77777777" w:rsidR="0095249B" w:rsidRPr="00156CD9" w:rsidRDefault="0095249B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72BED297" w14:textId="3EF2A433" w:rsidR="007B2CC0" w:rsidRPr="00156CD9" w:rsidRDefault="007B2CC0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bookmarkStart w:id="4" w:name="_Hlk63859075"/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50</w:t>
      </w:r>
    </w:p>
    <w:p w14:paraId="152F62DE" w14:textId="70FBAEFB" w:rsidR="007B2CC0" w:rsidRPr="00156CD9" w:rsidRDefault="007B2CC0" w:rsidP="00D72BB2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>Licence (AOP353)</w:t>
      </w:r>
      <w:r w:rsidR="00FC258F" w:rsidRPr="00156CD9">
        <w:rPr>
          <w:rFonts w:ascii="Times New Roman" w:hAnsi="Times New Roman" w:cs="Times New Roman"/>
          <w:bCs/>
        </w:rPr>
        <w:t xml:space="preserve"> - iznose 126.838 kn</w:t>
      </w:r>
      <w:r w:rsidR="00FC258F" w:rsidRPr="00156CD9">
        <w:rPr>
          <w:rFonts w:ascii="Times New Roman" w:hAnsi="Times New Roman" w:cs="Times New Roman"/>
        </w:rPr>
        <w:t>, a kupljene su za informatičku podršku.</w:t>
      </w:r>
    </w:p>
    <w:p w14:paraId="484DA33E" w14:textId="77777777" w:rsidR="00CA61D2" w:rsidRPr="00156CD9" w:rsidRDefault="00CA61D2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5AA6799C" w14:textId="53809B62" w:rsidR="0025390A" w:rsidRPr="00156CD9" w:rsidRDefault="0025390A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51</w:t>
      </w:r>
    </w:p>
    <w:bookmarkEnd w:id="4"/>
    <w:p w14:paraId="5285E10B" w14:textId="6392365A" w:rsidR="002D2E26" w:rsidRPr="00156CD9" w:rsidRDefault="0025390A" w:rsidP="00D72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Stambeni objekti</w:t>
      </w:r>
      <w:r w:rsidR="00E23CA1" w:rsidRPr="00156CD9">
        <w:rPr>
          <w:rFonts w:ascii="Times New Roman" w:hAnsi="Times New Roman" w:cs="Times New Roman"/>
          <w:sz w:val="24"/>
          <w:szCs w:val="24"/>
        </w:rPr>
        <w:t xml:space="preserve"> (AOP</w:t>
      </w:r>
      <w:r w:rsidRPr="00156CD9">
        <w:rPr>
          <w:rFonts w:ascii="Times New Roman" w:hAnsi="Times New Roman" w:cs="Times New Roman"/>
          <w:sz w:val="24"/>
          <w:szCs w:val="24"/>
        </w:rPr>
        <w:t>35</w:t>
      </w:r>
      <w:r w:rsidR="00FC258F" w:rsidRPr="00156CD9">
        <w:rPr>
          <w:rFonts w:ascii="Times New Roman" w:hAnsi="Times New Roman" w:cs="Times New Roman"/>
          <w:sz w:val="24"/>
          <w:szCs w:val="24"/>
        </w:rPr>
        <w:t>9</w:t>
      </w:r>
      <w:r w:rsidR="002D2E26" w:rsidRPr="00156CD9">
        <w:rPr>
          <w:rFonts w:ascii="Times New Roman" w:hAnsi="Times New Roman" w:cs="Times New Roman"/>
          <w:sz w:val="24"/>
          <w:szCs w:val="24"/>
        </w:rPr>
        <w:t xml:space="preserve">) - </w:t>
      </w:r>
      <w:r w:rsidR="00F546B9" w:rsidRPr="00156CD9">
        <w:rPr>
          <w:rFonts w:ascii="Times New Roman" w:hAnsi="Times New Roman" w:cs="Times New Roman"/>
          <w:sz w:val="24"/>
          <w:szCs w:val="24"/>
        </w:rPr>
        <w:t xml:space="preserve">iznose </w:t>
      </w:r>
      <w:r w:rsidR="00FC258F" w:rsidRPr="00156CD9">
        <w:rPr>
          <w:rFonts w:ascii="Times New Roman" w:hAnsi="Times New Roman" w:cs="Times New Roman"/>
          <w:sz w:val="24"/>
          <w:szCs w:val="24"/>
        </w:rPr>
        <w:t>95.042</w:t>
      </w:r>
      <w:r w:rsidR="008404E3">
        <w:rPr>
          <w:rFonts w:ascii="Times New Roman" w:hAnsi="Times New Roman" w:cs="Times New Roman"/>
          <w:sz w:val="24"/>
          <w:szCs w:val="24"/>
        </w:rPr>
        <w:t xml:space="preserve"> </w:t>
      </w:r>
      <w:r w:rsidR="00F546B9" w:rsidRPr="00156CD9">
        <w:rPr>
          <w:rFonts w:ascii="Times New Roman" w:hAnsi="Times New Roman" w:cs="Times New Roman"/>
          <w:sz w:val="24"/>
          <w:szCs w:val="24"/>
        </w:rPr>
        <w:t>kn</w:t>
      </w:r>
      <w:r w:rsidR="00F9508C" w:rsidRPr="00156CD9">
        <w:rPr>
          <w:rFonts w:ascii="Times New Roman" w:hAnsi="Times New Roman" w:cs="Times New Roman"/>
          <w:sz w:val="24"/>
          <w:szCs w:val="24"/>
        </w:rPr>
        <w:t xml:space="preserve"> i uvećani su zbog kupnje jednog stana putem sudske nagodbe.</w:t>
      </w:r>
    </w:p>
    <w:p w14:paraId="75173BEF" w14:textId="29486C3B" w:rsidR="00221600" w:rsidRPr="00156CD9" w:rsidRDefault="00221600" w:rsidP="00D72BB2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6C90DD17" w14:textId="18777C07" w:rsidR="00D14635" w:rsidRPr="004135BA" w:rsidRDefault="00D14635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4135BA">
        <w:rPr>
          <w:rFonts w:ascii="Times New Roman" w:hAnsi="Times New Roman" w:cs="Times New Roman"/>
          <w:b/>
        </w:rPr>
        <w:t>BILJEŠKA br.</w:t>
      </w:r>
      <w:r w:rsidR="00D20A20" w:rsidRPr="004135BA">
        <w:rPr>
          <w:rFonts w:ascii="Times New Roman" w:hAnsi="Times New Roman" w:cs="Times New Roman"/>
          <w:b/>
        </w:rPr>
        <w:t xml:space="preserve"> </w:t>
      </w:r>
      <w:r w:rsidR="00D72BB2" w:rsidRPr="004135BA">
        <w:rPr>
          <w:rFonts w:ascii="Times New Roman" w:hAnsi="Times New Roman" w:cs="Times New Roman"/>
          <w:b/>
        </w:rPr>
        <w:t>52</w:t>
      </w:r>
    </w:p>
    <w:p w14:paraId="61651839" w14:textId="398F822D" w:rsidR="00FC258F" w:rsidRPr="004135BA" w:rsidRDefault="00FC258F" w:rsidP="00D72B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BA">
        <w:rPr>
          <w:rFonts w:ascii="Times New Roman" w:hAnsi="Times New Roman" w:cs="Times New Roman"/>
          <w:sz w:val="24"/>
          <w:szCs w:val="24"/>
        </w:rPr>
        <w:t>Poslovni objekti (AOP 360) - iznose 17.</w:t>
      </w:r>
      <w:r w:rsidR="00D20A20" w:rsidRPr="004135BA">
        <w:rPr>
          <w:rFonts w:ascii="Times New Roman" w:hAnsi="Times New Roman" w:cs="Times New Roman"/>
          <w:sz w:val="24"/>
          <w:szCs w:val="24"/>
        </w:rPr>
        <w:t>397.100</w:t>
      </w:r>
      <w:r w:rsidRPr="004135BA">
        <w:rPr>
          <w:rFonts w:ascii="Times New Roman" w:hAnsi="Times New Roman" w:cs="Times New Roman"/>
          <w:sz w:val="24"/>
          <w:szCs w:val="24"/>
        </w:rPr>
        <w:t xml:space="preserve"> kn i povećanje je evidentirano zbog </w:t>
      </w:r>
      <w:r w:rsidR="00D20A20" w:rsidRPr="004135BA">
        <w:rPr>
          <w:rFonts w:ascii="Times New Roman" w:hAnsi="Times New Roman" w:cs="Times New Roman"/>
          <w:sz w:val="24"/>
          <w:szCs w:val="24"/>
        </w:rPr>
        <w:t>provođenja projekta pod nazivom „Pulski fo</w:t>
      </w:r>
      <w:r w:rsidR="004135BA">
        <w:rPr>
          <w:rFonts w:ascii="Times New Roman" w:hAnsi="Times New Roman" w:cs="Times New Roman"/>
          <w:sz w:val="24"/>
          <w:szCs w:val="24"/>
        </w:rPr>
        <w:t>r</w:t>
      </w:r>
      <w:r w:rsidR="00D20A20" w:rsidRPr="004135BA">
        <w:rPr>
          <w:rFonts w:ascii="Times New Roman" w:hAnsi="Times New Roman" w:cs="Times New Roman"/>
          <w:sz w:val="24"/>
          <w:szCs w:val="24"/>
        </w:rPr>
        <w:t xml:space="preserve">tifikacijski sustav kao novi kulturno turistički proizvod“ kojim </w:t>
      </w:r>
      <w:r w:rsidR="00030DFC" w:rsidRPr="004135BA">
        <w:rPr>
          <w:rFonts w:ascii="Times New Roman" w:hAnsi="Times New Roman" w:cs="Times New Roman"/>
          <w:sz w:val="24"/>
          <w:szCs w:val="24"/>
        </w:rPr>
        <w:t>je</w:t>
      </w:r>
      <w:r w:rsidR="00D20A20" w:rsidRPr="004135BA">
        <w:rPr>
          <w:rFonts w:ascii="Times New Roman" w:hAnsi="Times New Roman" w:cs="Times New Roman"/>
          <w:sz w:val="24"/>
          <w:szCs w:val="24"/>
        </w:rPr>
        <w:t xml:space="preserve"> uređ</w:t>
      </w:r>
      <w:r w:rsidR="00030DFC" w:rsidRPr="004135BA">
        <w:rPr>
          <w:rFonts w:ascii="Times New Roman" w:hAnsi="Times New Roman" w:cs="Times New Roman"/>
          <w:sz w:val="24"/>
          <w:szCs w:val="24"/>
        </w:rPr>
        <w:t>ena</w:t>
      </w:r>
      <w:r w:rsidR="00D20A20" w:rsidRPr="004135BA">
        <w:rPr>
          <w:rFonts w:ascii="Times New Roman" w:hAnsi="Times New Roman" w:cs="Times New Roman"/>
          <w:sz w:val="24"/>
          <w:szCs w:val="24"/>
        </w:rPr>
        <w:t xml:space="preserve"> utvrda Kaštel, prov</w:t>
      </w:r>
      <w:r w:rsidR="00030DFC" w:rsidRPr="004135BA">
        <w:rPr>
          <w:rFonts w:ascii="Times New Roman" w:hAnsi="Times New Roman" w:cs="Times New Roman"/>
          <w:sz w:val="24"/>
          <w:szCs w:val="24"/>
        </w:rPr>
        <w:t>eli su se</w:t>
      </w:r>
      <w:r w:rsidR="00D20A20" w:rsidRPr="004135BA">
        <w:rPr>
          <w:rFonts w:ascii="Times New Roman" w:hAnsi="Times New Roman" w:cs="Times New Roman"/>
          <w:sz w:val="24"/>
          <w:szCs w:val="24"/>
        </w:rPr>
        <w:t xml:space="preserve"> radovi na realizaciji dizala koji povez</w:t>
      </w:r>
      <w:r w:rsidR="00030DFC" w:rsidRPr="004135BA">
        <w:rPr>
          <w:rFonts w:ascii="Times New Roman" w:hAnsi="Times New Roman" w:cs="Times New Roman"/>
          <w:sz w:val="24"/>
          <w:szCs w:val="24"/>
        </w:rPr>
        <w:t>uje</w:t>
      </w:r>
      <w:r w:rsidR="00D20A20" w:rsidRPr="004135BA">
        <w:rPr>
          <w:rFonts w:ascii="Times New Roman" w:hAnsi="Times New Roman" w:cs="Times New Roman"/>
          <w:sz w:val="24"/>
          <w:szCs w:val="24"/>
        </w:rPr>
        <w:t xml:space="preserve"> tunele, ure</w:t>
      </w:r>
      <w:r w:rsidR="00030DFC" w:rsidRPr="004135BA">
        <w:rPr>
          <w:rFonts w:ascii="Times New Roman" w:hAnsi="Times New Roman" w:cs="Times New Roman"/>
          <w:sz w:val="24"/>
          <w:szCs w:val="24"/>
        </w:rPr>
        <w:t>dilo</w:t>
      </w:r>
      <w:r w:rsidR="00D20A20" w:rsidRPr="004135BA">
        <w:rPr>
          <w:rFonts w:ascii="Times New Roman" w:hAnsi="Times New Roman" w:cs="Times New Roman"/>
          <w:sz w:val="24"/>
          <w:szCs w:val="24"/>
        </w:rPr>
        <w:t xml:space="preserve"> se dvorište, sanira</w:t>
      </w:r>
      <w:r w:rsidR="00030DFC" w:rsidRPr="004135BA">
        <w:rPr>
          <w:rFonts w:ascii="Times New Roman" w:hAnsi="Times New Roman" w:cs="Times New Roman"/>
          <w:sz w:val="24"/>
          <w:szCs w:val="24"/>
        </w:rPr>
        <w:t>le</w:t>
      </w:r>
      <w:r w:rsidR="00D20A20" w:rsidRPr="004135BA">
        <w:rPr>
          <w:rFonts w:ascii="Times New Roman" w:hAnsi="Times New Roman" w:cs="Times New Roman"/>
          <w:sz w:val="24"/>
          <w:szCs w:val="24"/>
        </w:rPr>
        <w:t xml:space="preserve"> postojeće podzemne i nadzemne građevine i dr., a sve u svrhu promicanja kulturnih i turističkih sadržaja.</w:t>
      </w:r>
    </w:p>
    <w:p w14:paraId="26C7BFA1" w14:textId="580F52D6" w:rsidR="00FC258F" w:rsidRPr="004135BA" w:rsidRDefault="00FC258F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786A1030" w14:textId="7B3C18CC" w:rsidR="00E02627" w:rsidRPr="004135BA" w:rsidRDefault="00E02627" w:rsidP="00D72BB2">
      <w:pPr>
        <w:pStyle w:val="Style20"/>
        <w:widowControl/>
        <w:spacing w:line="276" w:lineRule="auto"/>
        <w:rPr>
          <w:rFonts w:ascii="Times New Roman" w:hAnsi="Times New Roman" w:cs="Times New Roman"/>
        </w:rPr>
      </w:pPr>
      <w:r w:rsidRPr="004135BA">
        <w:rPr>
          <w:rFonts w:ascii="Times New Roman" w:hAnsi="Times New Roman" w:cs="Times New Roman"/>
          <w:b/>
        </w:rPr>
        <w:t xml:space="preserve">BILJEŠKA br. </w:t>
      </w:r>
      <w:r w:rsidR="00D20A20" w:rsidRPr="004135BA">
        <w:rPr>
          <w:rFonts w:ascii="Times New Roman" w:hAnsi="Times New Roman" w:cs="Times New Roman"/>
          <w:b/>
        </w:rPr>
        <w:t>5</w:t>
      </w:r>
      <w:r w:rsidR="00D72BB2" w:rsidRPr="004135BA">
        <w:rPr>
          <w:rFonts w:ascii="Times New Roman" w:hAnsi="Times New Roman" w:cs="Times New Roman"/>
          <w:b/>
        </w:rPr>
        <w:t>3</w:t>
      </w:r>
    </w:p>
    <w:p w14:paraId="56596767" w14:textId="0C77F0B0" w:rsidR="00D20A20" w:rsidRPr="004135BA" w:rsidRDefault="00F546B9" w:rsidP="00D72BB2">
      <w:pPr>
        <w:pStyle w:val="Style20"/>
        <w:widowControl/>
        <w:spacing w:line="276" w:lineRule="auto"/>
        <w:rPr>
          <w:rFonts w:ascii="Times New Roman" w:hAnsi="Times New Roman" w:cs="Times New Roman"/>
        </w:rPr>
      </w:pPr>
      <w:r w:rsidRPr="004135BA">
        <w:rPr>
          <w:rFonts w:ascii="Times New Roman" w:hAnsi="Times New Roman" w:cs="Times New Roman"/>
        </w:rPr>
        <w:t>Ceste, željeznice i ostali prometni objekti (AOP3</w:t>
      </w:r>
      <w:r w:rsidR="00D20A20" w:rsidRPr="004135BA">
        <w:rPr>
          <w:rFonts w:ascii="Times New Roman" w:hAnsi="Times New Roman" w:cs="Times New Roman"/>
        </w:rPr>
        <w:t>61</w:t>
      </w:r>
      <w:r w:rsidRPr="004135BA">
        <w:rPr>
          <w:rFonts w:ascii="Times New Roman" w:hAnsi="Times New Roman" w:cs="Times New Roman"/>
        </w:rPr>
        <w:t xml:space="preserve">) - ostvareni su u iznosu od </w:t>
      </w:r>
      <w:r w:rsidR="00D20A20" w:rsidRPr="004135BA">
        <w:rPr>
          <w:rFonts w:ascii="Times New Roman" w:hAnsi="Times New Roman" w:cs="Times New Roman"/>
        </w:rPr>
        <w:t>20.144.520</w:t>
      </w:r>
      <w:r w:rsidRPr="004135BA">
        <w:rPr>
          <w:rFonts w:ascii="Times New Roman" w:hAnsi="Times New Roman" w:cs="Times New Roman"/>
        </w:rPr>
        <w:t xml:space="preserve"> kn </w:t>
      </w:r>
      <w:r w:rsidR="00E02627" w:rsidRPr="004135BA">
        <w:rPr>
          <w:rFonts w:ascii="Times New Roman" w:hAnsi="Times New Roman" w:cs="Times New Roman"/>
        </w:rPr>
        <w:t xml:space="preserve"> odnosno za </w:t>
      </w:r>
      <w:r w:rsidR="00D20A20" w:rsidRPr="004135BA">
        <w:rPr>
          <w:rFonts w:ascii="Times New Roman" w:hAnsi="Times New Roman" w:cs="Times New Roman"/>
        </w:rPr>
        <w:t>17,2</w:t>
      </w:r>
      <w:r w:rsidR="00E02627" w:rsidRPr="004135BA">
        <w:rPr>
          <w:rFonts w:ascii="Times New Roman" w:hAnsi="Times New Roman" w:cs="Times New Roman"/>
        </w:rPr>
        <w:t>% više,</w:t>
      </w:r>
      <w:r w:rsidRPr="004135BA">
        <w:rPr>
          <w:rFonts w:ascii="Times New Roman" w:hAnsi="Times New Roman" w:cs="Times New Roman"/>
        </w:rPr>
        <w:t xml:space="preserve"> </w:t>
      </w:r>
      <w:r w:rsidR="00E02627" w:rsidRPr="004135BA">
        <w:rPr>
          <w:rFonts w:ascii="Times New Roman" w:hAnsi="Times New Roman" w:cs="Times New Roman"/>
        </w:rPr>
        <w:t xml:space="preserve">zbog </w:t>
      </w:r>
      <w:r w:rsidR="00D20A20" w:rsidRPr="004135BA">
        <w:rPr>
          <w:rFonts w:ascii="Times New Roman" w:hAnsi="Times New Roman" w:cs="Times New Roman"/>
        </w:rPr>
        <w:t>većeg broja pokrenutih investicija izgradnja prometnica u odnosu na isto razdoblje 2020. godine.</w:t>
      </w:r>
    </w:p>
    <w:p w14:paraId="35152014" w14:textId="77777777" w:rsidR="00CA4588" w:rsidRPr="00156CD9" w:rsidRDefault="00CA4588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0F821A22" w14:textId="78984D0A" w:rsidR="00CA4588" w:rsidRPr="00156CD9" w:rsidRDefault="00CA4588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 5</w:t>
      </w:r>
      <w:r w:rsidR="00D72BB2">
        <w:rPr>
          <w:rFonts w:ascii="Times New Roman" w:hAnsi="Times New Roman" w:cs="Times New Roman"/>
          <w:b/>
        </w:rPr>
        <w:t>4</w:t>
      </w:r>
    </w:p>
    <w:p w14:paraId="15C4117D" w14:textId="151FAD03" w:rsidR="00CA4588" w:rsidRPr="00156CD9" w:rsidRDefault="00CA4588" w:rsidP="00D72BB2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>Ostali građevinski objekti (AOP362) - iznose 9.882.738 kn odnosno za 92,4% više nego 2020. godine zbog</w:t>
      </w:r>
      <w:r w:rsidR="00C72ABE" w:rsidRPr="00156CD9">
        <w:rPr>
          <w:rFonts w:ascii="Times New Roman" w:hAnsi="Times New Roman" w:cs="Times New Roman"/>
          <w:bCs/>
        </w:rPr>
        <w:t xml:space="preserve"> sanacije </w:t>
      </w:r>
      <w:r w:rsidR="008404E3">
        <w:rPr>
          <w:rFonts w:ascii="Times New Roman" w:hAnsi="Times New Roman" w:cs="Times New Roman"/>
          <w:bCs/>
        </w:rPr>
        <w:t xml:space="preserve">odlagališta </w:t>
      </w:r>
      <w:r w:rsidR="00AA4B35">
        <w:rPr>
          <w:rFonts w:ascii="Times New Roman" w:hAnsi="Times New Roman" w:cs="Times New Roman"/>
          <w:bCs/>
        </w:rPr>
        <w:t xml:space="preserve">otpada </w:t>
      </w:r>
      <w:proofErr w:type="spellStart"/>
      <w:r w:rsidR="00AA4B35">
        <w:rPr>
          <w:rFonts w:ascii="Times New Roman" w:hAnsi="Times New Roman" w:cs="Times New Roman"/>
          <w:bCs/>
        </w:rPr>
        <w:t>Kaštijun</w:t>
      </w:r>
      <w:proofErr w:type="spellEnd"/>
      <w:r w:rsidR="00C72ABE" w:rsidRPr="00156CD9">
        <w:rPr>
          <w:rFonts w:ascii="Times New Roman" w:hAnsi="Times New Roman" w:cs="Times New Roman"/>
          <w:bCs/>
        </w:rPr>
        <w:t xml:space="preserve"> te </w:t>
      </w:r>
      <w:r w:rsidR="00030DFC">
        <w:rPr>
          <w:rFonts w:ascii="Times New Roman" w:hAnsi="Times New Roman" w:cs="Times New Roman"/>
          <w:bCs/>
        </w:rPr>
        <w:t>realizacije projekta i</w:t>
      </w:r>
      <w:r w:rsidR="00C72ABE" w:rsidRPr="00156CD9">
        <w:rPr>
          <w:rFonts w:ascii="Times New Roman" w:hAnsi="Times New Roman" w:cs="Times New Roman"/>
          <w:bCs/>
        </w:rPr>
        <w:t>zgradnje skloništa za životinje.</w:t>
      </w:r>
    </w:p>
    <w:p w14:paraId="281A8442" w14:textId="1C50A3F5" w:rsidR="003D5BF9" w:rsidRPr="00156CD9" w:rsidRDefault="003D5BF9" w:rsidP="00D72BB2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</w:p>
    <w:p w14:paraId="60A48853" w14:textId="2A2B7651" w:rsidR="003D5BF9" w:rsidRPr="00156CD9" w:rsidRDefault="003D5BF9" w:rsidP="00D72BB2">
      <w:pPr>
        <w:pStyle w:val="Style20"/>
        <w:widowControl/>
        <w:spacing w:line="276" w:lineRule="auto"/>
        <w:rPr>
          <w:rFonts w:ascii="Times New Roman" w:hAnsi="Times New Roman" w:cs="Times New Roman"/>
        </w:rPr>
      </w:pPr>
      <w:r w:rsidRPr="00156CD9">
        <w:rPr>
          <w:rFonts w:ascii="Times New Roman" w:hAnsi="Times New Roman" w:cs="Times New Roman"/>
          <w:b/>
        </w:rPr>
        <w:t>BILJEŠKA br. 5</w:t>
      </w:r>
      <w:r w:rsidR="00D72BB2">
        <w:rPr>
          <w:rFonts w:ascii="Times New Roman" w:hAnsi="Times New Roman" w:cs="Times New Roman"/>
          <w:b/>
        </w:rPr>
        <w:t>5</w:t>
      </w:r>
      <w:r w:rsidRPr="00156CD9">
        <w:rPr>
          <w:rFonts w:ascii="Times New Roman" w:hAnsi="Times New Roman" w:cs="Times New Roman"/>
        </w:rPr>
        <w:t xml:space="preserve"> </w:t>
      </w:r>
    </w:p>
    <w:p w14:paraId="230EB058" w14:textId="77777777" w:rsidR="003D5BF9" w:rsidRPr="00156CD9" w:rsidRDefault="003D5BF9" w:rsidP="00D72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Uređaji, strojevi i oprema za ostale namjene (AOP370) - iznose 1.170.880 kn i smanjeni su jer su u 2020. godini bila veća izdvajanja zbog kupnje posuda za selektivno prikupljanje otpada.</w:t>
      </w:r>
    </w:p>
    <w:p w14:paraId="51D6BC18" w14:textId="77777777" w:rsidR="003D5BF9" w:rsidRPr="00156CD9" w:rsidRDefault="003D5BF9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229D99F6" w14:textId="77777777" w:rsidR="00C45CCD" w:rsidRDefault="00C45CCD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790AF459" w14:textId="67A7921F" w:rsidR="003D5BF9" w:rsidRPr="00156CD9" w:rsidRDefault="003D5BF9" w:rsidP="00D72BB2">
      <w:pPr>
        <w:pStyle w:val="Style20"/>
        <w:widowControl/>
        <w:spacing w:line="276" w:lineRule="auto"/>
        <w:rPr>
          <w:rFonts w:ascii="Times New Roman" w:hAnsi="Times New Roman" w:cs="Times New Roman"/>
        </w:rPr>
      </w:pPr>
      <w:r w:rsidRPr="00156CD9">
        <w:rPr>
          <w:rFonts w:ascii="Times New Roman" w:hAnsi="Times New Roman" w:cs="Times New Roman"/>
          <w:b/>
        </w:rPr>
        <w:lastRenderedPageBreak/>
        <w:t>BILJEŠKA br. 5</w:t>
      </w:r>
      <w:r w:rsidR="00D72BB2">
        <w:rPr>
          <w:rFonts w:ascii="Times New Roman" w:hAnsi="Times New Roman" w:cs="Times New Roman"/>
          <w:b/>
        </w:rPr>
        <w:t>6</w:t>
      </w:r>
    </w:p>
    <w:p w14:paraId="344D010E" w14:textId="6A43DCD3" w:rsidR="003D5BF9" w:rsidRPr="00156CD9" w:rsidRDefault="003D5BF9" w:rsidP="00D72BB2">
      <w:pPr>
        <w:pStyle w:val="Style20"/>
        <w:widowControl/>
        <w:spacing w:line="276" w:lineRule="auto"/>
        <w:rPr>
          <w:rFonts w:ascii="Times New Roman" w:hAnsi="Times New Roman" w:cs="Times New Roman"/>
        </w:rPr>
      </w:pPr>
      <w:r w:rsidRPr="00156CD9">
        <w:rPr>
          <w:rFonts w:ascii="Times New Roman" w:hAnsi="Times New Roman" w:cs="Times New Roman"/>
        </w:rPr>
        <w:t>Prijevozna sredstva u pomorskom i riječnom prometu (AOP37</w:t>
      </w:r>
      <w:r w:rsidR="000A01A7" w:rsidRPr="00156CD9">
        <w:rPr>
          <w:rFonts w:ascii="Times New Roman" w:hAnsi="Times New Roman" w:cs="Times New Roman"/>
        </w:rPr>
        <w:t>5</w:t>
      </w:r>
      <w:r w:rsidRPr="00156CD9">
        <w:rPr>
          <w:rFonts w:ascii="Times New Roman" w:hAnsi="Times New Roman" w:cs="Times New Roman"/>
        </w:rPr>
        <w:t>) - u 2020. godini je evidentirana kapitalna donacija u iznosu od 570.000 kn, plovila primljena ostavinskim rješenjem.</w:t>
      </w:r>
    </w:p>
    <w:p w14:paraId="011347E2" w14:textId="1CEFEE40" w:rsidR="00D72BB2" w:rsidRDefault="00D72BB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FF4245" w14:textId="75D82BBF" w:rsidR="000A01A7" w:rsidRPr="00156CD9" w:rsidRDefault="00D72BB2" w:rsidP="00D72BB2">
      <w:pPr>
        <w:pStyle w:val="Style20"/>
        <w:widowControl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</w:t>
      </w:r>
      <w:r w:rsidR="000A01A7" w:rsidRPr="00156CD9">
        <w:rPr>
          <w:rFonts w:ascii="Times New Roman" w:hAnsi="Times New Roman" w:cs="Times New Roman"/>
          <w:b/>
        </w:rPr>
        <w:t>ILJEŠKA br. 5</w:t>
      </w:r>
      <w:r>
        <w:rPr>
          <w:rFonts w:ascii="Times New Roman" w:hAnsi="Times New Roman" w:cs="Times New Roman"/>
          <w:b/>
        </w:rPr>
        <w:t>7</w:t>
      </w:r>
    </w:p>
    <w:p w14:paraId="3A9E516B" w14:textId="097F70B8" w:rsidR="000A01A7" w:rsidRPr="00156CD9" w:rsidRDefault="000A01A7" w:rsidP="00D72BB2">
      <w:pPr>
        <w:pStyle w:val="Style20"/>
        <w:widowControl/>
        <w:spacing w:line="276" w:lineRule="auto"/>
        <w:rPr>
          <w:rFonts w:ascii="Times New Roman" w:hAnsi="Times New Roman" w:cs="Times New Roman"/>
        </w:rPr>
      </w:pPr>
      <w:r w:rsidRPr="00156CD9">
        <w:rPr>
          <w:rFonts w:ascii="Times New Roman" w:hAnsi="Times New Roman" w:cs="Times New Roman"/>
        </w:rPr>
        <w:t>Ostale nespomenute izložbene vrijednosti (AOP381) - u 2021. godini nisu realizirane, a u 2020. godini iznose 100.000 kn zbog kupnje umjetničkih fotografija</w:t>
      </w:r>
      <w:r w:rsidR="008404E3">
        <w:rPr>
          <w:rFonts w:ascii="Times New Roman" w:hAnsi="Times New Roman" w:cs="Times New Roman"/>
        </w:rPr>
        <w:t>.</w:t>
      </w:r>
    </w:p>
    <w:p w14:paraId="045730D0" w14:textId="77777777" w:rsidR="000A01A7" w:rsidRPr="00156CD9" w:rsidRDefault="000A01A7" w:rsidP="00D72B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D0C50" w14:textId="0FDBE60B" w:rsidR="001C071A" w:rsidRPr="00156CD9" w:rsidRDefault="001C071A" w:rsidP="00D72B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 xml:space="preserve">BILJEŠKA br. </w:t>
      </w:r>
      <w:r w:rsidR="003D5BF9" w:rsidRPr="00156CD9">
        <w:rPr>
          <w:rFonts w:ascii="Times New Roman" w:hAnsi="Times New Roman" w:cs="Times New Roman"/>
          <w:b/>
          <w:sz w:val="24"/>
          <w:szCs w:val="24"/>
        </w:rPr>
        <w:t>5</w:t>
      </w:r>
      <w:r w:rsidR="00D72BB2">
        <w:rPr>
          <w:rFonts w:ascii="Times New Roman" w:hAnsi="Times New Roman" w:cs="Times New Roman"/>
          <w:b/>
          <w:sz w:val="24"/>
          <w:szCs w:val="24"/>
        </w:rPr>
        <w:t>8</w:t>
      </w:r>
    </w:p>
    <w:p w14:paraId="34BE1B86" w14:textId="0CE53AFA" w:rsidR="001C071A" w:rsidRPr="00156CD9" w:rsidRDefault="001C071A" w:rsidP="00D72BB2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bCs/>
          <w:sz w:val="24"/>
          <w:szCs w:val="24"/>
        </w:rPr>
        <w:t xml:space="preserve">Umjetnička, literarna i znanstvena djela (AOP388) - iznose </w:t>
      </w:r>
      <w:r w:rsidR="0079708F" w:rsidRPr="00156CD9">
        <w:rPr>
          <w:rFonts w:ascii="Times New Roman" w:hAnsi="Times New Roman" w:cs="Times New Roman"/>
          <w:bCs/>
          <w:sz w:val="24"/>
          <w:szCs w:val="24"/>
        </w:rPr>
        <w:t>885.444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kn i za razliku od 2020. godine u 2021. godini su evidentirane donacije </w:t>
      </w:r>
      <w:r w:rsidRPr="00156CD9">
        <w:rPr>
          <w:rFonts w:ascii="Times New Roman" w:hAnsi="Times New Roman" w:cs="Times New Roman"/>
          <w:sz w:val="24"/>
          <w:szCs w:val="24"/>
        </w:rPr>
        <w:t xml:space="preserve">Plana u vrijednosti od 187.500 kn, usluge izrade plana razvoja grada u iznosu od </w:t>
      </w:r>
      <w:r w:rsidR="0079708F" w:rsidRPr="00156CD9">
        <w:rPr>
          <w:rFonts w:ascii="Times New Roman" w:hAnsi="Times New Roman" w:cs="Times New Roman"/>
          <w:sz w:val="24"/>
          <w:szCs w:val="24"/>
        </w:rPr>
        <w:t>557.106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te ostal</w:t>
      </w:r>
      <w:r w:rsidR="003D5BF9" w:rsidRPr="00156CD9">
        <w:rPr>
          <w:rFonts w:ascii="Times New Roman" w:hAnsi="Times New Roman" w:cs="Times New Roman"/>
          <w:sz w:val="24"/>
          <w:szCs w:val="24"/>
        </w:rPr>
        <w:t>i</w:t>
      </w:r>
      <w:r w:rsidRPr="00156CD9">
        <w:rPr>
          <w:rFonts w:ascii="Times New Roman" w:hAnsi="Times New Roman" w:cs="Times New Roman"/>
          <w:sz w:val="24"/>
          <w:szCs w:val="24"/>
        </w:rPr>
        <w:t xml:space="preserve"> dokumente prostornog uređenja </w:t>
      </w:r>
      <w:r w:rsidR="003D5BF9" w:rsidRPr="00156CD9">
        <w:rPr>
          <w:rFonts w:ascii="Times New Roman" w:hAnsi="Times New Roman" w:cs="Times New Roman"/>
          <w:sz w:val="24"/>
          <w:szCs w:val="24"/>
        </w:rPr>
        <w:t xml:space="preserve">u </w:t>
      </w:r>
      <w:r w:rsidRPr="00156CD9">
        <w:rPr>
          <w:rFonts w:ascii="Times New Roman" w:hAnsi="Times New Roman" w:cs="Times New Roman"/>
          <w:sz w:val="24"/>
          <w:szCs w:val="24"/>
        </w:rPr>
        <w:t>iznos</w:t>
      </w:r>
      <w:r w:rsidR="003D5BF9" w:rsidRPr="00156CD9">
        <w:rPr>
          <w:rFonts w:ascii="Times New Roman" w:hAnsi="Times New Roman" w:cs="Times New Roman"/>
          <w:sz w:val="24"/>
          <w:szCs w:val="24"/>
        </w:rPr>
        <w:t>u</w:t>
      </w:r>
      <w:r w:rsidRPr="00156CD9">
        <w:rPr>
          <w:rFonts w:ascii="Times New Roman" w:hAnsi="Times New Roman" w:cs="Times New Roman"/>
          <w:sz w:val="24"/>
          <w:szCs w:val="24"/>
        </w:rPr>
        <w:t xml:space="preserve"> od </w:t>
      </w:r>
      <w:r w:rsidR="003D5BF9" w:rsidRPr="00156CD9">
        <w:rPr>
          <w:rFonts w:ascii="Times New Roman" w:hAnsi="Times New Roman" w:cs="Times New Roman"/>
          <w:sz w:val="24"/>
          <w:szCs w:val="24"/>
        </w:rPr>
        <w:t>140.838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5F5D8F29" w14:textId="77777777" w:rsidR="001529B9" w:rsidRPr="00156CD9" w:rsidRDefault="001529B9" w:rsidP="00D72BB2">
      <w:pPr>
        <w:pStyle w:val="Style20"/>
        <w:widowControl/>
        <w:spacing w:line="276" w:lineRule="auto"/>
        <w:rPr>
          <w:rFonts w:ascii="Times New Roman" w:hAnsi="Times New Roman" w:cs="Times New Roman"/>
        </w:rPr>
      </w:pPr>
    </w:p>
    <w:p w14:paraId="234A0059" w14:textId="77121DDA" w:rsidR="001529B9" w:rsidRPr="00156CD9" w:rsidRDefault="001529B9" w:rsidP="00D72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 xml:space="preserve">BILJEŠKA br. </w:t>
      </w:r>
      <w:r w:rsidR="00B07729" w:rsidRPr="00156CD9">
        <w:rPr>
          <w:rFonts w:ascii="Times New Roman" w:hAnsi="Times New Roman" w:cs="Times New Roman"/>
          <w:b/>
          <w:sz w:val="24"/>
          <w:szCs w:val="24"/>
        </w:rPr>
        <w:t>5</w:t>
      </w:r>
      <w:r w:rsidR="00D72BB2">
        <w:rPr>
          <w:rFonts w:ascii="Times New Roman" w:hAnsi="Times New Roman" w:cs="Times New Roman"/>
          <w:b/>
          <w:sz w:val="24"/>
          <w:szCs w:val="24"/>
        </w:rPr>
        <w:t>9</w:t>
      </w:r>
    </w:p>
    <w:p w14:paraId="54CA8883" w14:textId="35FED48E" w:rsidR="00A23AED" w:rsidRPr="00156CD9" w:rsidRDefault="004C4188" w:rsidP="00D72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D</w:t>
      </w:r>
      <w:r w:rsidR="00221600" w:rsidRPr="00156CD9">
        <w:rPr>
          <w:rFonts w:ascii="Times New Roman" w:hAnsi="Times New Roman" w:cs="Times New Roman"/>
          <w:sz w:val="24"/>
          <w:szCs w:val="24"/>
        </w:rPr>
        <w:t xml:space="preserve">odatna ulaganja na </w:t>
      </w:r>
      <w:r w:rsidRPr="00156CD9">
        <w:rPr>
          <w:rFonts w:ascii="Times New Roman" w:hAnsi="Times New Roman" w:cs="Times New Roman"/>
          <w:sz w:val="24"/>
          <w:szCs w:val="24"/>
        </w:rPr>
        <w:t>građevinskim objektima</w:t>
      </w:r>
      <w:r w:rsidR="003100E4" w:rsidRPr="00156CD9">
        <w:rPr>
          <w:rFonts w:ascii="Times New Roman" w:hAnsi="Times New Roman" w:cs="Times New Roman"/>
          <w:sz w:val="24"/>
          <w:szCs w:val="24"/>
        </w:rPr>
        <w:t xml:space="preserve"> (AOP39</w:t>
      </w:r>
      <w:r w:rsidR="00241DA3">
        <w:rPr>
          <w:rFonts w:ascii="Times New Roman" w:hAnsi="Times New Roman" w:cs="Times New Roman"/>
          <w:sz w:val="24"/>
          <w:szCs w:val="24"/>
        </w:rPr>
        <w:t>7</w:t>
      </w:r>
      <w:r w:rsidR="003100E4" w:rsidRPr="00156CD9">
        <w:rPr>
          <w:rFonts w:ascii="Times New Roman" w:hAnsi="Times New Roman" w:cs="Times New Roman"/>
          <w:sz w:val="24"/>
          <w:szCs w:val="24"/>
        </w:rPr>
        <w:t xml:space="preserve">) - </w:t>
      </w:r>
      <w:r w:rsidR="00221600" w:rsidRPr="00156CD9">
        <w:rPr>
          <w:rFonts w:ascii="Times New Roman" w:hAnsi="Times New Roman" w:cs="Times New Roman"/>
          <w:sz w:val="24"/>
          <w:szCs w:val="24"/>
        </w:rPr>
        <w:t xml:space="preserve">iznose </w:t>
      </w:r>
      <w:r w:rsidRPr="00156CD9">
        <w:rPr>
          <w:rFonts w:ascii="Times New Roman" w:hAnsi="Times New Roman" w:cs="Times New Roman"/>
          <w:sz w:val="24"/>
          <w:szCs w:val="24"/>
        </w:rPr>
        <w:t>1.031.815</w:t>
      </w:r>
      <w:r w:rsidR="00221600" w:rsidRPr="00156CD9">
        <w:rPr>
          <w:rFonts w:ascii="Times New Roman" w:hAnsi="Times New Roman" w:cs="Times New Roman"/>
          <w:sz w:val="24"/>
          <w:szCs w:val="24"/>
        </w:rPr>
        <w:t xml:space="preserve"> kn i ostvareni su za </w:t>
      </w:r>
      <w:r w:rsidRPr="00156CD9">
        <w:rPr>
          <w:rFonts w:ascii="Times New Roman" w:hAnsi="Times New Roman" w:cs="Times New Roman"/>
          <w:sz w:val="24"/>
          <w:szCs w:val="24"/>
        </w:rPr>
        <w:t>82,4</w:t>
      </w:r>
      <w:r w:rsidR="00221600" w:rsidRPr="00156CD9">
        <w:rPr>
          <w:rFonts w:ascii="Times New Roman" w:hAnsi="Times New Roman" w:cs="Times New Roman"/>
          <w:sz w:val="24"/>
          <w:szCs w:val="24"/>
        </w:rPr>
        <w:t xml:space="preserve">% </w:t>
      </w:r>
      <w:r w:rsidRPr="00156CD9">
        <w:rPr>
          <w:rFonts w:ascii="Times New Roman" w:hAnsi="Times New Roman" w:cs="Times New Roman"/>
          <w:sz w:val="24"/>
          <w:szCs w:val="24"/>
        </w:rPr>
        <w:t>manje</w:t>
      </w:r>
      <w:r w:rsidR="00DE07B1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>jer su u 2020. godini</w:t>
      </w:r>
      <w:r w:rsidR="00221600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>izvedeni radovi</w:t>
      </w:r>
      <w:r w:rsidR="007B6D18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1529B9" w:rsidRPr="00156CD9">
        <w:rPr>
          <w:rFonts w:ascii="Times New Roman" w:hAnsi="Times New Roman" w:cs="Times New Roman"/>
          <w:sz w:val="24"/>
          <w:szCs w:val="24"/>
        </w:rPr>
        <w:t>energetsk</w:t>
      </w:r>
      <w:r w:rsidR="007B6D18" w:rsidRPr="00156CD9">
        <w:rPr>
          <w:rFonts w:ascii="Times New Roman" w:hAnsi="Times New Roman" w:cs="Times New Roman"/>
          <w:sz w:val="24"/>
          <w:szCs w:val="24"/>
        </w:rPr>
        <w:t>e</w:t>
      </w:r>
      <w:r w:rsidR="001529B9" w:rsidRPr="00156CD9">
        <w:rPr>
          <w:rFonts w:ascii="Times New Roman" w:hAnsi="Times New Roman" w:cs="Times New Roman"/>
          <w:sz w:val="24"/>
          <w:szCs w:val="24"/>
        </w:rPr>
        <w:t xml:space="preserve"> obnov</w:t>
      </w:r>
      <w:r w:rsidR="007B6D18" w:rsidRPr="00156CD9">
        <w:rPr>
          <w:rFonts w:ascii="Times New Roman" w:hAnsi="Times New Roman" w:cs="Times New Roman"/>
          <w:sz w:val="24"/>
          <w:szCs w:val="24"/>
        </w:rPr>
        <w:t>e</w:t>
      </w:r>
      <w:r w:rsidR="001529B9" w:rsidRPr="00156CD9">
        <w:rPr>
          <w:rFonts w:ascii="Times New Roman" w:hAnsi="Times New Roman" w:cs="Times New Roman"/>
          <w:sz w:val="24"/>
          <w:szCs w:val="24"/>
        </w:rPr>
        <w:t xml:space="preserve"> zgrade Dječjeg kreativnog centra</w:t>
      </w:r>
      <w:r w:rsidR="00DE07B1" w:rsidRPr="00156CD9">
        <w:rPr>
          <w:rFonts w:ascii="Times New Roman" w:hAnsi="Times New Roman" w:cs="Times New Roman"/>
          <w:sz w:val="24"/>
          <w:szCs w:val="24"/>
        </w:rPr>
        <w:t xml:space="preserve">, </w:t>
      </w:r>
      <w:r w:rsidR="007B6D18" w:rsidRPr="00156CD9">
        <w:rPr>
          <w:rFonts w:ascii="Times New Roman" w:hAnsi="Times New Roman" w:cs="Times New Roman"/>
          <w:sz w:val="24"/>
          <w:szCs w:val="24"/>
        </w:rPr>
        <w:t xml:space="preserve">popravka krova u </w:t>
      </w:r>
      <w:bookmarkStart w:id="5" w:name="_Hlk95397954"/>
      <w:r w:rsidR="00241DA3">
        <w:rPr>
          <w:rFonts w:ascii="Times New Roman" w:hAnsi="Times New Roman" w:cs="Times New Roman"/>
          <w:sz w:val="24"/>
          <w:szCs w:val="24"/>
        </w:rPr>
        <w:t>D</w:t>
      </w:r>
      <w:r w:rsidR="007B6D18" w:rsidRPr="00156CD9">
        <w:rPr>
          <w:rFonts w:ascii="Times New Roman" w:hAnsi="Times New Roman" w:cs="Times New Roman"/>
          <w:sz w:val="24"/>
          <w:szCs w:val="24"/>
        </w:rPr>
        <w:t xml:space="preserve">ruštvenom centru </w:t>
      </w:r>
      <w:proofErr w:type="spellStart"/>
      <w:r w:rsidR="007B6D18" w:rsidRPr="00156CD9">
        <w:rPr>
          <w:rFonts w:ascii="Times New Roman" w:hAnsi="Times New Roman" w:cs="Times New Roman"/>
          <w:sz w:val="24"/>
          <w:szCs w:val="24"/>
        </w:rPr>
        <w:t>Rojc</w:t>
      </w:r>
      <w:proofErr w:type="spellEnd"/>
      <w:r w:rsidR="00DE07B1" w:rsidRPr="00156CD9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DE07B1" w:rsidRPr="00156CD9">
        <w:rPr>
          <w:rFonts w:ascii="Times New Roman" w:hAnsi="Times New Roman" w:cs="Times New Roman"/>
          <w:sz w:val="24"/>
          <w:szCs w:val="24"/>
        </w:rPr>
        <w:t>te</w:t>
      </w:r>
      <w:r w:rsidR="001529B9" w:rsidRPr="00156CD9">
        <w:rPr>
          <w:rFonts w:ascii="Times New Roman" w:hAnsi="Times New Roman" w:cs="Times New Roman"/>
          <w:sz w:val="24"/>
          <w:szCs w:val="24"/>
        </w:rPr>
        <w:t xml:space="preserve"> dodatn</w:t>
      </w:r>
      <w:r w:rsidR="00DE07B1" w:rsidRPr="00156CD9">
        <w:rPr>
          <w:rFonts w:ascii="Times New Roman" w:hAnsi="Times New Roman" w:cs="Times New Roman"/>
          <w:sz w:val="24"/>
          <w:szCs w:val="24"/>
        </w:rPr>
        <w:t>ih</w:t>
      </w:r>
      <w:r w:rsidR="001529B9" w:rsidRPr="00156CD9">
        <w:rPr>
          <w:rFonts w:ascii="Times New Roman" w:hAnsi="Times New Roman" w:cs="Times New Roman"/>
          <w:sz w:val="24"/>
          <w:szCs w:val="24"/>
        </w:rPr>
        <w:t xml:space="preserve"> ulaganja </w:t>
      </w:r>
      <w:r w:rsidR="00DE07B1" w:rsidRPr="00156CD9">
        <w:rPr>
          <w:rFonts w:ascii="Times New Roman" w:hAnsi="Times New Roman" w:cs="Times New Roman"/>
          <w:sz w:val="24"/>
          <w:szCs w:val="24"/>
        </w:rPr>
        <w:t xml:space="preserve">u Školi za odgoj i obrazovanje - kupnja i ugradnja dizala za osobe s invaliditetom, izgradnja platforme te adaptacija sanitarija. </w:t>
      </w:r>
      <w:r w:rsidRPr="00156CD9">
        <w:rPr>
          <w:rFonts w:ascii="Times New Roman" w:hAnsi="Times New Roman" w:cs="Times New Roman"/>
          <w:sz w:val="24"/>
          <w:szCs w:val="24"/>
        </w:rPr>
        <w:t xml:space="preserve">U 2021. godini </w:t>
      </w:r>
      <w:r w:rsidR="00030DFC">
        <w:rPr>
          <w:rFonts w:ascii="Times New Roman" w:hAnsi="Times New Roman" w:cs="Times New Roman"/>
          <w:sz w:val="24"/>
          <w:szCs w:val="24"/>
        </w:rPr>
        <w:t>izvršena su ulaganja u</w:t>
      </w:r>
      <w:r w:rsidRPr="00156CD9">
        <w:rPr>
          <w:rFonts w:ascii="Times New Roman" w:hAnsi="Times New Roman" w:cs="Times New Roman"/>
          <w:sz w:val="24"/>
          <w:szCs w:val="24"/>
        </w:rPr>
        <w:t xml:space="preserve"> sanaciju zgrade </w:t>
      </w:r>
      <w:r w:rsidR="00241DA3">
        <w:rPr>
          <w:rFonts w:ascii="Times New Roman" w:hAnsi="Times New Roman" w:cs="Times New Roman"/>
          <w:sz w:val="24"/>
          <w:szCs w:val="24"/>
        </w:rPr>
        <w:t>D</w:t>
      </w:r>
      <w:r w:rsidRPr="00156CD9">
        <w:rPr>
          <w:rFonts w:ascii="Times New Roman" w:hAnsi="Times New Roman" w:cs="Times New Roman"/>
          <w:sz w:val="24"/>
          <w:szCs w:val="24"/>
        </w:rPr>
        <w:t xml:space="preserve">ruštvenog centra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Rojc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>.</w:t>
      </w:r>
    </w:p>
    <w:p w14:paraId="4A86BB81" w14:textId="77777777" w:rsidR="00F80E5B" w:rsidRPr="00156CD9" w:rsidRDefault="00F80E5B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3339437C" w14:textId="6B5E7BFE" w:rsidR="00F80E5B" w:rsidRPr="00156CD9" w:rsidRDefault="00B9440E" w:rsidP="00D72BB2">
      <w:pPr>
        <w:pStyle w:val="Style20"/>
        <w:widowControl/>
        <w:spacing w:line="276" w:lineRule="auto"/>
        <w:rPr>
          <w:rFonts w:ascii="Times New Roman" w:hAnsi="Times New Roman" w:cs="Times New Roman"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60</w:t>
      </w:r>
    </w:p>
    <w:p w14:paraId="1EE5FF5A" w14:textId="7913FE69" w:rsidR="001B42E1" w:rsidRPr="00156CD9" w:rsidRDefault="00174DBB" w:rsidP="00D72BB2">
      <w:pPr>
        <w:pStyle w:val="Style20"/>
        <w:widowControl/>
        <w:spacing w:line="276" w:lineRule="auto"/>
        <w:rPr>
          <w:rFonts w:ascii="Times New Roman" w:hAnsi="Times New Roman" w:cs="Times New Roman"/>
        </w:rPr>
      </w:pPr>
      <w:r w:rsidRPr="00156CD9">
        <w:rPr>
          <w:rFonts w:ascii="Times New Roman" w:hAnsi="Times New Roman" w:cs="Times New Roman"/>
        </w:rPr>
        <w:t xml:space="preserve">PRIMICI OD FINANCIJSKE IMOVINE I ZADUŽIVANJA </w:t>
      </w:r>
      <w:r w:rsidR="00B9440E" w:rsidRPr="00156CD9">
        <w:rPr>
          <w:rFonts w:ascii="Times New Roman" w:hAnsi="Times New Roman" w:cs="Times New Roman"/>
        </w:rPr>
        <w:t>(AOP4</w:t>
      </w:r>
      <w:r w:rsidR="001B42E1" w:rsidRPr="00156CD9">
        <w:rPr>
          <w:rFonts w:ascii="Times New Roman" w:hAnsi="Times New Roman" w:cs="Times New Roman"/>
        </w:rPr>
        <w:t>10</w:t>
      </w:r>
      <w:r w:rsidR="00B9440E" w:rsidRPr="00156CD9">
        <w:rPr>
          <w:rFonts w:ascii="Times New Roman" w:hAnsi="Times New Roman" w:cs="Times New Roman"/>
        </w:rPr>
        <w:t xml:space="preserve">) </w:t>
      </w:r>
      <w:r w:rsidR="005A0C69" w:rsidRPr="00156CD9">
        <w:rPr>
          <w:rFonts w:ascii="Times New Roman" w:hAnsi="Times New Roman" w:cs="Times New Roman"/>
        </w:rPr>
        <w:t xml:space="preserve"> - iznose 0 odnosno u 20</w:t>
      </w:r>
      <w:r w:rsidR="00F80E5B" w:rsidRPr="00156CD9">
        <w:rPr>
          <w:rFonts w:ascii="Times New Roman" w:hAnsi="Times New Roman" w:cs="Times New Roman"/>
        </w:rPr>
        <w:t>2</w:t>
      </w:r>
      <w:r w:rsidR="00030DFC">
        <w:rPr>
          <w:rFonts w:ascii="Times New Roman" w:hAnsi="Times New Roman" w:cs="Times New Roman"/>
        </w:rPr>
        <w:t>1</w:t>
      </w:r>
      <w:r w:rsidR="005A0C69" w:rsidRPr="00156CD9">
        <w:rPr>
          <w:rFonts w:ascii="Times New Roman" w:hAnsi="Times New Roman" w:cs="Times New Roman"/>
        </w:rPr>
        <w:t>. god</w:t>
      </w:r>
      <w:r w:rsidR="008404E3">
        <w:rPr>
          <w:rFonts w:ascii="Times New Roman" w:hAnsi="Times New Roman" w:cs="Times New Roman"/>
        </w:rPr>
        <w:t>i</w:t>
      </w:r>
      <w:r w:rsidR="005A0C69" w:rsidRPr="00156CD9">
        <w:rPr>
          <w:rFonts w:ascii="Times New Roman" w:hAnsi="Times New Roman" w:cs="Times New Roman"/>
        </w:rPr>
        <w:t xml:space="preserve">ni </w:t>
      </w:r>
      <w:r w:rsidR="006F5791" w:rsidRPr="00156CD9">
        <w:rPr>
          <w:rFonts w:ascii="Times New Roman" w:hAnsi="Times New Roman" w:cs="Times New Roman"/>
        </w:rPr>
        <w:t>nije bilo novog zaduženja.</w:t>
      </w:r>
      <w:r w:rsidR="001B42E1" w:rsidRPr="00156CD9">
        <w:rPr>
          <w:rFonts w:ascii="Times New Roman" w:hAnsi="Times New Roman" w:cs="Times New Roman"/>
        </w:rPr>
        <w:t xml:space="preserve"> </w:t>
      </w:r>
      <w:r w:rsidR="00B9440E" w:rsidRPr="00156CD9">
        <w:rPr>
          <w:rFonts w:ascii="Times New Roman" w:hAnsi="Times New Roman" w:cs="Times New Roman"/>
        </w:rPr>
        <w:t xml:space="preserve"> </w:t>
      </w:r>
      <w:r w:rsidR="001B42E1" w:rsidRPr="00156CD9">
        <w:rPr>
          <w:rFonts w:ascii="Times New Roman" w:hAnsi="Times New Roman" w:cs="Times New Roman"/>
        </w:rPr>
        <w:t xml:space="preserve"> </w:t>
      </w:r>
    </w:p>
    <w:p w14:paraId="28020B7C" w14:textId="77777777" w:rsidR="005A0C69" w:rsidRPr="00156CD9" w:rsidRDefault="005A0C69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717F6232" w14:textId="0F13EB7F" w:rsidR="00171C18" w:rsidRDefault="00171C18" w:rsidP="00D72BB2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61</w:t>
      </w:r>
    </w:p>
    <w:p w14:paraId="3F76E450" w14:textId="77777777" w:rsidR="00171C18" w:rsidRPr="00156CD9" w:rsidRDefault="0068272D" w:rsidP="00D72B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Izdaci za financijsku imovinu</w:t>
      </w:r>
      <w:r w:rsidR="00171C18" w:rsidRPr="00156CD9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156CD9">
        <w:rPr>
          <w:rFonts w:ascii="Times New Roman" w:hAnsi="Times New Roman" w:cs="Times New Roman"/>
          <w:b/>
          <w:sz w:val="24"/>
          <w:szCs w:val="24"/>
        </w:rPr>
        <w:t>otplate zajmova</w:t>
      </w:r>
    </w:p>
    <w:tbl>
      <w:tblPr>
        <w:tblW w:w="9729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623"/>
        <w:gridCol w:w="1362"/>
        <w:gridCol w:w="1134"/>
        <w:gridCol w:w="708"/>
        <w:gridCol w:w="993"/>
        <w:gridCol w:w="236"/>
      </w:tblGrid>
      <w:tr w:rsidR="00086593" w:rsidRPr="00D72BB2" w14:paraId="7156E82A" w14:textId="77777777" w:rsidTr="00D72BB2">
        <w:trPr>
          <w:gridAfter w:val="1"/>
          <w:wAfter w:w="236" w:type="dxa"/>
          <w:trHeight w:val="73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1C61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Razred / Skupina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96A4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16E0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AOP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6E9C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Ostvareno u izvještajnom razdoblju prethodne godine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2B58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Ostvareno u izvještajnom razdoblju tekuće godine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8C2F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(5/4)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D045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</w:tr>
      <w:tr w:rsidR="00086593" w:rsidRPr="00D72BB2" w14:paraId="714F61DE" w14:textId="77777777" w:rsidTr="00D72BB2">
        <w:trPr>
          <w:trHeight w:val="1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9243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E9B0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B424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B38D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0655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CA1E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8F34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A179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86593" w:rsidRPr="00D72BB2" w14:paraId="78F587B1" w14:textId="77777777" w:rsidTr="00D72BB2">
        <w:trPr>
          <w:trHeight w:val="1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635C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6E81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198A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9255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A07D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E4E8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57C0" w14:textId="600A1394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5-4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2D60E75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086593" w:rsidRPr="00D72BB2" w14:paraId="3000E130" w14:textId="77777777" w:rsidTr="00D72BB2">
        <w:trPr>
          <w:trHeight w:val="2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831D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EC71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Izdaci za dionice i udjele u glavnici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7D18" w14:textId="14683BA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57</w:t>
            </w:r>
            <w:r w:rsidR="00EF65A5"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FDF4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385.978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3369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1EB5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DE3F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-385.978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59D3DE38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086593" w:rsidRPr="00D72BB2" w14:paraId="73F6B4AE" w14:textId="77777777" w:rsidTr="00D72BB2">
        <w:trPr>
          <w:trHeight w:val="2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B5EC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DD27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Izdaci za otplatu glavnice primljenih kredita i zajmova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E068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DB50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6.427.796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4443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6.421.655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7AA8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6156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-6.141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15F50613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086593" w:rsidRPr="00D72BB2" w14:paraId="210A93C2" w14:textId="77777777" w:rsidTr="00D72BB2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76BD" w14:textId="77777777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107E" w14:textId="69A28AFB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IZDACI ZA FIN</w:t>
            </w:r>
            <w:r w:rsid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. </w:t>
            </w: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IMOVINU I OTPLATE ZAJMOVA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97D4" w14:textId="0EA1D22E" w:rsidR="00086593" w:rsidRPr="00D72BB2" w:rsidRDefault="00086593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="00B22409"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62A1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6.813.774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8052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6.421.655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AEB8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9606" w14:textId="77777777" w:rsidR="00086593" w:rsidRPr="00D72BB2" w:rsidRDefault="00086593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72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-392.119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4EC61B1A" w14:textId="77777777" w:rsidR="00086593" w:rsidRPr="00D72BB2" w:rsidRDefault="00086593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14:paraId="1354306A" w14:textId="77777777" w:rsidR="00F6411B" w:rsidRPr="00156CD9" w:rsidRDefault="00F6411B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7B3DEB21" w14:textId="6FDCAE71" w:rsidR="00884BBB" w:rsidRPr="00156CD9" w:rsidRDefault="00884BBB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62</w:t>
      </w:r>
    </w:p>
    <w:p w14:paraId="0F18814E" w14:textId="018575AD" w:rsidR="00F80E5B" w:rsidRPr="00156CD9" w:rsidRDefault="00F80E5B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Cs/>
        </w:rPr>
        <w:t>Dionice i udjeli u glavnici trgovačkih društva u javnom</w:t>
      </w:r>
      <w:r w:rsidR="00254A2A" w:rsidRPr="00156CD9">
        <w:rPr>
          <w:rFonts w:ascii="Times New Roman" w:hAnsi="Times New Roman" w:cs="Times New Roman"/>
          <w:bCs/>
        </w:rPr>
        <w:t xml:space="preserve"> (AOP57</w:t>
      </w:r>
      <w:r w:rsidR="00EF65A5" w:rsidRPr="00156CD9">
        <w:rPr>
          <w:rFonts w:ascii="Times New Roman" w:hAnsi="Times New Roman" w:cs="Times New Roman"/>
          <w:bCs/>
        </w:rPr>
        <w:t>9</w:t>
      </w:r>
      <w:r w:rsidR="00254A2A" w:rsidRPr="00156CD9">
        <w:rPr>
          <w:rFonts w:ascii="Times New Roman" w:hAnsi="Times New Roman" w:cs="Times New Roman"/>
          <w:bCs/>
        </w:rPr>
        <w:t xml:space="preserve">) </w:t>
      </w:r>
      <w:r w:rsidR="00B22409" w:rsidRPr="00156CD9">
        <w:rPr>
          <w:rFonts w:ascii="Times New Roman" w:hAnsi="Times New Roman" w:cs="Times New Roman"/>
          <w:bCs/>
        </w:rPr>
        <w:t>-</w:t>
      </w:r>
      <w:r w:rsidR="00EF65A5" w:rsidRPr="00156CD9">
        <w:rPr>
          <w:rFonts w:ascii="Times New Roman" w:hAnsi="Times New Roman" w:cs="Times New Roman"/>
          <w:bCs/>
        </w:rPr>
        <w:t xml:space="preserve"> u 2021. godini Grad nema evidentiranih izdataka dok je u 2020. godini </w:t>
      </w:r>
      <w:r w:rsidR="00B22409" w:rsidRPr="00156CD9">
        <w:rPr>
          <w:rFonts w:ascii="Times New Roman" w:hAnsi="Times New Roman" w:cs="Times New Roman"/>
          <w:bCs/>
        </w:rPr>
        <w:t>Grad kupio</w:t>
      </w:r>
      <w:r w:rsidR="00C43333" w:rsidRPr="00156CD9">
        <w:rPr>
          <w:rFonts w:ascii="Times New Roman" w:hAnsi="Times New Roman" w:cs="Times New Roman"/>
          <w:bCs/>
        </w:rPr>
        <w:t xml:space="preserve"> </w:t>
      </w:r>
      <w:r w:rsidR="00007163" w:rsidRPr="00156CD9">
        <w:rPr>
          <w:rFonts w:ascii="Times New Roman" w:hAnsi="Times New Roman" w:cs="Times New Roman"/>
          <w:bCs/>
        </w:rPr>
        <w:t>poslovn</w:t>
      </w:r>
      <w:r w:rsidR="00B22409" w:rsidRPr="00156CD9">
        <w:rPr>
          <w:rFonts w:ascii="Times New Roman" w:hAnsi="Times New Roman" w:cs="Times New Roman"/>
          <w:bCs/>
        </w:rPr>
        <w:t>i</w:t>
      </w:r>
      <w:r w:rsidR="00007163" w:rsidRPr="00156CD9">
        <w:rPr>
          <w:rFonts w:ascii="Times New Roman" w:hAnsi="Times New Roman" w:cs="Times New Roman"/>
          <w:bCs/>
        </w:rPr>
        <w:t xml:space="preserve"> ud</w:t>
      </w:r>
      <w:r w:rsidR="00B22409" w:rsidRPr="00156CD9">
        <w:rPr>
          <w:rFonts w:ascii="Times New Roman" w:hAnsi="Times New Roman" w:cs="Times New Roman"/>
          <w:bCs/>
        </w:rPr>
        <w:t xml:space="preserve">io </w:t>
      </w:r>
      <w:r w:rsidR="00007163" w:rsidRPr="00156CD9">
        <w:rPr>
          <w:rFonts w:ascii="Times New Roman" w:hAnsi="Times New Roman" w:cs="Times New Roman"/>
          <w:bCs/>
        </w:rPr>
        <w:t xml:space="preserve">u društvu Fratarski d.o.o. čime </w:t>
      </w:r>
      <w:r w:rsidR="00B22409" w:rsidRPr="00156CD9">
        <w:rPr>
          <w:rFonts w:ascii="Times New Roman" w:hAnsi="Times New Roman" w:cs="Times New Roman"/>
          <w:bCs/>
        </w:rPr>
        <w:t>je stekao</w:t>
      </w:r>
      <w:r w:rsidR="00007163" w:rsidRPr="00156CD9">
        <w:rPr>
          <w:rFonts w:ascii="Times New Roman" w:hAnsi="Times New Roman" w:cs="Times New Roman"/>
          <w:bCs/>
        </w:rPr>
        <w:t xml:space="preserve"> 100%-</w:t>
      </w:r>
      <w:proofErr w:type="spellStart"/>
      <w:r w:rsidR="00007163" w:rsidRPr="00156CD9">
        <w:rPr>
          <w:rFonts w:ascii="Times New Roman" w:hAnsi="Times New Roman" w:cs="Times New Roman"/>
          <w:bCs/>
        </w:rPr>
        <w:t>tni</w:t>
      </w:r>
      <w:proofErr w:type="spellEnd"/>
      <w:r w:rsidR="00007163" w:rsidRPr="00156CD9">
        <w:rPr>
          <w:rFonts w:ascii="Times New Roman" w:hAnsi="Times New Roman" w:cs="Times New Roman"/>
          <w:bCs/>
        </w:rPr>
        <w:t xml:space="preserve"> udio</w:t>
      </w:r>
      <w:r w:rsidR="00FE0663" w:rsidRPr="00156CD9">
        <w:rPr>
          <w:rFonts w:ascii="Times New Roman" w:hAnsi="Times New Roman" w:cs="Times New Roman"/>
          <w:bCs/>
        </w:rPr>
        <w:t xml:space="preserve"> </w:t>
      </w:r>
      <w:r w:rsidR="00D11D53" w:rsidRPr="00156CD9">
        <w:rPr>
          <w:rFonts w:ascii="Times New Roman" w:hAnsi="Times New Roman" w:cs="Times New Roman"/>
          <w:bCs/>
        </w:rPr>
        <w:t xml:space="preserve">u </w:t>
      </w:r>
      <w:r w:rsidR="00FE0663" w:rsidRPr="00156CD9">
        <w:rPr>
          <w:rFonts w:ascii="Times New Roman" w:hAnsi="Times New Roman" w:cs="Times New Roman"/>
          <w:bCs/>
        </w:rPr>
        <w:t>vlasništvu</w:t>
      </w:r>
      <w:r w:rsidR="008404E3">
        <w:rPr>
          <w:rFonts w:ascii="Times New Roman" w:hAnsi="Times New Roman" w:cs="Times New Roman"/>
          <w:bCs/>
        </w:rPr>
        <w:t>.</w:t>
      </w:r>
    </w:p>
    <w:p w14:paraId="6EB2B322" w14:textId="77777777" w:rsidR="00C43333" w:rsidRPr="00156CD9" w:rsidRDefault="00C43333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455B9FAC" w14:textId="722811D1" w:rsidR="00C43333" w:rsidRPr="00156CD9" w:rsidRDefault="00C43333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63</w:t>
      </w:r>
    </w:p>
    <w:p w14:paraId="67B60C96" w14:textId="228E7666" w:rsidR="00174DBB" w:rsidRPr="00156CD9" w:rsidRDefault="00D013EE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Otplata</w:t>
      </w:r>
      <w:r w:rsidR="00174DBB" w:rsidRPr="00156CD9">
        <w:rPr>
          <w:rFonts w:ascii="Times New Roman" w:hAnsi="Times New Roman" w:cs="Times New Roman"/>
          <w:sz w:val="24"/>
          <w:szCs w:val="24"/>
        </w:rPr>
        <w:t xml:space="preserve"> glavnice primljenih kredita od tuzemnih kreditnih institucija izvan javnog sektora </w:t>
      </w:r>
      <w:r w:rsidR="007616C2" w:rsidRPr="00156CD9">
        <w:rPr>
          <w:rFonts w:ascii="Times New Roman" w:hAnsi="Times New Roman" w:cs="Times New Roman"/>
          <w:sz w:val="24"/>
          <w:szCs w:val="24"/>
        </w:rPr>
        <w:t>(AOP59</w:t>
      </w:r>
      <w:r w:rsidR="00B22409" w:rsidRPr="00156CD9">
        <w:rPr>
          <w:rFonts w:ascii="Times New Roman" w:hAnsi="Times New Roman" w:cs="Times New Roman"/>
          <w:sz w:val="24"/>
          <w:szCs w:val="24"/>
        </w:rPr>
        <w:t>9</w:t>
      </w:r>
      <w:r w:rsidR="007616C2" w:rsidRPr="00156CD9">
        <w:rPr>
          <w:rFonts w:ascii="Times New Roman" w:hAnsi="Times New Roman" w:cs="Times New Roman"/>
          <w:sz w:val="24"/>
          <w:szCs w:val="24"/>
        </w:rPr>
        <w:t>)</w:t>
      </w:r>
      <w:r w:rsidRPr="00156CD9">
        <w:rPr>
          <w:rFonts w:ascii="Times New Roman" w:hAnsi="Times New Roman" w:cs="Times New Roman"/>
          <w:sz w:val="24"/>
          <w:szCs w:val="24"/>
        </w:rPr>
        <w:t xml:space="preserve"> - iznosi </w:t>
      </w:r>
      <w:r w:rsidR="00F80E5B" w:rsidRPr="00156CD9">
        <w:rPr>
          <w:rFonts w:ascii="Times New Roman" w:hAnsi="Times New Roman" w:cs="Times New Roman"/>
          <w:sz w:val="24"/>
          <w:szCs w:val="24"/>
        </w:rPr>
        <w:t>3.77</w:t>
      </w:r>
      <w:r w:rsidR="00B22409" w:rsidRPr="00156CD9">
        <w:rPr>
          <w:rFonts w:ascii="Times New Roman" w:hAnsi="Times New Roman" w:cs="Times New Roman"/>
          <w:sz w:val="24"/>
          <w:szCs w:val="24"/>
        </w:rPr>
        <w:t>1</w:t>
      </w:r>
      <w:r w:rsidR="00F80E5B" w:rsidRPr="00156CD9">
        <w:rPr>
          <w:rFonts w:ascii="Times New Roman" w:hAnsi="Times New Roman" w:cs="Times New Roman"/>
          <w:sz w:val="24"/>
          <w:szCs w:val="24"/>
        </w:rPr>
        <w:t>.</w:t>
      </w:r>
      <w:r w:rsidR="00B22409" w:rsidRPr="00156CD9">
        <w:rPr>
          <w:rFonts w:ascii="Times New Roman" w:hAnsi="Times New Roman" w:cs="Times New Roman"/>
          <w:sz w:val="24"/>
          <w:szCs w:val="24"/>
        </w:rPr>
        <w:t>655</w:t>
      </w:r>
      <w:r w:rsidR="005236D1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 xml:space="preserve">kn, a </w:t>
      </w:r>
      <w:r w:rsidR="00174DBB" w:rsidRPr="00156CD9">
        <w:rPr>
          <w:rFonts w:ascii="Times New Roman" w:hAnsi="Times New Roman" w:cs="Times New Roman"/>
          <w:sz w:val="24"/>
          <w:szCs w:val="24"/>
        </w:rPr>
        <w:t>čin</w:t>
      </w:r>
      <w:r w:rsidRPr="00156CD9">
        <w:rPr>
          <w:rFonts w:ascii="Times New Roman" w:hAnsi="Times New Roman" w:cs="Times New Roman"/>
          <w:sz w:val="24"/>
          <w:szCs w:val="24"/>
        </w:rPr>
        <w:t>i</w:t>
      </w:r>
      <w:r w:rsidR="00174DBB" w:rsidRPr="00156CD9">
        <w:rPr>
          <w:rFonts w:ascii="Times New Roman" w:hAnsi="Times New Roman" w:cs="Times New Roman"/>
          <w:sz w:val="24"/>
          <w:szCs w:val="24"/>
        </w:rPr>
        <w:t xml:space="preserve"> otplatu glavnice dugoročnih kredita za izgradnju OŠ Veli Vrh I faza u iznosu od </w:t>
      </w:r>
      <w:r w:rsidR="006253F9" w:rsidRPr="00156CD9">
        <w:rPr>
          <w:rFonts w:ascii="Times New Roman" w:hAnsi="Times New Roman" w:cs="Times New Roman"/>
          <w:sz w:val="24"/>
          <w:szCs w:val="24"/>
        </w:rPr>
        <w:t>1</w:t>
      </w:r>
      <w:r w:rsidR="00884BBB" w:rsidRPr="00156CD9">
        <w:rPr>
          <w:rFonts w:ascii="Times New Roman" w:hAnsi="Times New Roman" w:cs="Times New Roman"/>
          <w:sz w:val="24"/>
          <w:szCs w:val="24"/>
        </w:rPr>
        <w:t>.</w:t>
      </w:r>
      <w:r w:rsidR="00F80E5B" w:rsidRPr="00156CD9">
        <w:rPr>
          <w:rFonts w:ascii="Times New Roman" w:hAnsi="Times New Roman" w:cs="Times New Roman"/>
          <w:sz w:val="24"/>
          <w:szCs w:val="24"/>
        </w:rPr>
        <w:t>70</w:t>
      </w:r>
      <w:r w:rsidR="00B22409" w:rsidRPr="00156CD9">
        <w:rPr>
          <w:rFonts w:ascii="Times New Roman" w:hAnsi="Times New Roman" w:cs="Times New Roman"/>
          <w:sz w:val="24"/>
          <w:szCs w:val="24"/>
        </w:rPr>
        <w:t>3.37</w:t>
      </w:r>
      <w:r w:rsidR="002F0FAE">
        <w:rPr>
          <w:rFonts w:ascii="Times New Roman" w:hAnsi="Times New Roman" w:cs="Times New Roman"/>
          <w:sz w:val="24"/>
          <w:szCs w:val="24"/>
        </w:rPr>
        <w:t>8</w:t>
      </w:r>
      <w:r w:rsidR="00B22409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174DBB" w:rsidRPr="00156CD9">
        <w:rPr>
          <w:rFonts w:ascii="Times New Roman" w:hAnsi="Times New Roman" w:cs="Times New Roman"/>
          <w:sz w:val="24"/>
          <w:szCs w:val="24"/>
        </w:rPr>
        <w:t xml:space="preserve">kn i II faza u iznosu od </w:t>
      </w:r>
      <w:r w:rsidR="005236D1" w:rsidRPr="00156CD9">
        <w:rPr>
          <w:rFonts w:ascii="Times New Roman" w:hAnsi="Times New Roman" w:cs="Times New Roman"/>
          <w:sz w:val="24"/>
          <w:szCs w:val="24"/>
        </w:rPr>
        <w:t>2.</w:t>
      </w:r>
      <w:r w:rsidR="00B22409" w:rsidRPr="00156CD9">
        <w:rPr>
          <w:rFonts w:ascii="Times New Roman" w:hAnsi="Times New Roman" w:cs="Times New Roman"/>
          <w:sz w:val="24"/>
          <w:szCs w:val="24"/>
        </w:rPr>
        <w:t>068.277</w:t>
      </w:r>
      <w:r w:rsidR="002F0FAE">
        <w:rPr>
          <w:rFonts w:ascii="Times New Roman" w:hAnsi="Times New Roman" w:cs="Times New Roman"/>
          <w:sz w:val="24"/>
          <w:szCs w:val="24"/>
        </w:rPr>
        <w:t xml:space="preserve"> </w:t>
      </w:r>
      <w:r w:rsidR="00174DBB" w:rsidRPr="00156CD9">
        <w:rPr>
          <w:rFonts w:ascii="Times New Roman" w:hAnsi="Times New Roman" w:cs="Times New Roman"/>
          <w:sz w:val="24"/>
          <w:szCs w:val="24"/>
        </w:rPr>
        <w:t>kn.</w:t>
      </w:r>
    </w:p>
    <w:p w14:paraId="78B46E51" w14:textId="77777777" w:rsidR="008331C8" w:rsidRDefault="008331C8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34DDB6BB" w14:textId="77777777" w:rsidR="00C45CCD" w:rsidRDefault="00C45CCD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4683729A" w14:textId="0A0675B1" w:rsidR="005C42E5" w:rsidRPr="00156CD9" w:rsidRDefault="005C42E5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lastRenderedPageBreak/>
        <w:t xml:space="preserve">BILJEŠKA br. </w:t>
      </w:r>
      <w:r w:rsidR="00D72BB2">
        <w:rPr>
          <w:rFonts w:ascii="Times New Roman" w:hAnsi="Times New Roman" w:cs="Times New Roman"/>
          <w:b/>
        </w:rPr>
        <w:t>64</w:t>
      </w:r>
    </w:p>
    <w:p w14:paraId="458D7A01" w14:textId="43D42779" w:rsidR="006E6931" w:rsidRPr="00156CD9" w:rsidRDefault="00884BBB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Otplata glavnice primljenih</w:t>
      </w:r>
      <w:r w:rsidR="005C42E5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>zajmova od tuzemnih trgovačkih društava izvan javnog sektora (AOP60</w:t>
      </w:r>
      <w:r w:rsidR="00B22409" w:rsidRPr="00156CD9">
        <w:rPr>
          <w:rFonts w:ascii="Times New Roman" w:hAnsi="Times New Roman" w:cs="Times New Roman"/>
          <w:sz w:val="24"/>
          <w:szCs w:val="24"/>
        </w:rPr>
        <w:t>6</w:t>
      </w:r>
      <w:r w:rsidRPr="00156CD9">
        <w:rPr>
          <w:rFonts w:ascii="Times New Roman" w:hAnsi="Times New Roman" w:cs="Times New Roman"/>
          <w:sz w:val="24"/>
          <w:szCs w:val="24"/>
        </w:rPr>
        <w:t xml:space="preserve">) </w:t>
      </w:r>
      <w:r w:rsidR="00D1426A" w:rsidRPr="00156CD9">
        <w:rPr>
          <w:rFonts w:ascii="Times New Roman" w:hAnsi="Times New Roman" w:cs="Times New Roman"/>
          <w:sz w:val="24"/>
          <w:szCs w:val="24"/>
        </w:rPr>
        <w:t xml:space="preserve">- </w:t>
      </w:r>
      <w:r w:rsidRPr="00156CD9">
        <w:rPr>
          <w:rFonts w:ascii="Times New Roman" w:hAnsi="Times New Roman" w:cs="Times New Roman"/>
          <w:sz w:val="24"/>
          <w:szCs w:val="24"/>
        </w:rPr>
        <w:t>iznosi 2.650.000 kn, a čini otplatu po zaduženju</w:t>
      </w:r>
      <w:r w:rsidR="005C42E5" w:rsidRPr="00156CD9">
        <w:rPr>
          <w:rFonts w:ascii="Times New Roman" w:hAnsi="Times New Roman" w:cs="Times New Roman"/>
          <w:sz w:val="24"/>
          <w:szCs w:val="24"/>
        </w:rPr>
        <w:t xml:space="preserve"> iz </w:t>
      </w:r>
      <w:r w:rsidR="00685BE8" w:rsidRPr="00156CD9">
        <w:rPr>
          <w:rFonts w:ascii="Times New Roman" w:hAnsi="Times New Roman" w:cs="Times New Roman"/>
          <w:sz w:val="24"/>
          <w:szCs w:val="24"/>
        </w:rPr>
        <w:t>201</w:t>
      </w:r>
      <w:r w:rsidR="005236D1" w:rsidRPr="00156CD9">
        <w:rPr>
          <w:rFonts w:ascii="Times New Roman" w:hAnsi="Times New Roman" w:cs="Times New Roman"/>
          <w:sz w:val="24"/>
          <w:szCs w:val="24"/>
        </w:rPr>
        <w:t>7</w:t>
      </w:r>
      <w:r w:rsidR="00685BE8" w:rsidRPr="00156CD9">
        <w:rPr>
          <w:rFonts w:ascii="Times New Roman" w:hAnsi="Times New Roman" w:cs="Times New Roman"/>
          <w:sz w:val="24"/>
          <w:szCs w:val="24"/>
        </w:rPr>
        <w:t>.</w:t>
      </w:r>
      <w:r w:rsidR="005C42E5" w:rsidRPr="00156CD9">
        <w:rPr>
          <w:rFonts w:ascii="Times New Roman" w:hAnsi="Times New Roman" w:cs="Times New Roman"/>
          <w:sz w:val="24"/>
          <w:szCs w:val="24"/>
        </w:rPr>
        <w:t xml:space="preserve"> godine</w:t>
      </w:r>
      <w:r w:rsidRPr="00156CD9">
        <w:rPr>
          <w:rFonts w:ascii="Times New Roman" w:hAnsi="Times New Roman" w:cs="Times New Roman"/>
          <w:sz w:val="24"/>
          <w:szCs w:val="24"/>
        </w:rPr>
        <w:t xml:space="preserve"> za </w:t>
      </w:r>
      <w:r w:rsidR="0035527A" w:rsidRPr="00156CD9">
        <w:rPr>
          <w:rFonts w:ascii="Times New Roman" w:hAnsi="Times New Roman" w:cs="Times New Roman"/>
          <w:sz w:val="24"/>
          <w:szCs w:val="24"/>
        </w:rPr>
        <w:t xml:space="preserve">dobiveni </w:t>
      </w:r>
      <w:r w:rsidRPr="00156CD9">
        <w:rPr>
          <w:rFonts w:ascii="Times New Roman" w:hAnsi="Times New Roman" w:cs="Times New Roman"/>
          <w:sz w:val="24"/>
          <w:szCs w:val="24"/>
        </w:rPr>
        <w:t xml:space="preserve">financijski zajam za financiranje izgradnje kružnog toka uz prateću komunalnu infrastrukturu na cesti Prekomorskih brigada, a temeljem Sporazuma o kreditiranju izgradnje kružnog toka sklopljenog između Grada Pule i </w:t>
      </w:r>
      <w:r w:rsidR="000D3B42" w:rsidRPr="00156CD9">
        <w:rPr>
          <w:rFonts w:ascii="Times New Roman" w:hAnsi="Times New Roman" w:cs="Times New Roman"/>
          <w:sz w:val="24"/>
          <w:szCs w:val="24"/>
        </w:rPr>
        <w:t>trgovačkog društva.</w:t>
      </w:r>
    </w:p>
    <w:p w14:paraId="5F8E5ABE" w14:textId="77777777" w:rsidR="006E6931" w:rsidRPr="00156CD9" w:rsidRDefault="006E6931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573D6" w14:textId="77777777" w:rsidR="00F6411B" w:rsidRPr="00156CD9" w:rsidRDefault="00F6411B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FAB52" w14:textId="77777777" w:rsidR="00D153E2" w:rsidRPr="00156CD9" w:rsidRDefault="00D153E2" w:rsidP="0015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Obrazac RAS</w:t>
      </w:r>
      <w:r w:rsidR="003A7E83" w:rsidRPr="00156CD9">
        <w:rPr>
          <w:rFonts w:ascii="Times New Roman" w:hAnsi="Times New Roman" w:cs="Times New Roman"/>
          <w:b/>
          <w:sz w:val="24"/>
          <w:szCs w:val="24"/>
        </w:rPr>
        <w:t>-</w:t>
      </w:r>
      <w:r w:rsidRPr="00156CD9">
        <w:rPr>
          <w:rFonts w:ascii="Times New Roman" w:hAnsi="Times New Roman" w:cs="Times New Roman"/>
          <w:b/>
          <w:sz w:val="24"/>
          <w:szCs w:val="24"/>
        </w:rPr>
        <w:t xml:space="preserve">funkcijski </w:t>
      </w:r>
      <w:r w:rsidR="003A7E83" w:rsidRPr="00156CD9">
        <w:rPr>
          <w:rFonts w:ascii="Times New Roman" w:hAnsi="Times New Roman" w:cs="Times New Roman"/>
          <w:b/>
          <w:sz w:val="24"/>
          <w:szCs w:val="24"/>
        </w:rPr>
        <w:t>-</w:t>
      </w:r>
      <w:r w:rsidRPr="00156CD9">
        <w:rPr>
          <w:rFonts w:ascii="Times New Roman" w:hAnsi="Times New Roman" w:cs="Times New Roman"/>
          <w:b/>
          <w:sz w:val="24"/>
          <w:szCs w:val="24"/>
        </w:rPr>
        <w:t xml:space="preserve"> Izvještaj rashodima prema funkcijskoj klasifikaciji</w:t>
      </w:r>
    </w:p>
    <w:p w14:paraId="24EAC704" w14:textId="6503270B" w:rsidR="00262144" w:rsidRPr="00156CD9" w:rsidRDefault="00D153E2" w:rsidP="00156CD9">
      <w:pPr>
        <w:pStyle w:val="Style20"/>
        <w:widowControl/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</w:t>
      </w:r>
      <w:r w:rsidR="004D1D02" w:rsidRPr="00156CD9">
        <w:rPr>
          <w:rFonts w:ascii="Times New Roman" w:hAnsi="Times New Roman" w:cs="Times New Roman"/>
          <w:b/>
        </w:rPr>
        <w:t xml:space="preserve"> </w:t>
      </w:r>
      <w:r w:rsidR="00D72BB2">
        <w:rPr>
          <w:rFonts w:ascii="Times New Roman" w:hAnsi="Times New Roman" w:cs="Times New Roman"/>
          <w:b/>
        </w:rPr>
        <w:t>65</w:t>
      </w:r>
    </w:p>
    <w:p w14:paraId="521785DF" w14:textId="3C762A57" w:rsidR="00D153E2" w:rsidRPr="00156CD9" w:rsidRDefault="00D153E2" w:rsidP="00156CD9">
      <w:pPr>
        <w:pStyle w:val="Style20"/>
        <w:widowControl/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</w:rPr>
      </w:pPr>
      <w:r w:rsidRPr="00156CD9">
        <w:rPr>
          <w:rFonts w:ascii="Times New Roman" w:hAnsi="Times New Roman" w:cs="Times New Roman"/>
        </w:rPr>
        <w:t>Izvještaj prikazuje ukupne rashode poslovanja (A</w:t>
      </w:r>
      <w:r w:rsidR="00887D17" w:rsidRPr="00156CD9">
        <w:rPr>
          <w:rFonts w:ascii="Times New Roman" w:hAnsi="Times New Roman" w:cs="Times New Roman"/>
        </w:rPr>
        <w:t>OP</w:t>
      </w:r>
      <w:r w:rsidRPr="00156CD9">
        <w:rPr>
          <w:rFonts w:ascii="Times New Roman" w:hAnsi="Times New Roman" w:cs="Times New Roman"/>
        </w:rPr>
        <w:t>14</w:t>
      </w:r>
      <w:r w:rsidR="00111AE0">
        <w:rPr>
          <w:rFonts w:ascii="Times New Roman" w:hAnsi="Times New Roman" w:cs="Times New Roman"/>
        </w:rPr>
        <w:t>6</w:t>
      </w:r>
      <w:r w:rsidRPr="00156CD9">
        <w:rPr>
          <w:rFonts w:ascii="Times New Roman" w:hAnsi="Times New Roman" w:cs="Times New Roman"/>
        </w:rPr>
        <w:t>) umanjene za Prijenose proračunskim korisnicima iz nadležnog proračuna za financiranje redovne djelatnosti (AOP23</w:t>
      </w:r>
      <w:r w:rsidR="00111AE0">
        <w:rPr>
          <w:rFonts w:ascii="Times New Roman" w:hAnsi="Times New Roman" w:cs="Times New Roman"/>
        </w:rPr>
        <w:t>5</w:t>
      </w:r>
      <w:r w:rsidRPr="00156CD9">
        <w:rPr>
          <w:rFonts w:ascii="Times New Roman" w:hAnsi="Times New Roman" w:cs="Times New Roman"/>
        </w:rPr>
        <w:t>) i ukupne rashode za naba</w:t>
      </w:r>
      <w:r w:rsidR="003215AE" w:rsidRPr="00156CD9">
        <w:rPr>
          <w:rFonts w:ascii="Times New Roman" w:hAnsi="Times New Roman" w:cs="Times New Roman"/>
        </w:rPr>
        <w:t>vu nefinancijske imovine (AOP34</w:t>
      </w:r>
      <w:r w:rsidR="00111AE0">
        <w:rPr>
          <w:rFonts w:ascii="Times New Roman" w:hAnsi="Times New Roman" w:cs="Times New Roman"/>
        </w:rPr>
        <w:t>4</w:t>
      </w:r>
      <w:r w:rsidRPr="00156CD9">
        <w:rPr>
          <w:rFonts w:ascii="Times New Roman" w:hAnsi="Times New Roman" w:cs="Times New Roman"/>
        </w:rPr>
        <w:t>) iz obrasca PR</w:t>
      </w:r>
      <w:r w:rsidR="003A7E83" w:rsidRPr="00156CD9">
        <w:rPr>
          <w:rFonts w:ascii="Times New Roman" w:hAnsi="Times New Roman" w:cs="Times New Roman"/>
        </w:rPr>
        <w:t>-</w:t>
      </w:r>
      <w:r w:rsidRPr="00156CD9">
        <w:rPr>
          <w:rFonts w:ascii="Times New Roman" w:hAnsi="Times New Roman" w:cs="Times New Roman"/>
        </w:rPr>
        <w:t>RAS</w:t>
      </w:r>
      <w:r w:rsidR="00262144" w:rsidRPr="00156CD9">
        <w:rPr>
          <w:rFonts w:ascii="Times New Roman" w:hAnsi="Times New Roman" w:cs="Times New Roman"/>
        </w:rPr>
        <w:t>,</w:t>
      </w:r>
      <w:r w:rsidRPr="00156CD9">
        <w:rPr>
          <w:rFonts w:ascii="Times New Roman" w:hAnsi="Times New Roman" w:cs="Times New Roman"/>
        </w:rPr>
        <w:t xml:space="preserve"> razvrstane prema funkcijskoj klasifikaciji.</w:t>
      </w:r>
    </w:p>
    <w:p w14:paraId="1C636512" w14:textId="77777777" w:rsidR="00F6411B" w:rsidRPr="00156CD9" w:rsidRDefault="00F6411B" w:rsidP="00156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2AA4A3" w14:textId="77777777" w:rsidR="00D153E2" w:rsidRPr="00156CD9" w:rsidRDefault="00D153E2" w:rsidP="0015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Obrazac P</w:t>
      </w:r>
      <w:r w:rsidR="003A7E83" w:rsidRPr="00156CD9">
        <w:rPr>
          <w:rFonts w:ascii="Times New Roman" w:hAnsi="Times New Roman" w:cs="Times New Roman"/>
          <w:b/>
          <w:sz w:val="24"/>
          <w:szCs w:val="24"/>
        </w:rPr>
        <w:t>-</w:t>
      </w:r>
      <w:r w:rsidRPr="00156CD9">
        <w:rPr>
          <w:rFonts w:ascii="Times New Roman" w:hAnsi="Times New Roman" w:cs="Times New Roman"/>
          <w:b/>
          <w:sz w:val="24"/>
          <w:szCs w:val="24"/>
        </w:rPr>
        <w:t xml:space="preserve">VRIO </w:t>
      </w:r>
      <w:r w:rsidR="003A7E83" w:rsidRPr="00156CD9">
        <w:rPr>
          <w:rFonts w:ascii="Times New Roman" w:hAnsi="Times New Roman" w:cs="Times New Roman"/>
          <w:b/>
          <w:sz w:val="24"/>
          <w:szCs w:val="24"/>
        </w:rPr>
        <w:t>-</w:t>
      </w:r>
      <w:r w:rsidRPr="00156CD9">
        <w:rPr>
          <w:rFonts w:ascii="Times New Roman" w:hAnsi="Times New Roman" w:cs="Times New Roman"/>
          <w:b/>
          <w:sz w:val="24"/>
          <w:szCs w:val="24"/>
        </w:rPr>
        <w:t xml:space="preserve">  Izvještaj o promjenama u vrijednosti i obujmu imovine i obveza</w:t>
      </w:r>
    </w:p>
    <w:p w14:paraId="0EFAF3C9" w14:textId="590B8BA1" w:rsidR="00E1746C" w:rsidRPr="00156CD9" w:rsidRDefault="00B70C4F" w:rsidP="00156CD9">
      <w:pPr>
        <w:pStyle w:val="Style20"/>
        <w:widowControl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</w:rPr>
        <w:t>PROMJENE U VRIJEDNOSTI IMOVINE</w:t>
      </w:r>
    </w:p>
    <w:p w14:paraId="394D3057" w14:textId="77777777" w:rsidR="008404E3" w:rsidRDefault="008404E3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4C670F14" w14:textId="780029B6" w:rsidR="00BE5B55" w:rsidRPr="00156CD9" w:rsidRDefault="00BE5B55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</w:t>
      </w:r>
      <w:r w:rsidR="00E73FA8" w:rsidRPr="00156CD9">
        <w:rPr>
          <w:rFonts w:ascii="Times New Roman" w:hAnsi="Times New Roman" w:cs="Times New Roman"/>
          <w:b/>
        </w:rPr>
        <w:t xml:space="preserve"> </w:t>
      </w:r>
      <w:r w:rsidR="00D72BB2">
        <w:rPr>
          <w:rFonts w:ascii="Times New Roman" w:hAnsi="Times New Roman" w:cs="Times New Roman"/>
          <w:b/>
        </w:rPr>
        <w:t>66</w:t>
      </w:r>
      <w:r w:rsidRPr="00156CD9">
        <w:rPr>
          <w:rFonts w:ascii="Times New Roman" w:hAnsi="Times New Roman" w:cs="Times New Roman"/>
          <w:b/>
        </w:rPr>
        <w:t xml:space="preserve"> </w:t>
      </w:r>
    </w:p>
    <w:p w14:paraId="13537F96" w14:textId="18685374" w:rsidR="0080254F" w:rsidRPr="00156CD9" w:rsidRDefault="002840B3" w:rsidP="00156CD9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Dionice i udjeli u glavnici</w:t>
      </w:r>
      <w:r w:rsidR="00BE5B55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D9020D" w:rsidRPr="00156CD9">
        <w:rPr>
          <w:rFonts w:ascii="Times New Roman" w:hAnsi="Times New Roman" w:cs="Times New Roman"/>
          <w:sz w:val="24"/>
          <w:szCs w:val="24"/>
        </w:rPr>
        <w:t>(AOP0</w:t>
      </w:r>
      <w:r w:rsidRPr="00156CD9">
        <w:rPr>
          <w:rFonts w:ascii="Times New Roman" w:hAnsi="Times New Roman" w:cs="Times New Roman"/>
          <w:sz w:val="24"/>
          <w:szCs w:val="24"/>
        </w:rPr>
        <w:t>15</w:t>
      </w:r>
      <w:r w:rsidR="00D9020D" w:rsidRPr="00156CD9">
        <w:rPr>
          <w:rFonts w:ascii="Times New Roman" w:hAnsi="Times New Roman" w:cs="Times New Roman"/>
          <w:sz w:val="24"/>
          <w:szCs w:val="24"/>
        </w:rPr>
        <w:t xml:space="preserve">) </w:t>
      </w:r>
      <w:r w:rsidR="00E73FA8" w:rsidRPr="00156CD9">
        <w:rPr>
          <w:rFonts w:ascii="Times New Roman" w:hAnsi="Times New Roman" w:cs="Times New Roman"/>
          <w:sz w:val="24"/>
          <w:szCs w:val="24"/>
        </w:rPr>
        <w:t>-</w:t>
      </w:r>
      <w:r w:rsidR="00D9020D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BC4083" w:rsidRPr="00156CD9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D9020D" w:rsidRPr="00156CD9">
        <w:rPr>
          <w:rFonts w:ascii="Times New Roman" w:hAnsi="Times New Roman" w:cs="Times New Roman"/>
          <w:sz w:val="24"/>
          <w:szCs w:val="24"/>
        </w:rPr>
        <w:t xml:space="preserve">za </w:t>
      </w:r>
      <w:r w:rsidRPr="00156CD9">
        <w:rPr>
          <w:rFonts w:ascii="Times New Roman" w:hAnsi="Times New Roman" w:cs="Times New Roman"/>
          <w:sz w:val="24"/>
          <w:szCs w:val="24"/>
        </w:rPr>
        <w:t>21.883.000</w:t>
      </w:r>
      <w:r w:rsidR="00100FC0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D9020D" w:rsidRPr="00156CD9">
        <w:rPr>
          <w:rFonts w:ascii="Times New Roman" w:hAnsi="Times New Roman" w:cs="Times New Roman"/>
          <w:sz w:val="24"/>
          <w:szCs w:val="24"/>
        </w:rPr>
        <w:t>kn</w:t>
      </w:r>
      <w:r w:rsidRPr="00156CD9">
        <w:rPr>
          <w:rFonts w:ascii="Times New Roman" w:hAnsi="Times New Roman" w:cs="Times New Roman"/>
          <w:sz w:val="24"/>
          <w:szCs w:val="24"/>
        </w:rPr>
        <w:t xml:space="preserve"> odnosno</w:t>
      </w:r>
      <w:r w:rsidR="00F1402D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>Uljanik pomorstvo d.o.o. u stečaju  prenosi udjele od Fratarski d.o.o. za 156.800 kn</w:t>
      </w:r>
      <w:r w:rsidR="00E73FA8" w:rsidRPr="00156CD9">
        <w:rPr>
          <w:rFonts w:ascii="Times New Roman" w:hAnsi="Times New Roman" w:cs="Times New Roman"/>
          <w:sz w:val="24"/>
          <w:szCs w:val="24"/>
        </w:rPr>
        <w:t>, a društvo</w:t>
      </w:r>
      <w:r w:rsidR="00F1402D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 xml:space="preserve">Vodovod </w:t>
      </w:r>
      <w:r w:rsidR="00E73FA8" w:rsidRPr="00156CD9">
        <w:rPr>
          <w:rFonts w:ascii="Times New Roman" w:hAnsi="Times New Roman" w:cs="Times New Roman"/>
          <w:sz w:val="24"/>
          <w:szCs w:val="24"/>
        </w:rPr>
        <w:t>d.o.o.</w:t>
      </w:r>
      <w:r w:rsidR="00030DFC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 xml:space="preserve">prenosi </w:t>
      </w:r>
      <w:r w:rsidR="00E73FA8" w:rsidRPr="00156CD9">
        <w:rPr>
          <w:rFonts w:ascii="Times New Roman" w:hAnsi="Times New Roman" w:cs="Times New Roman"/>
          <w:sz w:val="24"/>
          <w:szCs w:val="24"/>
        </w:rPr>
        <w:t xml:space="preserve">Gradu </w:t>
      </w:r>
      <w:r w:rsidRPr="00156CD9">
        <w:rPr>
          <w:rFonts w:ascii="Times New Roman" w:hAnsi="Times New Roman" w:cs="Times New Roman"/>
          <w:sz w:val="24"/>
          <w:szCs w:val="24"/>
        </w:rPr>
        <w:t>udjele od Luka Pula d.o.o. za 21.726.200 kn</w:t>
      </w:r>
      <w:r w:rsidR="00E73FA8" w:rsidRPr="00156CD9">
        <w:rPr>
          <w:rFonts w:ascii="Times New Roman" w:hAnsi="Times New Roman" w:cs="Times New Roman"/>
          <w:sz w:val="24"/>
          <w:szCs w:val="24"/>
        </w:rPr>
        <w:t>.</w:t>
      </w:r>
      <w:r w:rsidR="00D9020D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030DFC">
        <w:rPr>
          <w:rFonts w:ascii="Times New Roman" w:hAnsi="Times New Roman" w:cs="Times New Roman"/>
          <w:sz w:val="24"/>
          <w:szCs w:val="24"/>
        </w:rPr>
        <w:t>Evidentiranje u Gradu se provodi nakon provedbe promjene u sudskom registru.</w:t>
      </w:r>
    </w:p>
    <w:p w14:paraId="7F1433A8" w14:textId="77777777" w:rsidR="00AA672A" w:rsidRPr="00156CD9" w:rsidRDefault="00AA672A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BC24D1" w14:textId="1CAEF5B0" w:rsidR="00B70C4F" w:rsidRPr="00156CD9" w:rsidRDefault="00B70C4F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PROMJENE</w:t>
      </w:r>
      <w:r w:rsidR="00BC4083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 xml:space="preserve">U </w:t>
      </w:r>
      <w:r w:rsidR="00BC4083" w:rsidRPr="00156CD9">
        <w:rPr>
          <w:rFonts w:ascii="Times New Roman" w:hAnsi="Times New Roman" w:cs="Times New Roman"/>
          <w:sz w:val="24"/>
          <w:szCs w:val="24"/>
        </w:rPr>
        <w:t>OBUJM</w:t>
      </w:r>
      <w:r w:rsidRPr="00156CD9">
        <w:rPr>
          <w:rFonts w:ascii="Times New Roman" w:hAnsi="Times New Roman" w:cs="Times New Roman"/>
          <w:sz w:val="24"/>
          <w:szCs w:val="24"/>
        </w:rPr>
        <w:t>U</w:t>
      </w:r>
      <w:r w:rsidR="00BC4083" w:rsidRPr="00156CD9">
        <w:rPr>
          <w:rFonts w:ascii="Times New Roman" w:hAnsi="Times New Roman" w:cs="Times New Roman"/>
          <w:sz w:val="24"/>
          <w:szCs w:val="24"/>
        </w:rPr>
        <w:t xml:space="preserve"> IMOVINE</w:t>
      </w:r>
    </w:p>
    <w:p w14:paraId="16BD7D05" w14:textId="77777777" w:rsidR="008404E3" w:rsidRDefault="008404E3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38E1FC89" w14:textId="61445D55" w:rsidR="002840B3" w:rsidRPr="00156CD9" w:rsidRDefault="00B70C4F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</w:t>
      </w:r>
      <w:r w:rsidR="00E73FA8" w:rsidRPr="00156CD9">
        <w:rPr>
          <w:rFonts w:ascii="Times New Roman" w:hAnsi="Times New Roman" w:cs="Times New Roman"/>
          <w:b/>
        </w:rPr>
        <w:t xml:space="preserve"> </w:t>
      </w:r>
      <w:r w:rsidR="00D72BB2">
        <w:rPr>
          <w:rFonts w:ascii="Times New Roman" w:hAnsi="Times New Roman" w:cs="Times New Roman"/>
          <w:b/>
        </w:rPr>
        <w:t>6</w:t>
      </w:r>
      <w:r w:rsidR="00E73FA8" w:rsidRPr="00156CD9">
        <w:rPr>
          <w:rFonts w:ascii="Times New Roman" w:hAnsi="Times New Roman" w:cs="Times New Roman"/>
          <w:b/>
        </w:rPr>
        <w:t>7</w:t>
      </w:r>
    </w:p>
    <w:p w14:paraId="4299CF24" w14:textId="256EE250" w:rsidR="00144253" w:rsidRPr="00156CD9" w:rsidRDefault="001E2DD6" w:rsidP="00156CD9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CD9">
        <w:rPr>
          <w:rFonts w:ascii="Times New Roman" w:hAnsi="Times New Roman" w:cs="Times New Roman"/>
          <w:sz w:val="24"/>
          <w:szCs w:val="24"/>
        </w:rPr>
        <w:t>Neproizvedena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 xml:space="preserve"> dugotrajna imovina (AOP020) </w:t>
      </w:r>
      <w:r w:rsidR="00E73FA8" w:rsidRPr="00156CD9">
        <w:rPr>
          <w:rFonts w:ascii="Times New Roman" w:hAnsi="Times New Roman" w:cs="Times New Roman"/>
          <w:sz w:val="24"/>
          <w:szCs w:val="24"/>
        </w:rPr>
        <w:t>-</w:t>
      </w:r>
      <w:r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144253" w:rsidRPr="00156CD9">
        <w:rPr>
          <w:rFonts w:ascii="Times New Roman" w:hAnsi="Times New Roman" w:cs="Times New Roman"/>
          <w:sz w:val="24"/>
          <w:szCs w:val="24"/>
        </w:rPr>
        <w:t>za 4.653.327</w:t>
      </w:r>
      <w:r w:rsidR="008404E3">
        <w:rPr>
          <w:rFonts w:ascii="Times New Roman" w:hAnsi="Times New Roman" w:cs="Times New Roman"/>
          <w:sz w:val="24"/>
          <w:szCs w:val="24"/>
        </w:rPr>
        <w:t xml:space="preserve"> kn</w:t>
      </w:r>
      <w:r w:rsidR="00144253" w:rsidRPr="00156CD9">
        <w:rPr>
          <w:rFonts w:ascii="Times New Roman" w:hAnsi="Times New Roman" w:cs="Times New Roman"/>
          <w:sz w:val="24"/>
          <w:szCs w:val="24"/>
        </w:rPr>
        <w:t xml:space="preserve"> evidentira </w:t>
      </w:r>
      <w:r w:rsidRPr="00156CD9">
        <w:rPr>
          <w:rFonts w:ascii="Times New Roman" w:hAnsi="Times New Roman" w:cs="Times New Roman"/>
          <w:sz w:val="24"/>
          <w:szCs w:val="24"/>
        </w:rPr>
        <w:t>povećanje</w:t>
      </w:r>
      <w:r w:rsidR="00E73FA8" w:rsidRPr="00156CD9">
        <w:rPr>
          <w:rFonts w:ascii="Times New Roman" w:hAnsi="Times New Roman" w:cs="Times New Roman"/>
          <w:sz w:val="24"/>
          <w:szCs w:val="24"/>
        </w:rPr>
        <w:t xml:space="preserve"> zbog nasljedstva zemljišta </w:t>
      </w:r>
      <w:r w:rsidR="00144253" w:rsidRPr="00156CD9">
        <w:rPr>
          <w:rFonts w:ascii="Times New Roman" w:hAnsi="Times New Roman" w:cs="Times New Roman"/>
          <w:sz w:val="24"/>
          <w:szCs w:val="24"/>
        </w:rPr>
        <w:t>u vrijednosti od 633.327 kn</w:t>
      </w:r>
      <w:r w:rsidR="00E73FA8" w:rsidRPr="00156CD9">
        <w:rPr>
          <w:rFonts w:ascii="Times New Roman" w:hAnsi="Times New Roman" w:cs="Times New Roman"/>
          <w:sz w:val="24"/>
          <w:szCs w:val="24"/>
        </w:rPr>
        <w:t xml:space="preserve"> te </w:t>
      </w:r>
      <w:r w:rsidR="00144253" w:rsidRPr="00156CD9">
        <w:rPr>
          <w:rFonts w:ascii="Times New Roman" w:hAnsi="Times New Roman" w:cs="Times New Roman"/>
          <w:sz w:val="24"/>
          <w:szCs w:val="24"/>
        </w:rPr>
        <w:t>Odlukom o darovanju, Grad je od Republike Hrvatske</w:t>
      </w:r>
      <w:r w:rsidR="008404E3">
        <w:rPr>
          <w:rFonts w:ascii="Times New Roman" w:hAnsi="Times New Roman" w:cs="Times New Roman"/>
          <w:sz w:val="24"/>
          <w:szCs w:val="24"/>
        </w:rPr>
        <w:t xml:space="preserve"> dobio</w:t>
      </w:r>
      <w:r w:rsidR="00144253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E73FA8" w:rsidRPr="00156CD9">
        <w:rPr>
          <w:rFonts w:ascii="Times New Roman" w:hAnsi="Times New Roman" w:cs="Times New Roman"/>
          <w:sz w:val="24"/>
          <w:szCs w:val="24"/>
        </w:rPr>
        <w:t xml:space="preserve">zemljište </w:t>
      </w:r>
      <w:r w:rsidR="00144253" w:rsidRPr="00156CD9">
        <w:rPr>
          <w:rFonts w:ascii="Times New Roman" w:hAnsi="Times New Roman" w:cs="Times New Roman"/>
          <w:sz w:val="24"/>
          <w:szCs w:val="24"/>
        </w:rPr>
        <w:t>u vrijednosti od 4.020.000 kn</w:t>
      </w:r>
      <w:r w:rsidR="002C1612">
        <w:rPr>
          <w:rFonts w:ascii="Times New Roman" w:hAnsi="Times New Roman" w:cs="Times New Roman"/>
          <w:sz w:val="24"/>
          <w:szCs w:val="24"/>
        </w:rPr>
        <w:t>.</w:t>
      </w:r>
    </w:p>
    <w:p w14:paraId="65ED5811" w14:textId="6BE5F211" w:rsidR="001E2DD6" w:rsidRPr="00156CD9" w:rsidRDefault="001E2DD6" w:rsidP="00156CD9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B9D5C" w14:textId="2A786446" w:rsidR="00F1402D" w:rsidRPr="00156CD9" w:rsidRDefault="00F1402D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</w:t>
      </w:r>
      <w:r w:rsidR="00111B7B" w:rsidRPr="00156CD9">
        <w:rPr>
          <w:rFonts w:ascii="Times New Roman" w:hAnsi="Times New Roman" w:cs="Times New Roman"/>
          <w:b/>
        </w:rPr>
        <w:t xml:space="preserve"> </w:t>
      </w:r>
      <w:r w:rsidR="00D72BB2">
        <w:rPr>
          <w:rFonts w:ascii="Times New Roman" w:hAnsi="Times New Roman" w:cs="Times New Roman"/>
          <w:b/>
        </w:rPr>
        <w:t>6</w:t>
      </w:r>
      <w:r w:rsidR="00111B7B" w:rsidRPr="00156CD9">
        <w:rPr>
          <w:rFonts w:ascii="Times New Roman" w:hAnsi="Times New Roman" w:cs="Times New Roman"/>
          <w:b/>
        </w:rPr>
        <w:t>8</w:t>
      </w:r>
    </w:p>
    <w:p w14:paraId="21FF6A57" w14:textId="2F362EAF" w:rsidR="001E2DD6" w:rsidRPr="00156CD9" w:rsidRDefault="001E2DD6" w:rsidP="00156CD9">
      <w:pPr>
        <w:pStyle w:val="NoSpacing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6CD9">
        <w:rPr>
          <w:rFonts w:ascii="Times New Roman" w:hAnsi="Times New Roman" w:cs="Times New Roman"/>
          <w:sz w:val="24"/>
          <w:szCs w:val="24"/>
        </w:rPr>
        <w:t>Neproizvedena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 xml:space="preserve"> dugotrajna imovina (AOP020) </w:t>
      </w:r>
      <w:r w:rsidR="002C1612">
        <w:rPr>
          <w:rFonts w:ascii="Times New Roman" w:hAnsi="Times New Roman" w:cs="Times New Roman"/>
          <w:sz w:val="24"/>
          <w:szCs w:val="24"/>
        </w:rPr>
        <w:t>-</w:t>
      </w:r>
      <w:r w:rsidR="00E41D45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 xml:space="preserve">za 26.963.773 kn </w:t>
      </w:r>
      <w:r w:rsidR="00E41D45" w:rsidRPr="00156CD9">
        <w:rPr>
          <w:rFonts w:ascii="Times New Roman" w:hAnsi="Times New Roman" w:cs="Times New Roman"/>
          <w:sz w:val="24"/>
          <w:szCs w:val="24"/>
        </w:rPr>
        <w:t>evidentira</w:t>
      </w:r>
      <w:r w:rsidRPr="00156CD9">
        <w:rPr>
          <w:rFonts w:ascii="Times New Roman" w:hAnsi="Times New Roman" w:cs="Times New Roman"/>
          <w:sz w:val="24"/>
          <w:szCs w:val="24"/>
        </w:rPr>
        <w:t xml:space="preserve"> smanjenj</w:t>
      </w:r>
      <w:r w:rsidR="00E41D45" w:rsidRPr="00156CD9">
        <w:rPr>
          <w:rFonts w:ascii="Times New Roman" w:hAnsi="Times New Roman" w:cs="Times New Roman"/>
          <w:sz w:val="24"/>
          <w:szCs w:val="24"/>
        </w:rPr>
        <w:t xml:space="preserve">e </w:t>
      </w:r>
      <w:r w:rsidRPr="00156CD9">
        <w:rPr>
          <w:rFonts w:ascii="Times New Roman" w:hAnsi="Times New Roman" w:cs="Times New Roman"/>
          <w:sz w:val="24"/>
          <w:szCs w:val="24"/>
        </w:rPr>
        <w:t>imovine usl</w:t>
      </w:r>
      <w:r w:rsidR="00E41D45" w:rsidRPr="00156CD9">
        <w:rPr>
          <w:rFonts w:ascii="Times New Roman" w:hAnsi="Times New Roman" w:cs="Times New Roman"/>
          <w:sz w:val="24"/>
          <w:szCs w:val="24"/>
        </w:rPr>
        <w:t>i</w:t>
      </w:r>
      <w:r w:rsidRPr="00156CD9">
        <w:rPr>
          <w:rFonts w:ascii="Times New Roman" w:hAnsi="Times New Roman" w:cs="Times New Roman"/>
          <w:sz w:val="24"/>
          <w:szCs w:val="24"/>
        </w:rPr>
        <w:t xml:space="preserve">jed usklađenja podataka sa pomoćnom evidencijom - registrom nekretnina. Zbog unosa novih jedinica imovine, </w:t>
      </w:r>
      <w:r w:rsidRPr="00156CD9">
        <w:rPr>
          <w:rFonts w:ascii="Times New Roman" w:hAnsi="Times New Roman"/>
          <w:sz w:val="24"/>
          <w:szCs w:val="24"/>
        </w:rPr>
        <w:t>pojedinačnih procjen</w:t>
      </w:r>
      <w:r w:rsidRPr="00156CD9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156CD9">
        <w:rPr>
          <w:rFonts w:ascii="Times New Roman" w:hAnsi="Times New Roman"/>
          <w:sz w:val="24"/>
          <w:szCs w:val="24"/>
        </w:rPr>
        <w:t xml:space="preserve">jedinica imovine </w:t>
      </w:r>
      <w:r w:rsidRPr="00156CD9">
        <w:rPr>
          <w:rFonts w:ascii="Times New Roman" w:eastAsia="Calibri" w:hAnsi="Times New Roman" w:cs="Times New Roman"/>
          <w:sz w:val="24"/>
          <w:szCs w:val="24"/>
        </w:rPr>
        <w:t>pr</w:t>
      </w:r>
      <w:r w:rsidRPr="00156CD9">
        <w:rPr>
          <w:rFonts w:ascii="Times New Roman" w:hAnsi="Times New Roman"/>
          <w:sz w:val="24"/>
          <w:szCs w:val="24"/>
        </w:rPr>
        <w:t>ema stvarnom položaju i namjeni, evidentiranj</w:t>
      </w:r>
      <w:r w:rsidR="00E41D45" w:rsidRPr="00156CD9">
        <w:rPr>
          <w:rFonts w:ascii="Times New Roman" w:hAnsi="Times New Roman"/>
          <w:sz w:val="24"/>
          <w:szCs w:val="24"/>
        </w:rPr>
        <w:t>a</w:t>
      </w:r>
      <w:r w:rsidRPr="00156CD9">
        <w:rPr>
          <w:rFonts w:ascii="Times New Roman" w:hAnsi="Times New Roman"/>
          <w:sz w:val="24"/>
          <w:szCs w:val="24"/>
        </w:rPr>
        <w:t xml:space="preserve"> promjen</w:t>
      </w:r>
      <w:r w:rsidR="00E41D45" w:rsidRPr="00156CD9">
        <w:rPr>
          <w:rFonts w:ascii="Times New Roman" w:hAnsi="Times New Roman"/>
          <w:sz w:val="24"/>
          <w:szCs w:val="24"/>
        </w:rPr>
        <w:t>a</w:t>
      </w:r>
      <w:r w:rsidRPr="00156CD9">
        <w:rPr>
          <w:rFonts w:ascii="Times New Roman" w:eastAsia="Calibri" w:hAnsi="Times New Roman" w:cs="Times New Roman"/>
          <w:sz w:val="24"/>
          <w:szCs w:val="24"/>
        </w:rPr>
        <w:t xml:space="preserve"> prema pristiglim završnim rj</w:t>
      </w:r>
      <w:r w:rsidRPr="00156CD9">
        <w:rPr>
          <w:rFonts w:ascii="Times New Roman" w:hAnsi="Times New Roman"/>
          <w:sz w:val="24"/>
          <w:szCs w:val="24"/>
        </w:rPr>
        <w:t xml:space="preserve">ešenjima Općinskog suda u Puli </w:t>
      </w:r>
      <w:r w:rsidRPr="00156CD9">
        <w:rPr>
          <w:rFonts w:ascii="Times New Roman" w:eastAsia="Calibri" w:hAnsi="Times New Roman" w:cs="Times New Roman"/>
          <w:sz w:val="24"/>
          <w:szCs w:val="24"/>
        </w:rPr>
        <w:t>i</w:t>
      </w:r>
      <w:r w:rsidRPr="00156CD9">
        <w:rPr>
          <w:rFonts w:ascii="Times New Roman" w:hAnsi="Times New Roman"/>
          <w:sz w:val="24"/>
          <w:szCs w:val="24"/>
        </w:rPr>
        <w:t>/ili</w:t>
      </w:r>
      <w:r w:rsidRPr="00156CD9">
        <w:rPr>
          <w:rFonts w:ascii="Times New Roman" w:eastAsia="Calibri" w:hAnsi="Times New Roman" w:cs="Times New Roman"/>
          <w:sz w:val="24"/>
          <w:szCs w:val="24"/>
        </w:rPr>
        <w:t xml:space="preserve"> prvostupanjskim rješenj</w:t>
      </w:r>
      <w:r w:rsidRPr="00156CD9">
        <w:rPr>
          <w:rFonts w:ascii="Times New Roman" w:hAnsi="Times New Roman"/>
          <w:sz w:val="24"/>
          <w:szCs w:val="24"/>
        </w:rPr>
        <w:t xml:space="preserve">ima Područnog ureda za katastar, </w:t>
      </w:r>
      <w:r w:rsidRPr="00156CD9">
        <w:rPr>
          <w:rFonts w:ascii="Times New Roman" w:eastAsia="Calibri" w:hAnsi="Times New Roman" w:cs="Times New Roman"/>
          <w:sz w:val="24"/>
          <w:szCs w:val="24"/>
        </w:rPr>
        <w:t>dopunj</w:t>
      </w:r>
      <w:r w:rsidRPr="00156CD9">
        <w:rPr>
          <w:rFonts w:ascii="Times New Roman" w:hAnsi="Times New Roman"/>
          <w:sz w:val="24"/>
          <w:szCs w:val="24"/>
        </w:rPr>
        <w:t>avanj</w:t>
      </w:r>
      <w:r w:rsidR="00E41D45" w:rsidRPr="00156CD9">
        <w:rPr>
          <w:rFonts w:ascii="Times New Roman" w:hAnsi="Times New Roman"/>
          <w:sz w:val="24"/>
          <w:szCs w:val="24"/>
        </w:rPr>
        <w:t>a</w:t>
      </w:r>
      <w:r w:rsidRPr="00156CD9">
        <w:rPr>
          <w:rFonts w:ascii="Times New Roman" w:eastAsia="Calibri" w:hAnsi="Times New Roman" w:cs="Times New Roman"/>
          <w:sz w:val="24"/>
          <w:szCs w:val="24"/>
        </w:rPr>
        <w:t xml:space="preserve"> podataka, </w:t>
      </w:r>
      <w:r w:rsidRPr="00156CD9">
        <w:rPr>
          <w:rFonts w:ascii="Times New Roman" w:hAnsi="Times New Roman"/>
          <w:sz w:val="24"/>
          <w:szCs w:val="24"/>
        </w:rPr>
        <w:t>migriranja jedinica</w:t>
      </w:r>
      <w:r w:rsidRPr="00156C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/>
          <w:sz w:val="24"/>
          <w:szCs w:val="24"/>
        </w:rPr>
        <w:t>u pripadajuće</w:t>
      </w:r>
      <w:r w:rsidRPr="00156C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6CD9">
        <w:rPr>
          <w:rFonts w:ascii="Times New Roman" w:eastAsia="Calibri" w:hAnsi="Times New Roman" w:cs="Times New Roman"/>
          <w:sz w:val="24"/>
          <w:szCs w:val="24"/>
        </w:rPr>
        <w:t>podportfelj</w:t>
      </w:r>
      <w:r w:rsidRPr="00156CD9">
        <w:rPr>
          <w:rFonts w:ascii="Times New Roman" w:hAnsi="Times New Roman"/>
          <w:sz w:val="24"/>
          <w:szCs w:val="24"/>
        </w:rPr>
        <w:t>e</w:t>
      </w:r>
      <w:proofErr w:type="spellEnd"/>
      <w:r w:rsidRPr="00156CD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56CD9">
        <w:rPr>
          <w:rFonts w:ascii="Times New Roman" w:hAnsi="Times New Roman"/>
          <w:sz w:val="24"/>
          <w:szCs w:val="24"/>
        </w:rPr>
        <w:t>unosa</w:t>
      </w:r>
      <w:r w:rsidRPr="00156CD9">
        <w:rPr>
          <w:rFonts w:ascii="Times New Roman" w:eastAsia="Calibri" w:hAnsi="Times New Roman" w:cs="Times New Roman"/>
          <w:sz w:val="24"/>
          <w:szCs w:val="24"/>
        </w:rPr>
        <w:t xml:space="preserve"> interne procje</w:t>
      </w:r>
      <w:r w:rsidRPr="00156CD9">
        <w:rPr>
          <w:rFonts w:ascii="Times New Roman" w:hAnsi="Times New Roman"/>
          <w:sz w:val="24"/>
          <w:szCs w:val="24"/>
        </w:rPr>
        <w:t>ne vrijednosti jedinice imovine, unosa</w:t>
      </w:r>
      <w:r w:rsidRPr="00156CD9">
        <w:rPr>
          <w:rFonts w:ascii="Times New Roman" w:eastAsia="Calibri" w:hAnsi="Times New Roman" w:cs="Times New Roman"/>
          <w:sz w:val="24"/>
          <w:szCs w:val="24"/>
        </w:rPr>
        <w:t xml:space="preserve"> promjena prema Odlukama o prihvatu ponuda i sklapanju ugovora o kupoprodaji nekretnina sukladno provedenoj promjeni u zemljišnim knjigama</w:t>
      </w:r>
      <w:r w:rsidRPr="00156CD9">
        <w:rPr>
          <w:rFonts w:ascii="Times New Roman" w:hAnsi="Times New Roman"/>
          <w:sz w:val="24"/>
          <w:szCs w:val="24"/>
        </w:rPr>
        <w:t xml:space="preserve">, </w:t>
      </w:r>
      <w:r w:rsidR="0063621C" w:rsidRPr="00156CD9">
        <w:rPr>
          <w:rFonts w:ascii="Times New Roman" w:hAnsi="Times New Roman"/>
          <w:sz w:val="24"/>
          <w:szCs w:val="24"/>
        </w:rPr>
        <w:t>dodjeljivanja pojedinim</w:t>
      </w:r>
      <w:r w:rsidRPr="00156CD9">
        <w:rPr>
          <w:rFonts w:ascii="Times New Roman" w:hAnsi="Times New Roman"/>
          <w:sz w:val="24"/>
          <w:szCs w:val="24"/>
        </w:rPr>
        <w:t xml:space="preserve"> jedinic</w:t>
      </w:r>
      <w:r w:rsidR="0063621C" w:rsidRPr="00156CD9">
        <w:rPr>
          <w:rFonts w:ascii="Times New Roman" w:hAnsi="Times New Roman"/>
          <w:sz w:val="24"/>
          <w:szCs w:val="24"/>
        </w:rPr>
        <w:t xml:space="preserve">ama status neaktivnosti i sl. </w:t>
      </w:r>
      <w:r w:rsidR="00E41D45" w:rsidRPr="00156CD9">
        <w:rPr>
          <w:rFonts w:ascii="Times New Roman" w:hAnsi="Times New Roman"/>
          <w:sz w:val="24"/>
          <w:szCs w:val="24"/>
        </w:rPr>
        <w:t>Grad godišnje vrši usklađenje poslovnih knjiga</w:t>
      </w:r>
      <w:r w:rsidR="00491497" w:rsidRPr="00156CD9">
        <w:rPr>
          <w:rFonts w:ascii="Times New Roman" w:hAnsi="Times New Roman"/>
          <w:sz w:val="24"/>
          <w:szCs w:val="24"/>
        </w:rPr>
        <w:t>.</w:t>
      </w:r>
    </w:p>
    <w:p w14:paraId="26047021" w14:textId="04892BE1" w:rsidR="00F1402D" w:rsidRPr="00156CD9" w:rsidRDefault="00F1402D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lastRenderedPageBreak/>
        <w:t>BILJEŠKA br.</w:t>
      </w:r>
      <w:r w:rsidR="00111B7B" w:rsidRPr="00156CD9">
        <w:rPr>
          <w:rFonts w:ascii="Times New Roman" w:hAnsi="Times New Roman" w:cs="Times New Roman"/>
          <w:b/>
        </w:rPr>
        <w:t xml:space="preserve"> </w:t>
      </w:r>
      <w:r w:rsidR="00D72BB2">
        <w:rPr>
          <w:rFonts w:ascii="Times New Roman" w:hAnsi="Times New Roman" w:cs="Times New Roman"/>
          <w:b/>
        </w:rPr>
        <w:t>6</w:t>
      </w:r>
      <w:r w:rsidR="00111B7B" w:rsidRPr="00156CD9">
        <w:rPr>
          <w:rFonts w:ascii="Times New Roman" w:hAnsi="Times New Roman" w:cs="Times New Roman"/>
          <w:b/>
        </w:rPr>
        <w:t>9</w:t>
      </w:r>
    </w:p>
    <w:p w14:paraId="48DA475C" w14:textId="29ECE6DD" w:rsidR="00BC4083" w:rsidRPr="00156CD9" w:rsidRDefault="000530DC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Proizved</w:t>
      </w:r>
      <w:r w:rsidR="00D746BB" w:rsidRPr="00156CD9">
        <w:rPr>
          <w:rFonts w:ascii="Times New Roman" w:hAnsi="Times New Roman" w:cs="Times New Roman"/>
          <w:sz w:val="24"/>
          <w:szCs w:val="24"/>
        </w:rPr>
        <w:t>en</w:t>
      </w:r>
      <w:r w:rsidR="00BC4083" w:rsidRPr="00156CD9">
        <w:rPr>
          <w:rFonts w:ascii="Times New Roman" w:hAnsi="Times New Roman" w:cs="Times New Roman"/>
          <w:sz w:val="24"/>
          <w:szCs w:val="24"/>
        </w:rPr>
        <w:t>a</w:t>
      </w:r>
      <w:r w:rsidR="00D746BB" w:rsidRPr="00156CD9">
        <w:rPr>
          <w:rFonts w:ascii="Times New Roman" w:hAnsi="Times New Roman" w:cs="Times New Roman"/>
          <w:sz w:val="24"/>
          <w:szCs w:val="24"/>
        </w:rPr>
        <w:t xml:space="preserve"> dugotrajn</w:t>
      </w:r>
      <w:r w:rsidR="00BC4083" w:rsidRPr="00156CD9">
        <w:rPr>
          <w:rFonts w:ascii="Times New Roman" w:hAnsi="Times New Roman" w:cs="Times New Roman"/>
          <w:sz w:val="24"/>
          <w:szCs w:val="24"/>
        </w:rPr>
        <w:t>a</w:t>
      </w:r>
      <w:r w:rsidR="00D746BB" w:rsidRPr="00156CD9">
        <w:rPr>
          <w:rFonts w:ascii="Times New Roman" w:hAnsi="Times New Roman" w:cs="Times New Roman"/>
          <w:sz w:val="24"/>
          <w:szCs w:val="24"/>
        </w:rPr>
        <w:t xml:space="preserve"> imovin</w:t>
      </w:r>
      <w:r w:rsidR="00BC4083" w:rsidRPr="00156CD9">
        <w:rPr>
          <w:rFonts w:ascii="Times New Roman" w:hAnsi="Times New Roman" w:cs="Times New Roman"/>
          <w:sz w:val="24"/>
          <w:szCs w:val="24"/>
        </w:rPr>
        <w:t>a</w:t>
      </w:r>
      <w:r w:rsidR="00D746BB" w:rsidRPr="00156CD9">
        <w:rPr>
          <w:rFonts w:ascii="Times New Roman" w:hAnsi="Times New Roman" w:cs="Times New Roman"/>
          <w:sz w:val="24"/>
          <w:szCs w:val="24"/>
        </w:rPr>
        <w:t xml:space="preserve"> (AOP021) </w:t>
      </w:r>
      <w:r w:rsidR="00E1746C" w:rsidRPr="00156CD9">
        <w:rPr>
          <w:rFonts w:ascii="Times New Roman" w:hAnsi="Times New Roman" w:cs="Times New Roman"/>
          <w:sz w:val="24"/>
          <w:szCs w:val="24"/>
        </w:rPr>
        <w:t>-</w:t>
      </w:r>
      <w:r w:rsidR="00D746BB" w:rsidRPr="00156CD9">
        <w:rPr>
          <w:rFonts w:ascii="Times New Roman" w:hAnsi="Times New Roman" w:cs="Times New Roman"/>
          <w:sz w:val="24"/>
          <w:szCs w:val="24"/>
        </w:rPr>
        <w:t xml:space="preserve"> povećanje za</w:t>
      </w:r>
      <w:r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F1402D" w:rsidRPr="00156CD9">
        <w:rPr>
          <w:rFonts w:ascii="Times New Roman" w:hAnsi="Times New Roman" w:cs="Times New Roman"/>
          <w:sz w:val="24"/>
          <w:szCs w:val="24"/>
        </w:rPr>
        <w:t>4.378.541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</w:t>
      </w:r>
      <w:r w:rsidR="00BC4083" w:rsidRPr="00156CD9">
        <w:rPr>
          <w:rFonts w:ascii="Times New Roman" w:hAnsi="Times New Roman" w:cs="Times New Roman"/>
          <w:sz w:val="24"/>
          <w:szCs w:val="24"/>
        </w:rPr>
        <w:t xml:space="preserve"> zbog</w:t>
      </w:r>
      <w:r w:rsidR="00765A2A" w:rsidRPr="00156CD9">
        <w:rPr>
          <w:rFonts w:ascii="Times New Roman" w:hAnsi="Times New Roman" w:cs="Times New Roman"/>
          <w:sz w:val="24"/>
          <w:szCs w:val="24"/>
        </w:rPr>
        <w:t xml:space="preserve"> dobivenih spremnika za odvojeno prikupljanje otpada od Fonda za zaštitu okoliša i energetsku učinkovitost u </w:t>
      </w:r>
      <w:r w:rsidR="00F1402D" w:rsidRPr="00156CD9">
        <w:rPr>
          <w:rFonts w:ascii="Times New Roman" w:hAnsi="Times New Roman" w:cs="Times New Roman"/>
          <w:sz w:val="24"/>
          <w:szCs w:val="24"/>
        </w:rPr>
        <w:t>vrijednosti</w:t>
      </w:r>
      <w:r w:rsidR="00765A2A" w:rsidRPr="00156CD9">
        <w:rPr>
          <w:rFonts w:ascii="Times New Roman" w:hAnsi="Times New Roman" w:cs="Times New Roman"/>
          <w:sz w:val="24"/>
          <w:szCs w:val="24"/>
        </w:rPr>
        <w:t xml:space="preserve"> od </w:t>
      </w:r>
      <w:r w:rsidR="00F1402D" w:rsidRPr="00156CD9">
        <w:rPr>
          <w:rFonts w:ascii="Times New Roman" w:hAnsi="Times New Roman" w:cs="Times New Roman"/>
          <w:sz w:val="24"/>
          <w:szCs w:val="24"/>
        </w:rPr>
        <w:t>4.356.041</w:t>
      </w:r>
      <w:r w:rsidR="00765A2A" w:rsidRPr="00156CD9">
        <w:rPr>
          <w:rFonts w:ascii="Times New Roman" w:hAnsi="Times New Roman" w:cs="Times New Roman"/>
          <w:sz w:val="24"/>
          <w:szCs w:val="24"/>
        </w:rPr>
        <w:t xml:space="preserve"> kn te donacije računala Ministarstva prostornog uređenja, graditeljstva i državne imovine u </w:t>
      </w:r>
      <w:r w:rsidR="00F1402D" w:rsidRPr="00156CD9">
        <w:rPr>
          <w:rFonts w:ascii="Times New Roman" w:hAnsi="Times New Roman" w:cs="Times New Roman"/>
          <w:sz w:val="24"/>
          <w:szCs w:val="24"/>
        </w:rPr>
        <w:t>vrijednosti</w:t>
      </w:r>
      <w:r w:rsidR="00765A2A" w:rsidRPr="00156CD9">
        <w:rPr>
          <w:rFonts w:ascii="Times New Roman" w:hAnsi="Times New Roman" w:cs="Times New Roman"/>
          <w:sz w:val="24"/>
          <w:szCs w:val="24"/>
        </w:rPr>
        <w:t xml:space="preserve"> od </w:t>
      </w:r>
      <w:r w:rsidR="00F1402D" w:rsidRPr="00156CD9">
        <w:rPr>
          <w:rFonts w:ascii="Times New Roman" w:hAnsi="Times New Roman" w:cs="Times New Roman"/>
          <w:sz w:val="24"/>
          <w:szCs w:val="24"/>
        </w:rPr>
        <w:t>22.500</w:t>
      </w:r>
      <w:r w:rsidR="00765A2A" w:rsidRPr="00156CD9">
        <w:rPr>
          <w:rFonts w:ascii="Times New Roman" w:hAnsi="Times New Roman" w:cs="Times New Roman"/>
          <w:sz w:val="24"/>
          <w:szCs w:val="24"/>
        </w:rPr>
        <w:t xml:space="preserve"> kn.</w:t>
      </w:r>
      <w:r w:rsidRPr="00156C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9C389" w14:textId="77777777" w:rsidR="00F1402D" w:rsidRPr="00156CD9" w:rsidRDefault="00F1402D" w:rsidP="00156CD9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53763D" w14:textId="0FE78237" w:rsidR="00B70C4F" w:rsidRPr="00156CD9" w:rsidRDefault="00B70C4F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</w:t>
      </w:r>
      <w:r w:rsidR="00111B7B" w:rsidRPr="00156CD9">
        <w:rPr>
          <w:rFonts w:ascii="Times New Roman" w:hAnsi="Times New Roman" w:cs="Times New Roman"/>
          <w:b/>
        </w:rPr>
        <w:t xml:space="preserve"> </w:t>
      </w:r>
      <w:r w:rsidR="00D72BB2">
        <w:rPr>
          <w:rFonts w:ascii="Times New Roman" w:hAnsi="Times New Roman" w:cs="Times New Roman"/>
          <w:b/>
        </w:rPr>
        <w:t>70</w:t>
      </w:r>
      <w:r w:rsidRPr="00156CD9">
        <w:rPr>
          <w:rFonts w:ascii="Times New Roman" w:hAnsi="Times New Roman" w:cs="Times New Roman"/>
          <w:b/>
        </w:rPr>
        <w:t xml:space="preserve"> </w:t>
      </w:r>
    </w:p>
    <w:p w14:paraId="6248998C" w14:textId="4AFDE7DE" w:rsidR="00AA4B35" w:rsidRDefault="00765A2A" w:rsidP="0015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Proizvedena dugotrajna imovina (AOP021) </w:t>
      </w:r>
      <w:r w:rsidR="00B70C4F" w:rsidRPr="00156CD9">
        <w:rPr>
          <w:rFonts w:ascii="Times New Roman" w:hAnsi="Times New Roman" w:cs="Times New Roman"/>
          <w:sz w:val="24"/>
          <w:szCs w:val="24"/>
        </w:rPr>
        <w:t xml:space="preserve">- </w:t>
      </w:r>
      <w:r w:rsidR="001E552B" w:rsidRPr="00156CD9">
        <w:rPr>
          <w:rFonts w:ascii="Times New Roman" w:hAnsi="Times New Roman" w:cs="Times New Roman"/>
          <w:sz w:val="24"/>
          <w:szCs w:val="24"/>
        </w:rPr>
        <w:t xml:space="preserve">smanjenje </w:t>
      </w:r>
      <w:r w:rsidRPr="00156CD9">
        <w:rPr>
          <w:rFonts w:ascii="Times New Roman" w:hAnsi="Times New Roman" w:cs="Times New Roman"/>
          <w:sz w:val="24"/>
          <w:szCs w:val="24"/>
        </w:rPr>
        <w:t xml:space="preserve">za </w:t>
      </w:r>
      <w:r w:rsidR="00F167D5" w:rsidRPr="00156CD9">
        <w:rPr>
          <w:rFonts w:ascii="Times New Roman" w:hAnsi="Times New Roman" w:cs="Times New Roman"/>
          <w:sz w:val="24"/>
          <w:szCs w:val="24"/>
        </w:rPr>
        <w:t>1.861.118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</w:t>
      </w:r>
      <w:r w:rsidR="001E552B" w:rsidRPr="00156CD9">
        <w:rPr>
          <w:rFonts w:ascii="Times New Roman" w:hAnsi="Times New Roman" w:cs="Times New Roman"/>
          <w:sz w:val="24"/>
          <w:szCs w:val="24"/>
        </w:rPr>
        <w:t>zbog prijenosa investicija</w:t>
      </w:r>
      <w:r w:rsidR="007F31BB" w:rsidRPr="00156CD9">
        <w:rPr>
          <w:rFonts w:ascii="Times New Roman" w:hAnsi="Times New Roman" w:cs="Times New Roman"/>
          <w:sz w:val="24"/>
          <w:szCs w:val="24"/>
        </w:rPr>
        <w:t xml:space="preserve"> prema tablici koja </w:t>
      </w:r>
      <w:r w:rsidR="001E552B" w:rsidRPr="00156CD9">
        <w:rPr>
          <w:rFonts w:ascii="Times New Roman" w:hAnsi="Times New Roman" w:cs="Times New Roman"/>
          <w:sz w:val="24"/>
          <w:szCs w:val="24"/>
        </w:rPr>
        <w:t>slijedi:</w:t>
      </w:r>
    </w:p>
    <w:p w14:paraId="55A4E03A" w14:textId="6BA94702" w:rsidR="00323937" w:rsidRPr="00156CD9" w:rsidRDefault="00C45CCD" w:rsidP="00AA4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CCD">
        <w:drawing>
          <wp:inline distT="0" distB="0" distL="0" distR="0" wp14:anchorId="4B5593B5" wp14:editId="1C462B75">
            <wp:extent cx="6120130" cy="37490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1AAE9" w14:textId="77777777" w:rsidR="00A205DB" w:rsidRPr="00156CD9" w:rsidRDefault="00A205DB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3CC8441E" w14:textId="76FF0DFA" w:rsidR="00323937" w:rsidRPr="00156CD9" w:rsidRDefault="00323937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</w:t>
      </w:r>
      <w:r w:rsidR="00111B7B" w:rsidRPr="00156CD9">
        <w:rPr>
          <w:rFonts w:ascii="Times New Roman" w:hAnsi="Times New Roman" w:cs="Times New Roman"/>
          <w:b/>
        </w:rPr>
        <w:t xml:space="preserve"> </w:t>
      </w:r>
      <w:r w:rsidR="00D72BB2">
        <w:rPr>
          <w:rFonts w:ascii="Times New Roman" w:hAnsi="Times New Roman" w:cs="Times New Roman"/>
          <w:b/>
        </w:rPr>
        <w:t>7</w:t>
      </w:r>
      <w:r w:rsidR="00111B7B" w:rsidRPr="00156CD9">
        <w:rPr>
          <w:rFonts w:ascii="Times New Roman" w:hAnsi="Times New Roman" w:cs="Times New Roman"/>
          <w:b/>
        </w:rPr>
        <w:t>1</w:t>
      </w:r>
      <w:r w:rsidRPr="00156CD9">
        <w:rPr>
          <w:rFonts w:ascii="Times New Roman" w:hAnsi="Times New Roman" w:cs="Times New Roman"/>
          <w:b/>
        </w:rPr>
        <w:t xml:space="preserve"> </w:t>
      </w:r>
    </w:p>
    <w:p w14:paraId="6E540353" w14:textId="41B36769" w:rsidR="001E552B" w:rsidRPr="00156CD9" w:rsidRDefault="00A205DB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Dugotrajna nefinancijska imovina u pripremi</w:t>
      </w:r>
      <w:r w:rsidR="00323937" w:rsidRPr="00156CD9">
        <w:rPr>
          <w:rFonts w:ascii="Times New Roman" w:hAnsi="Times New Roman" w:cs="Times New Roman"/>
          <w:sz w:val="24"/>
          <w:szCs w:val="24"/>
        </w:rPr>
        <w:t xml:space="preserve"> (AOP0</w:t>
      </w:r>
      <w:r w:rsidRPr="00156CD9">
        <w:rPr>
          <w:rFonts w:ascii="Times New Roman" w:hAnsi="Times New Roman" w:cs="Times New Roman"/>
          <w:sz w:val="24"/>
          <w:szCs w:val="24"/>
        </w:rPr>
        <w:t>24</w:t>
      </w:r>
      <w:r w:rsidR="00323937" w:rsidRPr="00156CD9">
        <w:rPr>
          <w:rFonts w:ascii="Times New Roman" w:hAnsi="Times New Roman" w:cs="Times New Roman"/>
          <w:sz w:val="24"/>
          <w:szCs w:val="24"/>
        </w:rPr>
        <w:t xml:space="preserve">) - </w:t>
      </w:r>
      <w:r w:rsidR="002C1612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 xml:space="preserve">smanjenje </w:t>
      </w:r>
      <w:r w:rsidR="00323937" w:rsidRPr="00156CD9">
        <w:rPr>
          <w:rFonts w:ascii="Times New Roman" w:hAnsi="Times New Roman" w:cs="Times New Roman"/>
          <w:sz w:val="24"/>
          <w:szCs w:val="24"/>
        </w:rPr>
        <w:t xml:space="preserve">za </w:t>
      </w:r>
      <w:r w:rsidRPr="00156CD9">
        <w:rPr>
          <w:rFonts w:ascii="Times New Roman" w:hAnsi="Times New Roman" w:cs="Times New Roman"/>
          <w:sz w:val="24"/>
          <w:szCs w:val="24"/>
        </w:rPr>
        <w:t>7.574.288</w:t>
      </w:r>
      <w:r w:rsidR="00323937" w:rsidRPr="00156CD9">
        <w:rPr>
          <w:rFonts w:ascii="Times New Roman" w:hAnsi="Times New Roman" w:cs="Times New Roman"/>
          <w:sz w:val="24"/>
          <w:szCs w:val="24"/>
        </w:rPr>
        <w:t xml:space="preserve"> kn zbog</w:t>
      </w:r>
      <w:r w:rsidR="00B70C4F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Pr="00156CD9">
        <w:rPr>
          <w:rFonts w:ascii="Times New Roman" w:hAnsi="Times New Roman" w:cs="Times New Roman"/>
          <w:sz w:val="24"/>
          <w:szCs w:val="24"/>
        </w:rPr>
        <w:t xml:space="preserve">presude Vrhovnog suda RH,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Posl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>. br. REV-X 1135/2017-2 od 03.02.2021. g. kojom je Grad bio u obvezi vratiti imovinu</w:t>
      </w:r>
      <w:r w:rsidR="00102EBA"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8404E3">
        <w:rPr>
          <w:rFonts w:ascii="Times New Roman" w:hAnsi="Times New Roman" w:cs="Times New Roman"/>
          <w:sz w:val="24"/>
          <w:szCs w:val="24"/>
        </w:rPr>
        <w:t>tužitelju.</w:t>
      </w:r>
    </w:p>
    <w:p w14:paraId="6E6FC16E" w14:textId="45EA67CB" w:rsidR="00323937" w:rsidRPr="00156CD9" w:rsidRDefault="00323937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9B2F81" w14:textId="688820AF" w:rsidR="00B70C4F" w:rsidRPr="00156CD9" w:rsidRDefault="00B70C4F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7</w:t>
      </w:r>
      <w:r w:rsidR="00111B7B" w:rsidRPr="00156CD9">
        <w:rPr>
          <w:rFonts w:ascii="Times New Roman" w:hAnsi="Times New Roman" w:cs="Times New Roman"/>
          <w:b/>
        </w:rPr>
        <w:t>2</w:t>
      </w:r>
      <w:r w:rsidRPr="00156CD9">
        <w:rPr>
          <w:rFonts w:ascii="Times New Roman" w:hAnsi="Times New Roman" w:cs="Times New Roman"/>
          <w:b/>
        </w:rPr>
        <w:t xml:space="preserve"> </w:t>
      </w:r>
    </w:p>
    <w:p w14:paraId="361271D4" w14:textId="498691AE" w:rsidR="00765A2A" w:rsidRPr="00156CD9" w:rsidRDefault="00765A2A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Potraživanja za prihode poslovanja (AOP032)</w:t>
      </w:r>
      <w:r w:rsidR="00B70C4F" w:rsidRPr="00156CD9">
        <w:rPr>
          <w:rFonts w:ascii="Times New Roman" w:hAnsi="Times New Roman" w:cs="Times New Roman"/>
          <w:sz w:val="24"/>
          <w:szCs w:val="24"/>
        </w:rPr>
        <w:t xml:space="preserve"> - evidentira smanjenje za 5.</w:t>
      </w:r>
      <w:r w:rsidR="00102EBA" w:rsidRPr="00156CD9">
        <w:rPr>
          <w:rFonts w:ascii="Times New Roman" w:hAnsi="Times New Roman" w:cs="Times New Roman"/>
          <w:sz w:val="24"/>
          <w:szCs w:val="24"/>
        </w:rPr>
        <w:t>553.936</w:t>
      </w:r>
      <w:r w:rsidR="00B70C4F" w:rsidRPr="00156CD9">
        <w:rPr>
          <w:rFonts w:ascii="Times New Roman" w:hAnsi="Times New Roman" w:cs="Times New Roman"/>
          <w:sz w:val="24"/>
          <w:szCs w:val="24"/>
        </w:rPr>
        <w:t xml:space="preserve"> kn, a </w:t>
      </w:r>
      <w:r w:rsidRPr="00156CD9">
        <w:rPr>
          <w:rFonts w:ascii="Times New Roman" w:hAnsi="Times New Roman" w:cs="Times New Roman"/>
          <w:sz w:val="24"/>
          <w:szCs w:val="24"/>
        </w:rPr>
        <w:t>Potraživanj</w:t>
      </w:r>
      <w:r w:rsidR="00B70C4F" w:rsidRPr="00156CD9">
        <w:rPr>
          <w:rFonts w:ascii="Times New Roman" w:hAnsi="Times New Roman" w:cs="Times New Roman"/>
          <w:sz w:val="24"/>
          <w:szCs w:val="24"/>
        </w:rPr>
        <w:t>a</w:t>
      </w:r>
      <w:r w:rsidRPr="00156CD9">
        <w:rPr>
          <w:rFonts w:ascii="Times New Roman" w:hAnsi="Times New Roman" w:cs="Times New Roman"/>
          <w:sz w:val="24"/>
          <w:szCs w:val="24"/>
        </w:rPr>
        <w:t xml:space="preserve"> od prodaje nefinancijske imovine (AOP033)</w:t>
      </w:r>
      <w:r w:rsidR="00B70C4F" w:rsidRPr="00156CD9">
        <w:rPr>
          <w:rFonts w:ascii="Times New Roman" w:hAnsi="Times New Roman" w:cs="Times New Roman"/>
          <w:sz w:val="24"/>
          <w:szCs w:val="24"/>
        </w:rPr>
        <w:t xml:space="preserve"> evidentira</w:t>
      </w:r>
      <w:r w:rsidR="002C1612">
        <w:rPr>
          <w:rFonts w:ascii="Times New Roman" w:hAnsi="Times New Roman" w:cs="Times New Roman"/>
          <w:sz w:val="24"/>
          <w:szCs w:val="24"/>
        </w:rPr>
        <w:t>ju</w:t>
      </w:r>
      <w:r w:rsidR="00B70C4F" w:rsidRPr="00156CD9">
        <w:rPr>
          <w:rFonts w:ascii="Times New Roman" w:hAnsi="Times New Roman" w:cs="Times New Roman"/>
          <w:sz w:val="24"/>
          <w:szCs w:val="24"/>
        </w:rPr>
        <w:t xml:space="preserve"> smanjenje</w:t>
      </w:r>
      <w:r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B70C4F" w:rsidRPr="00156CD9">
        <w:rPr>
          <w:rFonts w:ascii="Times New Roman" w:hAnsi="Times New Roman" w:cs="Times New Roman"/>
          <w:sz w:val="24"/>
          <w:szCs w:val="24"/>
        </w:rPr>
        <w:t>za</w:t>
      </w:r>
      <w:r w:rsidRPr="00156CD9">
        <w:rPr>
          <w:rFonts w:ascii="Times New Roman" w:hAnsi="Times New Roman" w:cs="Times New Roman"/>
          <w:sz w:val="24"/>
          <w:szCs w:val="24"/>
        </w:rPr>
        <w:t xml:space="preserve"> </w:t>
      </w:r>
      <w:r w:rsidR="00102EBA" w:rsidRPr="00156CD9">
        <w:rPr>
          <w:rFonts w:ascii="Times New Roman" w:hAnsi="Times New Roman" w:cs="Times New Roman"/>
          <w:sz w:val="24"/>
          <w:szCs w:val="24"/>
        </w:rPr>
        <w:t>271.288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</w:t>
      </w:r>
      <w:r w:rsidR="00B70C4F" w:rsidRPr="00156CD9">
        <w:rPr>
          <w:rFonts w:ascii="Times New Roman" w:hAnsi="Times New Roman" w:cs="Times New Roman"/>
          <w:sz w:val="24"/>
          <w:szCs w:val="24"/>
        </w:rPr>
        <w:t>zbog otpisa temeljem</w:t>
      </w:r>
      <w:r w:rsidRPr="00156CD9">
        <w:rPr>
          <w:rFonts w:ascii="Times New Roman" w:hAnsi="Times New Roman" w:cs="Times New Roman"/>
          <w:sz w:val="24"/>
          <w:szCs w:val="24"/>
        </w:rPr>
        <w:t xml:space="preserve"> odluka ili zaključaka, pravomoćnih rješenja o zaključenju stečajnog postupka nad pravnom osobom ili u postupku likvidacije na temelju pravomoćnog rješenja o brisanju pravne osobe iz Sudskog registra, otpisa po predstečajnim nagodbama, obustava postupaka od strane suca za prekršaje na ime kazni za prekršaje u prometu, kazni za parking i otpisa po inventuri.</w:t>
      </w:r>
    </w:p>
    <w:p w14:paraId="67995856" w14:textId="77777777" w:rsidR="00154763" w:rsidRDefault="00154763" w:rsidP="00156C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64F025" w14:textId="77777777" w:rsidR="00C45CCD" w:rsidRDefault="00C45CCD" w:rsidP="00156C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0C1A9E" w14:textId="09B50A9D" w:rsidR="00765A2A" w:rsidRPr="00156CD9" w:rsidRDefault="00B70C4F" w:rsidP="00156C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lastRenderedPageBreak/>
        <w:t>PROMJENE U VRIJEDNOSTI OBVEZA</w:t>
      </w:r>
    </w:p>
    <w:p w14:paraId="75DE8010" w14:textId="77777777" w:rsidR="00AA4B35" w:rsidRDefault="00AA4B35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38FA5E14" w14:textId="1A52CF11" w:rsidR="004D3C94" w:rsidRPr="00156CD9" w:rsidRDefault="00B70C4F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111B7B" w:rsidRPr="00156CD9">
        <w:rPr>
          <w:rFonts w:ascii="Times New Roman" w:hAnsi="Times New Roman" w:cs="Times New Roman"/>
          <w:b/>
        </w:rPr>
        <w:t xml:space="preserve"> </w:t>
      </w:r>
      <w:r w:rsidR="00D72BB2">
        <w:rPr>
          <w:rFonts w:ascii="Times New Roman" w:hAnsi="Times New Roman" w:cs="Times New Roman"/>
          <w:b/>
        </w:rPr>
        <w:t>7</w:t>
      </w:r>
      <w:r w:rsidR="00111B7B" w:rsidRPr="00156CD9">
        <w:rPr>
          <w:rFonts w:ascii="Times New Roman" w:hAnsi="Times New Roman" w:cs="Times New Roman"/>
          <w:b/>
        </w:rPr>
        <w:t>3</w:t>
      </w:r>
    </w:p>
    <w:p w14:paraId="71EFD3CA" w14:textId="0135807C" w:rsidR="00BE5B55" w:rsidRPr="00156CD9" w:rsidRDefault="004D3C94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</w:rPr>
        <w:t>O</w:t>
      </w:r>
      <w:r w:rsidR="006114AE" w:rsidRPr="00156CD9">
        <w:rPr>
          <w:rFonts w:ascii="Times New Roman" w:hAnsi="Times New Roman" w:cs="Times New Roman"/>
        </w:rPr>
        <w:t>bvez</w:t>
      </w:r>
      <w:r w:rsidR="00853D07" w:rsidRPr="00156CD9">
        <w:rPr>
          <w:rFonts w:ascii="Times New Roman" w:hAnsi="Times New Roman" w:cs="Times New Roman"/>
        </w:rPr>
        <w:t>e</w:t>
      </w:r>
      <w:r w:rsidR="00BE5B55" w:rsidRPr="00156CD9">
        <w:rPr>
          <w:rFonts w:ascii="Times New Roman" w:hAnsi="Times New Roman" w:cs="Times New Roman"/>
        </w:rPr>
        <w:t xml:space="preserve"> za kredite i zajmove</w:t>
      </w:r>
      <w:r w:rsidR="00ED0D6C" w:rsidRPr="00156CD9">
        <w:rPr>
          <w:rFonts w:ascii="Times New Roman" w:hAnsi="Times New Roman" w:cs="Times New Roman"/>
        </w:rPr>
        <w:t xml:space="preserve"> (AOP039) </w:t>
      </w:r>
      <w:r w:rsidR="00030DFC">
        <w:rPr>
          <w:rFonts w:ascii="Times New Roman" w:hAnsi="Times New Roman" w:cs="Times New Roman"/>
        </w:rPr>
        <w:t>-</w:t>
      </w:r>
      <w:r w:rsidR="00ED0D6C" w:rsidRPr="00156CD9">
        <w:rPr>
          <w:rFonts w:ascii="Times New Roman" w:hAnsi="Times New Roman" w:cs="Times New Roman"/>
        </w:rPr>
        <w:t xml:space="preserve"> </w:t>
      </w:r>
      <w:r w:rsidR="00102EBA" w:rsidRPr="00156CD9">
        <w:rPr>
          <w:rFonts w:ascii="Times New Roman" w:hAnsi="Times New Roman" w:cs="Times New Roman"/>
        </w:rPr>
        <w:t>smanjen</w:t>
      </w:r>
      <w:r w:rsidR="00030DFC">
        <w:rPr>
          <w:rFonts w:ascii="Times New Roman" w:hAnsi="Times New Roman" w:cs="Times New Roman"/>
        </w:rPr>
        <w:t>je</w:t>
      </w:r>
      <w:r w:rsidR="00ED0D6C" w:rsidRPr="00156CD9">
        <w:rPr>
          <w:rFonts w:ascii="Times New Roman" w:hAnsi="Times New Roman" w:cs="Times New Roman"/>
        </w:rPr>
        <w:t xml:space="preserve"> obveza</w:t>
      </w:r>
      <w:r w:rsidR="00BE5B55" w:rsidRPr="00156CD9">
        <w:rPr>
          <w:rFonts w:ascii="Times New Roman" w:hAnsi="Times New Roman" w:cs="Times New Roman"/>
        </w:rPr>
        <w:t xml:space="preserve"> zbog revalorizacije kredita</w:t>
      </w:r>
      <w:r w:rsidR="006114AE" w:rsidRPr="00156CD9">
        <w:rPr>
          <w:rFonts w:ascii="Times New Roman" w:hAnsi="Times New Roman" w:cs="Times New Roman"/>
        </w:rPr>
        <w:t xml:space="preserve"> odnosno </w:t>
      </w:r>
      <w:r w:rsidR="00102EBA" w:rsidRPr="00156CD9">
        <w:rPr>
          <w:rFonts w:ascii="Times New Roman" w:hAnsi="Times New Roman" w:cs="Times New Roman"/>
        </w:rPr>
        <w:t>pozitivne</w:t>
      </w:r>
      <w:r w:rsidR="006114AE" w:rsidRPr="00156CD9">
        <w:rPr>
          <w:rFonts w:ascii="Times New Roman" w:hAnsi="Times New Roman" w:cs="Times New Roman"/>
        </w:rPr>
        <w:t xml:space="preserve"> tečajne razlike</w:t>
      </w:r>
      <w:r w:rsidR="00BE5B55" w:rsidRPr="00156CD9">
        <w:rPr>
          <w:rFonts w:ascii="Times New Roman" w:hAnsi="Times New Roman" w:cs="Times New Roman"/>
        </w:rPr>
        <w:t xml:space="preserve"> u sveukupnom iznosu od </w:t>
      </w:r>
      <w:r w:rsidR="00102EBA" w:rsidRPr="00156CD9">
        <w:rPr>
          <w:rFonts w:ascii="Times New Roman" w:hAnsi="Times New Roman" w:cs="Times New Roman"/>
        </w:rPr>
        <w:t>94.074</w:t>
      </w:r>
      <w:r w:rsidR="00FC1B41" w:rsidRPr="00156CD9">
        <w:rPr>
          <w:rFonts w:ascii="Times New Roman" w:hAnsi="Times New Roman" w:cs="Times New Roman"/>
        </w:rPr>
        <w:t xml:space="preserve"> kn </w:t>
      </w:r>
      <w:r w:rsidR="00E1746C" w:rsidRPr="00156CD9">
        <w:rPr>
          <w:rFonts w:ascii="Times New Roman" w:hAnsi="Times New Roman" w:cs="Times New Roman"/>
        </w:rPr>
        <w:t>od čega za</w:t>
      </w:r>
      <w:r w:rsidR="00FC1B41" w:rsidRPr="00156CD9">
        <w:rPr>
          <w:rFonts w:ascii="Times New Roman" w:hAnsi="Times New Roman" w:cs="Times New Roman"/>
        </w:rPr>
        <w:t xml:space="preserve">  </w:t>
      </w:r>
      <w:r w:rsidR="00ED0D6C" w:rsidRPr="00156CD9">
        <w:rPr>
          <w:rFonts w:ascii="Times New Roman" w:hAnsi="Times New Roman" w:cs="Times New Roman"/>
        </w:rPr>
        <w:t>OŠ</w:t>
      </w:r>
      <w:r w:rsidR="00BE5B55" w:rsidRPr="00156CD9">
        <w:rPr>
          <w:rFonts w:ascii="Times New Roman" w:hAnsi="Times New Roman" w:cs="Times New Roman"/>
        </w:rPr>
        <w:t xml:space="preserve"> Veli Vrh, I faza u iznosu od </w:t>
      </w:r>
      <w:r w:rsidR="00CE6C9C" w:rsidRPr="00156CD9">
        <w:rPr>
          <w:rFonts w:ascii="Times New Roman" w:hAnsi="Times New Roman" w:cs="Times New Roman"/>
        </w:rPr>
        <w:t>41.273</w:t>
      </w:r>
      <w:r w:rsidR="002C1612">
        <w:rPr>
          <w:rFonts w:ascii="Times New Roman" w:hAnsi="Times New Roman" w:cs="Times New Roman"/>
        </w:rPr>
        <w:t xml:space="preserve"> </w:t>
      </w:r>
      <w:r w:rsidR="00BE5B55" w:rsidRPr="00156CD9">
        <w:rPr>
          <w:rFonts w:ascii="Times New Roman" w:hAnsi="Times New Roman" w:cs="Times New Roman"/>
        </w:rPr>
        <w:t xml:space="preserve">kn i </w:t>
      </w:r>
      <w:r w:rsidR="00ED0D6C" w:rsidRPr="00156CD9">
        <w:rPr>
          <w:rFonts w:ascii="Times New Roman" w:hAnsi="Times New Roman" w:cs="Times New Roman"/>
        </w:rPr>
        <w:t>OŠ Veli</w:t>
      </w:r>
      <w:r w:rsidR="00BE5B55" w:rsidRPr="00156CD9">
        <w:rPr>
          <w:rFonts w:ascii="Times New Roman" w:hAnsi="Times New Roman" w:cs="Times New Roman"/>
        </w:rPr>
        <w:t xml:space="preserve"> Vrh, II faza u iznosu od </w:t>
      </w:r>
      <w:r w:rsidR="00CE6C9C" w:rsidRPr="00156CD9">
        <w:rPr>
          <w:rFonts w:ascii="Times New Roman" w:hAnsi="Times New Roman" w:cs="Times New Roman"/>
        </w:rPr>
        <w:t>52.801</w:t>
      </w:r>
      <w:r w:rsidR="00BE5B55" w:rsidRPr="00156CD9">
        <w:rPr>
          <w:rFonts w:ascii="Times New Roman" w:hAnsi="Times New Roman" w:cs="Times New Roman"/>
        </w:rPr>
        <w:t xml:space="preserve"> kn.</w:t>
      </w:r>
    </w:p>
    <w:p w14:paraId="189CF02F" w14:textId="2C2919CA" w:rsidR="00E1746C" w:rsidRPr="00156CD9" w:rsidRDefault="00E1746C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CF2157" w14:textId="77777777" w:rsidR="00F6411B" w:rsidRPr="00156CD9" w:rsidRDefault="00F6411B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B76763" w14:textId="77777777" w:rsidR="0000194A" w:rsidRPr="00156CD9" w:rsidRDefault="0000194A" w:rsidP="0015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Obrazac Obveze</w:t>
      </w:r>
    </w:p>
    <w:p w14:paraId="05061E54" w14:textId="77777777" w:rsidR="0000194A" w:rsidRPr="00156CD9" w:rsidRDefault="0000194A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56C63C6E" w14:textId="15B08BE6" w:rsidR="0000194A" w:rsidRPr="00156CD9" w:rsidRDefault="0000194A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</w:t>
      </w:r>
      <w:r w:rsidR="007874BB" w:rsidRPr="00156CD9">
        <w:rPr>
          <w:rFonts w:ascii="Times New Roman" w:hAnsi="Times New Roman" w:cs="Times New Roman"/>
          <w:b/>
        </w:rPr>
        <w:t xml:space="preserve"> </w:t>
      </w:r>
      <w:r w:rsidR="00D72BB2">
        <w:rPr>
          <w:rFonts w:ascii="Times New Roman" w:hAnsi="Times New Roman" w:cs="Times New Roman"/>
          <w:b/>
        </w:rPr>
        <w:t>7</w:t>
      </w:r>
      <w:r w:rsidR="007874BB" w:rsidRPr="00156CD9">
        <w:rPr>
          <w:rFonts w:ascii="Times New Roman" w:hAnsi="Times New Roman" w:cs="Times New Roman"/>
          <w:b/>
        </w:rPr>
        <w:t>4</w:t>
      </w:r>
      <w:r w:rsidRPr="00156CD9">
        <w:rPr>
          <w:rFonts w:ascii="Times New Roman" w:hAnsi="Times New Roman" w:cs="Times New Roman"/>
          <w:b/>
        </w:rPr>
        <w:t xml:space="preserve"> </w:t>
      </w:r>
    </w:p>
    <w:p w14:paraId="0E091F7B" w14:textId="17E91E4F" w:rsidR="0000194A" w:rsidRPr="00156CD9" w:rsidRDefault="0000194A" w:rsidP="00156CD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Stanje obveza na kraju izvještajnog razdoblja (AOP036) - iznose </w:t>
      </w:r>
      <w:r w:rsidR="007874BB" w:rsidRPr="00156CD9">
        <w:rPr>
          <w:rFonts w:ascii="Times New Roman" w:hAnsi="Times New Roman" w:cs="Times New Roman"/>
          <w:sz w:val="24"/>
          <w:szCs w:val="24"/>
        </w:rPr>
        <w:t xml:space="preserve">61.302.702 </w:t>
      </w:r>
      <w:r w:rsidRPr="00156CD9">
        <w:rPr>
          <w:rFonts w:ascii="Times New Roman" w:hAnsi="Times New Roman" w:cs="Times New Roman"/>
          <w:sz w:val="24"/>
          <w:szCs w:val="24"/>
        </w:rPr>
        <w:t>kn.</w:t>
      </w:r>
      <w:r w:rsidRPr="00156CD9">
        <w:rPr>
          <w:rFonts w:ascii="Times New Roman" w:hAnsi="Times New Roman" w:cs="Times New Roman"/>
        </w:rPr>
        <w:t xml:space="preserve"> </w:t>
      </w:r>
    </w:p>
    <w:p w14:paraId="0F096B28" w14:textId="668FB5FF" w:rsidR="0000194A" w:rsidRPr="00156CD9" w:rsidRDefault="0000194A" w:rsidP="00156CD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CD9">
        <w:rPr>
          <w:rFonts w:ascii="Times New Roman" w:hAnsi="Times New Roman" w:cs="Times New Roman"/>
          <w:bCs/>
          <w:sz w:val="24"/>
          <w:szCs w:val="24"/>
        </w:rPr>
        <w:t>Razliku u odnosu na iskazane obveze u obrascu Bilanca čini iznos od 9.</w:t>
      </w:r>
      <w:r w:rsidR="00DB5F7B" w:rsidRPr="00156CD9">
        <w:rPr>
          <w:rFonts w:ascii="Times New Roman" w:hAnsi="Times New Roman" w:cs="Times New Roman"/>
          <w:bCs/>
          <w:sz w:val="24"/>
          <w:szCs w:val="24"/>
        </w:rPr>
        <w:t xml:space="preserve">526.487 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kn, a odnosi se na </w:t>
      </w:r>
      <w:r w:rsidR="008331C8">
        <w:rPr>
          <w:rFonts w:ascii="Times New Roman" w:hAnsi="Times New Roman" w:cs="Times New Roman"/>
          <w:bCs/>
          <w:sz w:val="24"/>
          <w:szCs w:val="24"/>
        </w:rPr>
        <w:t xml:space="preserve">potencijalne 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obveze </w:t>
      </w:r>
      <w:r w:rsidR="0079618E">
        <w:rPr>
          <w:rFonts w:ascii="Times New Roman" w:hAnsi="Times New Roman" w:cs="Times New Roman"/>
          <w:bCs/>
          <w:sz w:val="24"/>
          <w:szCs w:val="24"/>
        </w:rPr>
        <w:t>Grada zbog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1C8">
        <w:rPr>
          <w:rFonts w:ascii="Times New Roman" w:hAnsi="Times New Roman" w:cs="Times New Roman"/>
          <w:bCs/>
          <w:sz w:val="24"/>
          <w:szCs w:val="24"/>
        </w:rPr>
        <w:t>potraživanja od građana za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naknad</w:t>
      </w:r>
      <w:r w:rsidR="00AA4B35">
        <w:rPr>
          <w:rFonts w:ascii="Times New Roman" w:hAnsi="Times New Roman" w:cs="Times New Roman"/>
          <w:bCs/>
          <w:sz w:val="24"/>
          <w:szCs w:val="24"/>
        </w:rPr>
        <w:t>u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za uređenje voda za stambene prostore i poslovne prostore za zakupce koj</w:t>
      </w:r>
      <w:r w:rsidR="00D65F79">
        <w:rPr>
          <w:rFonts w:ascii="Times New Roman" w:hAnsi="Times New Roman" w:cs="Times New Roman"/>
          <w:bCs/>
          <w:sz w:val="24"/>
          <w:szCs w:val="24"/>
        </w:rPr>
        <w:t>e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se doznačuj</w:t>
      </w:r>
      <w:r w:rsidR="00D65F79">
        <w:rPr>
          <w:rFonts w:ascii="Times New Roman" w:hAnsi="Times New Roman" w:cs="Times New Roman"/>
          <w:bCs/>
          <w:sz w:val="24"/>
          <w:szCs w:val="24"/>
        </w:rPr>
        <w:t>u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na račun Hrvatskih voda</w:t>
      </w:r>
      <w:r w:rsidR="0079618E">
        <w:rPr>
          <w:rFonts w:ascii="Times New Roman" w:hAnsi="Times New Roman" w:cs="Times New Roman"/>
          <w:bCs/>
          <w:sz w:val="24"/>
          <w:szCs w:val="24"/>
        </w:rPr>
        <w:t xml:space="preserve"> nakon uplate od strane fizičkih i pravnih osoba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(ne smatra se obvezom Grada).</w:t>
      </w:r>
    </w:p>
    <w:p w14:paraId="77609D38" w14:textId="77777777" w:rsidR="0000194A" w:rsidRPr="00156CD9" w:rsidRDefault="0000194A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507C5651" w14:textId="1121CBD0" w:rsidR="0000194A" w:rsidRPr="00156CD9" w:rsidRDefault="0000194A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7</w:t>
      </w:r>
      <w:r w:rsidR="006F5791" w:rsidRPr="00156CD9">
        <w:rPr>
          <w:rFonts w:ascii="Times New Roman" w:hAnsi="Times New Roman" w:cs="Times New Roman"/>
          <w:b/>
        </w:rPr>
        <w:t>5</w:t>
      </w:r>
    </w:p>
    <w:p w14:paraId="4D084DB2" w14:textId="77777777" w:rsidR="0000194A" w:rsidRPr="00156CD9" w:rsidRDefault="0000194A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U obrascu Obveze, iz prometa podskupine 239 izuzete su međusobne obveze proračunskih korisnika i iskazane u AOP003 i AOP020 sukladno Okružnici o sastavljanju, konsolidaciji i predaji financijskih izvještaja proračuna, proračunskih i izvanproračunskih korisnika državnog proračuna te proračunskih i izvanproračunskih korisnika proračuna jedinica lokalne i područne (regionalne) samouprave. </w:t>
      </w:r>
    </w:p>
    <w:p w14:paraId="5299918F" w14:textId="38856AD1" w:rsidR="0000194A" w:rsidRPr="00156CD9" w:rsidRDefault="0000194A" w:rsidP="00156CD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Otvorene međusobne obveze iznose 1.</w:t>
      </w:r>
      <w:r w:rsidR="007874BB" w:rsidRPr="00156CD9">
        <w:rPr>
          <w:rFonts w:ascii="Times New Roman" w:hAnsi="Times New Roman" w:cs="Times New Roman"/>
          <w:sz w:val="24"/>
          <w:szCs w:val="24"/>
        </w:rPr>
        <w:t>662.287</w:t>
      </w:r>
      <w:r w:rsidRPr="00156CD9">
        <w:rPr>
          <w:rFonts w:ascii="Times New Roman" w:hAnsi="Times New Roman" w:cs="Times New Roman"/>
          <w:sz w:val="24"/>
          <w:szCs w:val="24"/>
        </w:rPr>
        <w:t xml:space="preserve"> kn (AOP091), u cijelosti čine </w:t>
      </w:r>
      <w:proofErr w:type="spellStart"/>
      <w:r w:rsidRPr="00156CD9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Pr="00156CD9">
        <w:rPr>
          <w:rFonts w:ascii="Times New Roman" w:hAnsi="Times New Roman" w:cs="Times New Roman"/>
          <w:sz w:val="24"/>
          <w:szCs w:val="24"/>
        </w:rPr>
        <w:t xml:space="preserve"> nedospjele obveze za naknadu za uređenje voda </w:t>
      </w:r>
      <w:r w:rsidR="006F5791" w:rsidRPr="00156CD9">
        <w:rPr>
          <w:rFonts w:ascii="Times New Roman" w:hAnsi="Times New Roman" w:cs="Times New Roman"/>
          <w:sz w:val="24"/>
          <w:szCs w:val="24"/>
        </w:rPr>
        <w:t>za</w:t>
      </w:r>
      <w:r w:rsidRPr="00156CD9">
        <w:rPr>
          <w:rFonts w:ascii="Times New Roman" w:hAnsi="Times New Roman" w:cs="Times New Roman"/>
          <w:sz w:val="24"/>
          <w:szCs w:val="24"/>
        </w:rPr>
        <w:t xml:space="preserve"> stambeni i poslovni prostor što se doznačuje Hrvatskim vodama, obveze za uplatu 55% sredstava od prodaje stanova u državni proračun temeljem obračuna za prosinac 202</w:t>
      </w:r>
      <w:r w:rsidR="007874BB" w:rsidRPr="00156CD9">
        <w:rPr>
          <w:rFonts w:ascii="Times New Roman" w:hAnsi="Times New Roman" w:cs="Times New Roman"/>
          <w:sz w:val="24"/>
          <w:szCs w:val="24"/>
        </w:rPr>
        <w:t>1</w:t>
      </w:r>
      <w:r w:rsidRPr="00156CD9">
        <w:rPr>
          <w:rFonts w:ascii="Times New Roman" w:hAnsi="Times New Roman" w:cs="Times New Roman"/>
          <w:sz w:val="24"/>
          <w:szCs w:val="24"/>
        </w:rPr>
        <w:t>. godine, povrate u državni proračun za neutrošena decentralizirana sredstva te obvezu za</w:t>
      </w:r>
      <w:r w:rsidRPr="00156CD9">
        <w:rPr>
          <w:rFonts w:ascii="Times New Roman" w:hAnsi="Times New Roman" w:cs="Times New Roman"/>
          <w:bCs/>
          <w:sz w:val="24"/>
          <w:szCs w:val="24"/>
        </w:rPr>
        <w:t xml:space="preserve"> neutrošene vlastite i namjenske prihode/primitke proračunskih korisnika uplaćene u proračun.</w:t>
      </w:r>
    </w:p>
    <w:p w14:paraId="62115B7F" w14:textId="7CC9CAE4" w:rsidR="00CB178D" w:rsidRPr="00156CD9" w:rsidRDefault="00CB178D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799A37" w14:textId="77777777" w:rsidR="006F5791" w:rsidRPr="00156CD9" w:rsidRDefault="006F5791" w:rsidP="00156C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B70208" w14:textId="77777777" w:rsidR="00BE5B55" w:rsidRPr="00156CD9" w:rsidRDefault="00BE5B55" w:rsidP="00156CD9">
      <w:pPr>
        <w:pStyle w:val="Style20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Obrazac BIL</w:t>
      </w:r>
      <w:r w:rsidR="00D35160" w:rsidRPr="00156CD9">
        <w:rPr>
          <w:rFonts w:ascii="Times New Roman" w:hAnsi="Times New Roman" w:cs="Times New Roman"/>
          <w:b/>
        </w:rPr>
        <w:t xml:space="preserve"> </w:t>
      </w:r>
      <w:r w:rsidR="003A7E83" w:rsidRPr="00156CD9">
        <w:rPr>
          <w:rFonts w:ascii="Times New Roman" w:hAnsi="Times New Roman" w:cs="Times New Roman"/>
          <w:b/>
        </w:rPr>
        <w:t>-</w:t>
      </w:r>
      <w:r w:rsidRPr="00156CD9">
        <w:rPr>
          <w:rFonts w:ascii="Times New Roman" w:hAnsi="Times New Roman" w:cs="Times New Roman"/>
          <w:b/>
        </w:rPr>
        <w:t xml:space="preserve"> Bilanca</w:t>
      </w:r>
      <w:r w:rsidR="00667AB8" w:rsidRPr="00156CD9">
        <w:rPr>
          <w:rFonts w:ascii="Times New Roman" w:hAnsi="Times New Roman" w:cs="Times New Roman"/>
          <w:b/>
        </w:rPr>
        <w:t xml:space="preserve"> </w:t>
      </w:r>
    </w:p>
    <w:p w14:paraId="7E4A7E26" w14:textId="77777777" w:rsidR="00677245" w:rsidRPr="00156CD9" w:rsidRDefault="00677245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0AD68114" w14:textId="5712A7BA" w:rsidR="002C6BFA" w:rsidRPr="00156CD9" w:rsidRDefault="002C6BFA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7</w:t>
      </w:r>
      <w:r w:rsidR="006F5791" w:rsidRPr="00156CD9">
        <w:rPr>
          <w:rFonts w:ascii="Times New Roman" w:hAnsi="Times New Roman" w:cs="Times New Roman"/>
          <w:b/>
        </w:rPr>
        <w:t>6</w:t>
      </w:r>
    </w:p>
    <w:p w14:paraId="61984D36" w14:textId="77777777" w:rsidR="00BE5B55" w:rsidRPr="00156CD9" w:rsidRDefault="00BE5B55" w:rsidP="00156CD9">
      <w:pPr>
        <w:pStyle w:val="Style20"/>
        <w:widowControl/>
        <w:spacing w:line="240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Nefinancijska imovina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567"/>
        <w:gridCol w:w="1276"/>
        <w:gridCol w:w="1276"/>
        <w:gridCol w:w="709"/>
        <w:gridCol w:w="1134"/>
      </w:tblGrid>
      <w:tr w:rsidR="00DA6D29" w:rsidRPr="00156CD9" w14:paraId="3F736E2B" w14:textId="77777777" w:rsidTr="004A045E">
        <w:trPr>
          <w:trHeight w:val="30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D831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94BC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CE55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AOP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6B25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433B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Stanje                     31. prosinca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11A3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Indeks (5/4)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86F0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</w:tr>
      <w:tr w:rsidR="00DA6D29" w:rsidRPr="00156CD9" w14:paraId="0F8F7ADE" w14:textId="77777777" w:rsidTr="004A045E">
        <w:trPr>
          <w:trHeight w:val="309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3E50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62F8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B11D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8A64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E4AF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FCEC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9A10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DA6D29" w:rsidRPr="00156CD9" w14:paraId="774556D4" w14:textId="77777777" w:rsidTr="004A045E">
        <w:trPr>
          <w:trHeight w:val="19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5524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0C48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2DEE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BC08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5E10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7FE1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9C13" w14:textId="66CB1BB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5-4</w:t>
            </w:r>
          </w:p>
        </w:tc>
      </w:tr>
      <w:tr w:rsidR="00DA6D29" w:rsidRPr="00156CD9" w14:paraId="63818E49" w14:textId="77777777" w:rsidTr="00DD6202">
        <w:trPr>
          <w:trHeight w:val="18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F030" w14:textId="49414E30" w:rsidR="00DA6D29" w:rsidRPr="00156CD9" w:rsidRDefault="004A045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  <w:r w:rsidR="00DA6D29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2DF1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Neproizvedena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dugotrajna imovina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3B7B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E215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5.809.484.701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17F9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5.785.702.438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64DB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DE48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-23.782.263</w:t>
            </w:r>
          </w:p>
        </w:tc>
      </w:tr>
      <w:tr w:rsidR="00DA6D29" w:rsidRPr="00156CD9" w14:paraId="2F24C905" w14:textId="77777777" w:rsidTr="00DD6202">
        <w:trPr>
          <w:trHeight w:val="18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6EF7" w14:textId="69616625" w:rsidR="00DA6D29" w:rsidRPr="00156CD9" w:rsidRDefault="004A045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  <w:r w:rsidR="00DA6D29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01E0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Proizvedena dugotrajna imovina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C9DD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F4CF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633.448.201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74A7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633.857.334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0123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66B9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409.133</w:t>
            </w:r>
          </w:p>
        </w:tc>
      </w:tr>
      <w:tr w:rsidR="00DA6D29" w:rsidRPr="00156CD9" w14:paraId="41542E4E" w14:textId="77777777" w:rsidTr="00DD6202">
        <w:trPr>
          <w:trHeight w:val="18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8638" w14:textId="58988A0F" w:rsidR="00DA6D29" w:rsidRPr="00156CD9" w:rsidRDefault="004A045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  <w:r w:rsidR="00DA6D29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F2E4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Plemeniti metali i ostale pohranjene vrijednosti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DD2B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B5FD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2.111.904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AB4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2.111.904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C587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B997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DA6D29" w:rsidRPr="00156CD9" w14:paraId="7E8E6F77" w14:textId="77777777" w:rsidTr="00DD6202">
        <w:trPr>
          <w:trHeight w:val="18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421F" w14:textId="6EF53B83" w:rsidR="00DA6D29" w:rsidRPr="00156CD9" w:rsidRDefault="004A045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  <w:r w:rsidR="00DA6D29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8CA8" w14:textId="77777777" w:rsidR="00DA6D29" w:rsidRPr="00156CD9" w:rsidRDefault="00DA6D29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Dugotrajna nefinancijska imovina u pripremi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EA5D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C9C0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29.392.621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AE07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31.358.820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363B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60A8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1.966.199</w:t>
            </w:r>
          </w:p>
        </w:tc>
      </w:tr>
      <w:tr w:rsidR="00DA6D29" w:rsidRPr="00156CD9" w14:paraId="38AACC13" w14:textId="77777777" w:rsidTr="004A045E">
        <w:trPr>
          <w:trHeight w:val="13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703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E74" w14:textId="72607D6A" w:rsidR="00DA6D29" w:rsidRPr="00156CD9" w:rsidRDefault="00030D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NEFINANCIJSKA IMOVINA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631A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C9EA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6.474.437.427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FE4F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6.453.030.496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F08B" w14:textId="77777777" w:rsidR="00DA6D29" w:rsidRPr="00156CD9" w:rsidRDefault="00DA6D29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E826" w14:textId="77777777" w:rsidR="00DA6D29" w:rsidRPr="00156CD9" w:rsidRDefault="00DA6D29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-21.406.931</w:t>
            </w:r>
          </w:p>
        </w:tc>
      </w:tr>
    </w:tbl>
    <w:p w14:paraId="3C9AB16F" w14:textId="77777777" w:rsidR="00C45CCD" w:rsidRDefault="00C45CCD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348E4A17" w14:textId="6D7F02C8" w:rsidR="002C6BFA" w:rsidRPr="00156CD9" w:rsidRDefault="002C6BFA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7</w:t>
      </w:r>
      <w:r w:rsidR="006F5791" w:rsidRPr="00156CD9">
        <w:rPr>
          <w:rFonts w:ascii="Times New Roman" w:hAnsi="Times New Roman" w:cs="Times New Roman"/>
          <w:b/>
        </w:rPr>
        <w:t>7</w:t>
      </w:r>
    </w:p>
    <w:p w14:paraId="48818766" w14:textId="1D8C44A7" w:rsidR="00567BEC" w:rsidRPr="00156CD9" w:rsidRDefault="00567BEC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 xml:space="preserve">Ostali građevinski objekti (AOP12) - iznose 209.665.236 kn i evidentiraju povećanje za 19,6% zbog okončanja investicija koje su </w:t>
      </w:r>
      <w:r w:rsidR="0057130D" w:rsidRPr="00156CD9">
        <w:rPr>
          <w:rFonts w:ascii="Times New Roman" w:hAnsi="Times New Roman" w:cs="Times New Roman"/>
          <w:bCs/>
        </w:rPr>
        <w:t xml:space="preserve">tijekom 2021. godine </w:t>
      </w:r>
      <w:r w:rsidRPr="00156CD9">
        <w:rPr>
          <w:rFonts w:ascii="Times New Roman" w:hAnsi="Times New Roman" w:cs="Times New Roman"/>
          <w:bCs/>
        </w:rPr>
        <w:t xml:space="preserve">knjižene u </w:t>
      </w:r>
      <w:r w:rsidR="0057130D" w:rsidRPr="00156CD9">
        <w:rPr>
          <w:rFonts w:ascii="Times New Roman" w:hAnsi="Times New Roman" w:cs="Times New Roman"/>
          <w:bCs/>
        </w:rPr>
        <w:t xml:space="preserve">ovom </w:t>
      </w:r>
      <w:r w:rsidRPr="00156CD9">
        <w:rPr>
          <w:rFonts w:ascii="Times New Roman" w:hAnsi="Times New Roman" w:cs="Times New Roman"/>
          <w:bCs/>
        </w:rPr>
        <w:t>odjelj</w:t>
      </w:r>
      <w:r w:rsidR="0057130D" w:rsidRPr="00156CD9">
        <w:rPr>
          <w:rFonts w:ascii="Times New Roman" w:hAnsi="Times New Roman" w:cs="Times New Roman"/>
          <w:bCs/>
        </w:rPr>
        <w:t>ku</w:t>
      </w:r>
      <w:r w:rsidRPr="00156CD9">
        <w:rPr>
          <w:rFonts w:ascii="Times New Roman" w:hAnsi="Times New Roman" w:cs="Times New Roman"/>
          <w:bCs/>
        </w:rPr>
        <w:t xml:space="preserve">, a od kojih su </w:t>
      </w:r>
      <w:proofErr w:type="spellStart"/>
      <w:r w:rsidRPr="00156CD9">
        <w:rPr>
          <w:rFonts w:ascii="Times New Roman" w:hAnsi="Times New Roman" w:cs="Times New Roman"/>
          <w:bCs/>
        </w:rPr>
        <w:lastRenderedPageBreak/>
        <w:t>najzanačajnije</w:t>
      </w:r>
      <w:proofErr w:type="spellEnd"/>
      <w:r w:rsidRPr="00156CD9">
        <w:rPr>
          <w:rFonts w:ascii="Times New Roman" w:hAnsi="Times New Roman" w:cs="Times New Roman"/>
          <w:bCs/>
        </w:rPr>
        <w:t xml:space="preserve">: dizalo na utvrdi Kaštel u iznosu od 20.596.268 kn, </w:t>
      </w:r>
      <w:r w:rsidR="001259CB" w:rsidRPr="00156CD9">
        <w:rPr>
          <w:rFonts w:ascii="Times New Roman" w:hAnsi="Times New Roman" w:cs="Times New Roman"/>
          <w:bCs/>
        </w:rPr>
        <w:t xml:space="preserve">parkiralište </w:t>
      </w:r>
      <w:proofErr w:type="spellStart"/>
      <w:r w:rsidR="001259CB" w:rsidRPr="00156CD9">
        <w:rPr>
          <w:rFonts w:ascii="Times New Roman" w:hAnsi="Times New Roman" w:cs="Times New Roman"/>
          <w:bCs/>
        </w:rPr>
        <w:t>Valturska</w:t>
      </w:r>
      <w:proofErr w:type="spellEnd"/>
      <w:r w:rsidR="00926D67" w:rsidRPr="00156CD9">
        <w:rPr>
          <w:rFonts w:ascii="Times New Roman" w:hAnsi="Times New Roman" w:cs="Times New Roman"/>
          <w:bCs/>
        </w:rPr>
        <w:t xml:space="preserve"> ukupno</w:t>
      </w:r>
      <w:r w:rsidR="001259CB" w:rsidRPr="00156CD9">
        <w:rPr>
          <w:rFonts w:ascii="Times New Roman" w:hAnsi="Times New Roman" w:cs="Times New Roman"/>
          <w:bCs/>
        </w:rPr>
        <w:t xml:space="preserve"> </w:t>
      </w:r>
      <w:r w:rsidR="00926D67" w:rsidRPr="00156CD9">
        <w:rPr>
          <w:rFonts w:ascii="Times New Roman" w:hAnsi="Times New Roman" w:cs="Times New Roman"/>
          <w:bCs/>
        </w:rPr>
        <w:t>1.015.310</w:t>
      </w:r>
      <w:r w:rsidR="001259CB" w:rsidRPr="00156CD9">
        <w:rPr>
          <w:rFonts w:ascii="Times New Roman" w:hAnsi="Times New Roman" w:cs="Times New Roman"/>
          <w:bCs/>
        </w:rPr>
        <w:t xml:space="preserve"> kn, izgradnja i </w:t>
      </w:r>
      <w:r w:rsidR="00A806EF">
        <w:rPr>
          <w:rFonts w:ascii="Times New Roman" w:hAnsi="Times New Roman" w:cs="Times New Roman"/>
          <w:bCs/>
        </w:rPr>
        <w:t xml:space="preserve">dogradnja infrastrukturne namjene </w:t>
      </w:r>
      <w:proofErr w:type="spellStart"/>
      <w:r w:rsidR="00A806EF">
        <w:rPr>
          <w:rFonts w:ascii="Times New Roman" w:hAnsi="Times New Roman" w:cs="Times New Roman"/>
          <w:bCs/>
        </w:rPr>
        <w:t>vodnogospodarskog</w:t>
      </w:r>
      <w:proofErr w:type="spellEnd"/>
      <w:r w:rsidR="00A806EF">
        <w:rPr>
          <w:rFonts w:ascii="Times New Roman" w:hAnsi="Times New Roman" w:cs="Times New Roman"/>
          <w:bCs/>
        </w:rPr>
        <w:t xml:space="preserve"> sustava  </w:t>
      </w:r>
      <w:proofErr w:type="spellStart"/>
      <w:r w:rsidR="001259CB" w:rsidRPr="00156CD9">
        <w:rPr>
          <w:rFonts w:ascii="Times New Roman" w:hAnsi="Times New Roman" w:cs="Times New Roman"/>
          <w:bCs/>
        </w:rPr>
        <w:t>Pragrande</w:t>
      </w:r>
      <w:proofErr w:type="spellEnd"/>
      <w:r w:rsidR="001259CB" w:rsidRPr="00156CD9">
        <w:rPr>
          <w:rFonts w:ascii="Times New Roman" w:hAnsi="Times New Roman" w:cs="Times New Roman"/>
          <w:bCs/>
        </w:rPr>
        <w:t xml:space="preserve"> u iznosu od 867.213 kn, elektronička komunikacijska infrastruktura </w:t>
      </w:r>
      <w:proofErr w:type="spellStart"/>
      <w:r w:rsidR="001259CB" w:rsidRPr="00156CD9">
        <w:rPr>
          <w:rFonts w:ascii="Times New Roman" w:hAnsi="Times New Roman" w:cs="Times New Roman"/>
          <w:bCs/>
        </w:rPr>
        <w:t>Štinjan</w:t>
      </w:r>
      <w:proofErr w:type="spellEnd"/>
      <w:r w:rsidR="001259CB" w:rsidRPr="00156CD9">
        <w:rPr>
          <w:rFonts w:ascii="Times New Roman" w:hAnsi="Times New Roman" w:cs="Times New Roman"/>
          <w:bCs/>
        </w:rPr>
        <w:t xml:space="preserve">-Monumenti u iznosu od </w:t>
      </w:r>
      <w:r w:rsidR="0057130D" w:rsidRPr="00156CD9">
        <w:rPr>
          <w:rFonts w:ascii="Times New Roman" w:hAnsi="Times New Roman" w:cs="Times New Roman"/>
          <w:bCs/>
        </w:rPr>
        <w:t>627.716 kn, oborinska odvodnja Sv. Mihovil u iznosu od 576.393 kn i dr.</w:t>
      </w:r>
    </w:p>
    <w:p w14:paraId="6BF657A6" w14:textId="648D780F" w:rsidR="00567BEC" w:rsidRPr="00156CD9" w:rsidRDefault="00567BEC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2AA4AAC3" w14:textId="0D128227" w:rsidR="00D9216A" w:rsidRPr="00156CD9" w:rsidRDefault="00D9216A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7</w:t>
      </w:r>
      <w:r w:rsidRPr="00156CD9">
        <w:rPr>
          <w:rFonts w:ascii="Times New Roman" w:hAnsi="Times New Roman" w:cs="Times New Roman"/>
          <w:b/>
        </w:rPr>
        <w:t>8</w:t>
      </w:r>
    </w:p>
    <w:p w14:paraId="609F5179" w14:textId="6AEAB055" w:rsidR="003E5EE9" w:rsidRPr="00156CD9" w:rsidRDefault="00CB178D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</w:rPr>
      </w:pPr>
      <w:r w:rsidRPr="00156CD9">
        <w:rPr>
          <w:rFonts w:ascii="Times New Roman" w:hAnsi="Times New Roman" w:cs="Times New Roman"/>
        </w:rPr>
        <w:t xml:space="preserve">Uređaji, strojevi i oprema za ostale namjene (AOP021) </w:t>
      </w:r>
      <w:r w:rsidR="007C07EE" w:rsidRPr="00156CD9">
        <w:rPr>
          <w:rFonts w:ascii="Times New Roman" w:hAnsi="Times New Roman" w:cs="Times New Roman"/>
        </w:rPr>
        <w:t>-</w:t>
      </w:r>
      <w:r w:rsidRPr="00156CD9">
        <w:rPr>
          <w:rFonts w:ascii="Times New Roman" w:hAnsi="Times New Roman" w:cs="Times New Roman"/>
        </w:rPr>
        <w:t xml:space="preserve"> iznosi </w:t>
      </w:r>
      <w:r w:rsidR="00D9216A" w:rsidRPr="00156CD9">
        <w:rPr>
          <w:rFonts w:ascii="Times New Roman" w:hAnsi="Times New Roman" w:cs="Times New Roman"/>
        </w:rPr>
        <w:t>29</w:t>
      </w:r>
      <w:r w:rsidR="00902DAE" w:rsidRPr="00156CD9">
        <w:rPr>
          <w:rFonts w:ascii="Times New Roman" w:hAnsi="Times New Roman" w:cs="Times New Roman"/>
        </w:rPr>
        <w:t>.</w:t>
      </w:r>
      <w:r w:rsidR="00D9216A" w:rsidRPr="00156CD9">
        <w:rPr>
          <w:rFonts w:ascii="Times New Roman" w:hAnsi="Times New Roman" w:cs="Times New Roman"/>
        </w:rPr>
        <w:t>275.739</w:t>
      </w:r>
      <w:r w:rsidRPr="00156CD9">
        <w:rPr>
          <w:rFonts w:ascii="Times New Roman" w:hAnsi="Times New Roman" w:cs="Times New Roman"/>
        </w:rPr>
        <w:t xml:space="preserve"> kn i u odnosu na 20</w:t>
      </w:r>
      <w:r w:rsidR="00D9216A" w:rsidRPr="00156CD9">
        <w:rPr>
          <w:rFonts w:ascii="Times New Roman" w:hAnsi="Times New Roman" w:cs="Times New Roman"/>
        </w:rPr>
        <w:t>20</w:t>
      </w:r>
      <w:r w:rsidRPr="00156CD9">
        <w:rPr>
          <w:rFonts w:ascii="Times New Roman" w:hAnsi="Times New Roman" w:cs="Times New Roman"/>
        </w:rPr>
        <w:t xml:space="preserve">. godinu bilježi porast zbog </w:t>
      </w:r>
      <w:r w:rsidR="007C07EE" w:rsidRPr="00156CD9">
        <w:rPr>
          <w:rFonts w:ascii="Times New Roman" w:hAnsi="Times New Roman" w:cs="Times New Roman"/>
        </w:rPr>
        <w:t xml:space="preserve">primljene opreme od Fonda za zaštitu okoliša </w:t>
      </w:r>
      <w:r w:rsidRPr="00156CD9">
        <w:rPr>
          <w:rFonts w:ascii="Times New Roman" w:hAnsi="Times New Roman" w:cs="Times New Roman"/>
        </w:rPr>
        <w:t xml:space="preserve">za selektivno prikupljanje otpada, </w:t>
      </w:r>
      <w:proofErr w:type="spellStart"/>
      <w:r w:rsidRPr="00156CD9">
        <w:rPr>
          <w:rFonts w:ascii="Times New Roman" w:hAnsi="Times New Roman" w:cs="Times New Roman"/>
        </w:rPr>
        <w:t>komposteri</w:t>
      </w:r>
      <w:proofErr w:type="spellEnd"/>
      <w:r w:rsidR="00902DAE" w:rsidRPr="00156CD9">
        <w:rPr>
          <w:rFonts w:ascii="Times New Roman" w:hAnsi="Times New Roman" w:cs="Times New Roman"/>
        </w:rPr>
        <w:t xml:space="preserve"> u vrijednosti od 4.356.041 kn</w:t>
      </w:r>
      <w:r w:rsidR="006E39D4" w:rsidRPr="00156CD9">
        <w:rPr>
          <w:rFonts w:ascii="Times New Roman" w:hAnsi="Times New Roman" w:cs="Times New Roman"/>
        </w:rPr>
        <w:t xml:space="preserve">. </w:t>
      </w:r>
    </w:p>
    <w:p w14:paraId="7D573970" w14:textId="13DF69A4" w:rsidR="007C07EE" w:rsidRPr="00156CD9" w:rsidRDefault="007C07EE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5550D3AF" w14:textId="1B906D6E" w:rsidR="007C07EE" w:rsidRPr="00156CD9" w:rsidRDefault="007C07EE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7</w:t>
      </w:r>
      <w:r w:rsidR="006F5791" w:rsidRPr="00156CD9">
        <w:rPr>
          <w:rFonts w:ascii="Times New Roman" w:hAnsi="Times New Roman" w:cs="Times New Roman"/>
          <w:b/>
        </w:rPr>
        <w:t>9</w:t>
      </w:r>
    </w:p>
    <w:p w14:paraId="7CE487A0" w14:textId="6815C109" w:rsidR="007C07EE" w:rsidRPr="00156CD9" w:rsidRDefault="007C07EE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>Umjetnička</w:t>
      </w:r>
      <w:r w:rsidR="005E6CBA" w:rsidRPr="00156CD9">
        <w:rPr>
          <w:rFonts w:ascii="Times New Roman" w:hAnsi="Times New Roman" w:cs="Times New Roman"/>
          <w:bCs/>
        </w:rPr>
        <w:t>, literarna i znanstvena djela</w:t>
      </w:r>
      <w:r w:rsidRPr="00156CD9">
        <w:rPr>
          <w:rFonts w:ascii="Times New Roman" w:hAnsi="Times New Roman" w:cs="Times New Roman"/>
          <w:bCs/>
        </w:rPr>
        <w:t xml:space="preserve"> (AOP0</w:t>
      </w:r>
      <w:r w:rsidR="005E6CBA" w:rsidRPr="00156CD9">
        <w:rPr>
          <w:rFonts w:ascii="Times New Roman" w:hAnsi="Times New Roman" w:cs="Times New Roman"/>
          <w:bCs/>
        </w:rPr>
        <w:t>43</w:t>
      </w:r>
      <w:r w:rsidRPr="00156CD9">
        <w:rPr>
          <w:rFonts w:ascii="Times New Roman" w:hAnsi="Times New Roman" w:cs="Times New Roman"/>
          <w:bCs/>
        </w:rPr>
        <w:t xml:space="preserve">) - iznose </w:t>
      </w:r>
      <w:r w:rsidR="00414976" w:rsidRPr="00156CD9">
        <w:rPr>
          <w:rFonts w:ascii="Times New Roman" w:hAnsi="Times New Roman" w:cs="Times New Roman"/>
          <w:bCs/>
        </w:rPr>
        <w:t>1.445.064</w:t>
      </w:r>
      <w:r w:rsidRPr="00156CD9">
        <w:rPr>
          <w:rFonts w:ascii="Times New Roman" w:hAnsi="Times New Roman" w:cs="Times New Roman"/>
          <w:bCs/>
        </w:rPr>
        <w:t xml:space="preserve"> kn i bilježe uvećanje zbog </w:t>
      </w:r>
      <w:r w:rsidR="005E6CBA" w:rsidRPr="00156CD9">
        <w:rPr>
          <w:rFonts w:ascii="Times New Roman" w:hAnsi="Times New Roman" w:cs="Times New Roman"/>
          <w:bCs/>
        </w:rPr>
        <w:t>investicije u planove razvoja grada odnosno strategije razvoja urbanog područja Pule u vrijednosti od 557.106 kn.</w:t>
      </w:r>
    </w:p>
    <w:p w14:paraId="259B6EE8" w14:textId="77777777" w:rsidR="0074022B" w:rsidRPr="00156CD9" w:rsidRDefault="0074022B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</w:p>
    <w:p w14:paraId="542C36CA" w14:textId="614B4576" w:rsidR="0074022B" w:rsidRPr="00156CD9" w:rsidRDefault="0074022B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8</w:t>
      </w:r>
      <w:r w:rsidRPr="00156CD9">
        <w:rPr>
          <w:rFonts w:ascii="Times New Roman" w:hAnsi="Times New Roman" w:cs="Times New Roman"/>
          <w:b/>
        </w:rPr>
        <w:t>0</w:t>
      </w:r>
    </w:p>
    <w:p w14:paraId="3F3ED247" w14:textId="062D7AE3" w:rsidR="0074022B" w:rsidRPr="00156CD9" w:rsidRDefault="0074022B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>Ostala nematerijalna proizvedena imovina (AOP044) - iznos</w:t>
      </w:r>
      <w:r w:rsidR="00202ADA" w:rsidRPr="00156CD9">
        <w:rPr>
          <w:rFonts w:ascii="Times New Roman" w:hAnsi="Times New Roman" w:cs="Times New Roman"/>
          <w:bCs/>
        </w:rPr>
        <w:t>i</w:t>
      </w:r>
      <w:r w:rsidRPr="00156CD9">
        <w:rPr>
          <w:rFonts w:ascii="Times New Roman" w:hAnsi="Times New Roman" w:cs="Times New Roman"/>
          <w:bCs/>
        </w:rPr>
        <w:t xml:space="preserve"> 200.850 kn i za razliku od 2020. godine</w:t>
      </w:r>
      <w:r w:rsidR="00202ADA" w:rsidRPr="00156CD9">
        <w:rPr>
          <w:rFonts w:ascii="Times New Roman" w:hAnsi="Times New Roman" w:cs="Times New Roman"/>
          <w:bCs/>
        </w:rPr>
        <w:t>,</w:t>
      </w:r>
      <w:r w:rsidRPr="00156CD9">
        <w:rPr>
          <w:rFonts w:ascii="Times New Roman" w:hAnsi="Times New Roman" w:cs="Times New Roman"/>
          <w:bCs/>
        </w:rPr>
        <w:t xml:space="preserve"> u 2021. godini investirano je u studiju izvedivosti i plan razvoja širokopojasne infrastrukture za područje grada.</w:t>
      </w:r>
    </w:p>
    <w:p w14:paraId="19D01B67" w14:textId="77777777" w:rsidR="00202ADA" w:rsidRPr="00156CD9" w:rsidRDefault="00202ADA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</w:p>
    <w:p w14:paraId="46F37DCA" w14:textId="29327F3B" w:rsidR="00202ADA" w:rsidRPr="00156CD9" w:rsidRDefault="00202ADA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8</w:t>
      </w:r>
      <w:r w:rsidRPr="00156CD9">
        <w:rPr>
          <w:rFonts w:ascii="Times New Roman" w:hAnsi="Times New Roman" w:cs="Times New Roman"/>
          <w:b/>
        </w:rPr>
        <w:t>1</w:t>
      </w:r>
    </w:p>
    <w:p w14:paraId="28DBBA52" w14:textId="070FA800" w:rsidR="002028B1" w:rsidRPr="00156CD9" w:rsidRDefault="00202ADA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>Građevinski objekti u pripremi</w:t>
      </w:r>
      <w:r w:rsidR="00E71069" w:rsidRPr="00156CD9">
        <w:rPr>
          <w:rFonts w:ascii="Times New Roman" w:hAnsi="Times New Roman" w:cs="Times New Roman"/>
          <w:bCs/>
        </w:rPr>
        <w:t xml:space="preserve"> (AOP052) </w:t>
      </w:r>
      <w:r w:rsidR="00A40E0B" w:rsidRPr="00156CD9">
        <w:rPr>
          <w:rFonts w:ascii="Times New Roman" w:hAnsi="Times New Roman" w:cs="Times New Roman"/>
          <w:bCs/>
        </w:rPr>
        <w:t>-</w:t>
      </w:r>
      <w:r w:rsidR="00E71069" w:rsidRPr="00156CD9">
        <w:rPr>
          <w:rFonts w:ascii="Times New Roman" w:hAnsi="Times New Roman" w:cs="Times New Roman"/>
          <w:bCs/>
        </w:rPr>
        <w:t xml:space="preserve"> iznose 26.990.304 kn i za 49,6% iznose više nego 2020. godine. Tijekom 2021. godine evidentirano je 52.797.420 kn novih investicija, a u imovinu na pripadajući račun, knjiženo je 43.845.917 kn.</w:t>
      </w:r>
      <w:r w:rsidR="00A40E0B" w:rsidRPr="00156CD9">
        <w:rPr>
          <w:rFonts w:ascii="Times New Roman" w:hAnsi="Times New Roman" w:cs="Times New Roman"/>
          <w:bCs/>
        </w:rPr>
        <w:t xml:space="preserve"> Najznačajnije investicije u pripremi koje su utjecale na povećanje ove podskupine su: </w:t>
      </w:r>
      <w:r w:rsidR="00030DFC">
        <w:rPr>
          <w:rFonts w:ascii="Times New Roman" w:hAnsi="Times New Roman" w:cs="Times New Roman"/>
          <w:bCs/>
        </w:rPr>
        <w:t>izgradnja s</w:t>
      </w:r>
      <w:r w:rsidR="00A40E0B" w:rsidRPr="00156CD9">
        <w:rPr>
          <w:rFonts w:ascii="Times New Roman" w:hAnsi="Times New Roman" w:cs="Times New Roman"/>
          <w:bCs/>
        </w:rPr>
        <w:t>kloništ</w:t>
      </w:r>
      <w:r w:rsidR="00030DFC">
        <w:rPr>
          <w:rFonts w:ascii="Times New Roman" w:hAnsi="Times New Roman" w:cs="Times New Roman"/>
          <w:bCs/>
        </w:rPr>
        <w:t>a</w:t>
      </w:r>
      <w:r w:rsidR="00A40E0B" w:rsidRPr="00156CD9">
        <w:rPr>
          <w:rFonts w:ascii="Times New Roman" w:hAnsi="Times New Roman" w:cs="Times New Roman"/>
          <w:bCs/>
        </w:rPr>
        <w:t xml:space="preserve"> za</w:t>
      </w:r>
      <w:r w:rsidR="00030DFC">
        <w:rPr>
          <w:rFonts w:ascii="Times New Roman" w:hAnsi="Times New Roman" w:cs="Times New Roman"/>
          <w:bCs/>
        </w:rPr>
        <w:t xml:space="preserve"> napuštene</w:t>
      </w:r>
      <w:r w:rsidR="00A40E0B" w:rsidRPr="00156CD9">
        <w:rPr>
          <w:rFonts w:ascii="Times New Roman" w:hAnsi="Times New Roman" w:cs="Times New Roman"/>
          <w:bCs/>
        </w:rPr>
        <w:t xml:space="preserve"> životinje, rekonstrukcija </w:t>
      </w:r>
      <w:proofErr w:type="spellStart"/>
      <w:r w:rsidR="00A40E0B" w:rsidRPr="00156CD9">
        <w:rPr>
          <w:rFonts w:ascii="Times New Roman" w:hAnsi="Times New Roman" w:cs="Times New Roman"/>
          <w:bCs/>
        </w:rPr>
        <w:t>Paduljsk</w:t>
      </w:r>
      <w:r w:rsidR="00030DFC">
        <w:rPr>
          <w:rFonts w:ascii="Times New Roman" w:hAnsi="Times New Roman" w:cs="Times New Roman"/>
          <w:bCs/>
        </w:rPr>
        <w:t>og</w:t>
      </w:r>
      <w:proofErr w:type="spellEnd"/>
      <w:r w:rsidR="00A40E0B" w:rsidRPr="00156CD9">
        <w:rPr>
          <w:rFonts w:ascii="Times New Roman" w:hAnsi="Times New Roman" w:cs="Times New Roman"/>
          <w:bCs/>
        </w:rPr>
        <w:t xml:space="preserve"> put</w:t>
      </w:r>
      <w:r w:rsidR="00030DFC">
        <w:rPr>
          <w:rFonts w:ascii="Times New Roman" w:hAnsi="Times New Roman" w:cs="Times New Roman"/>
          <w:bCs/>
        </w:rPr>
        <w:t>a</w:t>
      </w:r>
      <w:r w:rsidR="00A40E0B" w:rsidRPr="00156CD9">
        <w:rPr>
          <w:rFonts w:ascii="Times New Roman" w:hAnsi="Times New Roman" w:cs="Times New Roman"/>
          <w:bCs/>
        </w:rPr>
        <w:t>,</w:t>
      </w:r>
      <w:r w:rsidR="00030DFC">
        <w:rPr>
          <w:rFonts w:ascii="Times New Roman" w:hAnsi="Times New Roman" w:cs="Times New Roman"/>
          <w:bCs/>
        </w:rPr>
        <w:t xml:space="preserve"> sanacija</w:t>
      </w:r>
      <w:r w:rsidR="00A40E0B" w:rsidRPr="00156CD9">
        <w:rPr>
          <w:rFonts w:ascii="Times New Roman" w:hAnsi="Times New Roman" w:cs="Times New Roman"/>
          <w:bCs/>
        </w:rPr>
        <w:t xml:space="preserve"> zgrad</w:t>
      </w:r>
      <w:r w:rsidR="00030DFC">
        <w:rPr>
          <w:rFonts w:ascii="Times New Roman" w:hAnsi="Times New Roman" w:cs="Times New Roman"/>
          <w:bCs/>
        </w:rPr>
        <w:t>e</w:t>
      </w:r>
      <w:r w:rsidR="00A40E0B" w:rsidRPr="00156CD9">
        <w:rPr>
          <w:rFonts w:ascii="Times New Roman" w:hAnsi="Times New Roman" w:cs="Times New Roman"/>
          <w:bCs/>
        </w:rPr>
        <w:t xml:space="preserve"> Društven</w:t>
      </w:r>
      <w:r w:rsidR="00030DFC">
        <w:rPr>
          <w:rFonts w:ascii="Times New Roman" w:hAnsi="Times New Roman" w:cs="Times New Roman"/>
          <w:bCs/>
        </w:rPr>
        <w:t>og</w:t>
      </w:r>
      <w:r w:rsidR="00A40E0B" w:rsidRPr="00156CD9">
        <w:rPr>
          <w:rFonts w:ascii="Times New Roman" w:hAnsi="Times New Roman" w:cs="Times New Roman"/>
          <w:bCs/>
        </w:rPr>
        <w:t xml:space="preserve"> cent</w:t>
      </w:r>
      <w:r w:rsidR="00030DFC">
        <w:rPr>
          <w:rFonts w:ascii="Times New Roman" w:hAnsi="Times New Roman" w:cs="Times New Roman"/>
          <w:bCs/>
        </w:rPr>
        <w:t>ra</w:t>
      </w:r>
      <w:r w:rsidR="00A40E0B" w:rsidRPr="00156CD9">
        <w:rPr>
          <w:rFonts w:ascii="Times New Roman" w:hAnsi="Times New Roman" w:cs="Times New Roman"/>
          <w:bCs/>
        </w:rPr>
        <w:t xml:space="preserve"> </w:t>
      </w:r>
      <w:proofErr w:type="spellStart"/>
      <w:r w:rsidR="00A40E0B" w:rsidRPr="00156CD9">
        <w:rPr>
          <w:rFonts w:ascii="Times New Roman" w:hAnsi="Times New Roman" w:cs="Times New Roman"/>
          <w:bCs/>
        </w:rPr>
        <w:t>Rojc</w:t>
      </w:r>
      <w:proofErr w:type="spellEnd"/>
      <w:r w:rsidR="00A40E0B" w:rsidRPr="00156CD9">
        <w:rPr>
          <w:rFonts w:ascii="Times New Roman" w:hAnsi="Times New Roman" w:cs="Times New Roman"/>
          <w:bCs/>
        </w:rPr>
        <w:t>,</w:t>
      </w:r>
      <w:r w:rsidR="006F3857" w:rsidRPr="00156CD9">
        <w:rPr>
          <w:rFonts w:ascii="Times New Roman" w:hAnsi="Times New Roman" w:cs="Times New Roman"/>
          <w:bCs/>
        </w:rPr>
        <w:t xml:space="preserve"> </w:t>
      </w:r>
      <w:r w:rsidR="00030DFC">
        <w:rPr>
          <w:rFonts w:ascii="Times New Roman" w:hAnsi="Times New Roman" w:cs="Times New Roman"/>
          <w:bCs/>
        </w:rPr>
        <w:t xml:space="preserve">sanacija </w:t>
      </w:r>
      <w:r w:rsidR="006F3857" w:rsidRPr="00156CD9">
        <w:rPr>
          <w:rFonts w:ascii="Times New Roman" w:hAnsi="Times New Roman" w:cs="Times New Roman"/>
          <w:bCs/>
        </w:rPr>
        <w:t>odlagališt</w:t>
      </w:r>
      <w:r w:rsidR="00030DFC">
        <w:rPr>
          <w:rFonts w:ascii="Times New Roman" w:hAnsi="Times New Roman" w:cs="Times New Roman"/>
          <w:bCs/>
        </w:rPr>
        <w:t>a</w:t>
      </w:r>
      <w:r w:rsidR="006F3857" w:rsidRPr="00156CD9">
        <w:rPr>
          <w:rFonts w:ascii="Times New Roman" w:hAnsi="Times New Roman" w:cs="Times New Roman"/>
          <w:bCs/>
        </w:rPr>
        <w:t xml:space="preserve"> </w:t>
      </w:r>
      <w:proofErr w:type="spellStart"/>
      <w:r w:rsidR="006F3857" w:rsidRPr="00156CD9">
        <w:rPr>
          <w:rFonts w:ascii="Times New Roman" w:hAnsi="Times New Roman" w:cs="Times New Roman"/>
          <w:bCs/>
        </w:rPr>
        <w:t>Kaš</w:t>
      </w:r>
      <w:r w:rsidR="00A806EF">
        <w:rPr>
          <w:rFonts w:ascii="Times New Roman" w:hAnsi="Times New Roman" w:cs="Times New Roman"/>
          <w:bCs/>
        </w:rPr>
        <w:t>t</w:t>
      </w:r>
      <w:r w:rsidR="006F3857" w:rsidRPr="00156CD9">
        <w:rPr>
          <w:rFonts w:ascii="Times New Roman" w:hAnsi="Times New Roman" w:cs="Times New Roman"/>
          <w:bCs/>
        </w:rPr>
        <w:t>ijun</w:t>
      </w:r>
      <w:proofErr w:type="spellEnd"/>
      <w:r w:rsidR="006F3857" w:rsidRPr="00156CD9">
        <w:rPr>
          <w:rFonts w:ascii="Times New Roman" w:hAnsi="Times New Roman" w:cs="Times New Roman"/>
          <w:bCs/>
        </w:rPr>
        <w:t>,</w:t>
      </w:r>
      <w:r w:rsidR="002028B1" w:rsidRPr="00156CD9">
        <w:rPr>
          <w:rFonts w:ascii="Times New Roman" w:hAnsi="Times New Roman" w:cs="Times New Roman"/>
          <w:bCs/>
        </w:rPr>
        <w:t xml:space="preserve"> izgradnja plinovoda u dijelu </w:t>
      </w:r>
      <w:proofErr w:type="spellStart"/>
      <w:r w:rsidR="002028B1" w:rsidRPr="00156CD9">
        <w:rPr>
          <w:rFonts w:ascii="Times New Roman" w:hAnsi="Times New Roman" w:cs="Times New Roman"/>
          <w:bCs/>
        </w:rPr>
        <w:t>Šišanske</w:t>
      </w:r>
      <w:proofErr w:type="spellEnd"/>
      <w:r w:rsidR="002028B1" w:rsidRPr="00156CD9">
        <w:rPr>
          <w:rFonts w:ascii="Times New Roman" w:hAnsi="Times New Roman" w:cs="Times New Roman"/>
          <w:bCs/>
        </w:rPr>
        <w:t xml:space="preserve"> ceste te uređenje kupališta i plaža.</w:t>
      </w:r>
      <w:r w:rsidR="006F3857" w:rsidRPr="00156CD9">
        <w:rPr>
          <w:rFonts w:ascii="Times New Roman" w:hAnsi="Times New Roman" w:cs="Times New Roman"/>
          <w:bCs/>
        </w:rPr>
        <w:t xml:space="preserve"> </w:t>
      </w:r>
    </w:p>
    <w:p w14:paraId="4BA2496B" w14:textId="7EC6BA08" w:rsidR="004A5D38" w:rsidRPr="00156CD9" w:rsidRDefault="00A40E0B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 xml:space="preserve"> </w:t>
      </w:r>
    </w:p>
    <w:p w14:paraId="5AA4C92D" w14:textId="756B7F02" w:rsidR="002028B1" w:rsidRPr="00156CD9" w:rsidRDefault="002028B1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8</w:t>
      </w:r>
      <w:r w:rsidRPr="00156CD9">
        <w:rPr>
          <w:rFonts w:ascii="Times New Roman" w:hAnsi="Times New Roman" w:cs="Times New Roman"/>
          <w:b/>
        </w:rPr>
        <w:t>2</w:t>
      </w:r>
    </w:p>
    <w:p w14:paraId="69C168EC" w14:textId="3989B9CF" w:rsidR="004A5D38" w:rsidRPr="00156CD9" w:rsidRDefault="002028B1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 xml:space="preserve">Ostala nefinancijska dugotrajna imovina u pripremi (AOP057) </w:t>
      </w:r>
      <w:r w:rsidR="00BD39DE" w:rsidRPr="00156CD9">
        <w:rPr>
          <w:rFonts w:ascii="Times New Roman" w:hAnsi="Times New Roman" w:cs="Times New Roman"/>
          <w:bCs/>
        </w:rPr>
        <w:t>-</w:t>
      </w:r>
      <w:r w:rsidRPr="00156CD9">
        <w:rPr>
          <w:rFonts w:ascii="Times New Roman" w:hAnsi="Times New Roman" w:cs="Times New Roman"/>
          <w:bCs/>
        </w:rPr>
        <w:t xml:space="preserve"> iznosi 4.368.516 kn te je smanjena </w:t>
      </w:r>
      <w:r w:rsidR="00BD39DE" w:rsidRPr="00156CD9">
        <w:rPr>
          <w:rFonts w:ascii="Times New Roman" w:hAnsi="Times New Roman" w:cs="Times New Roman"/>
          <w:bCs/>
        </w:rPr>
        <w:t xml:space="preserve">za 61,5% </w:t>
      </w:r>
      <w:r w:rsidRPr="00156CD9">
        <w:rPr>
          <w:rFonts w:ascii="Times New Roman" w:hAnsi="Times New Roman" w:cs="Times New Roman"/>
          <w:bCs/>
        </w:rPr>
        <w:t xml:space="preserve">zbog presude kojom </w:t>
      </w:r>
      <w:r w:rsidR="004B1B12">
        <w:rPr>
          <w:rFonts w:ascii="Times New Roman" w:hAnsi="Times New Roman" w:cs="Times New Roman"/>
          <w:bCs/>
        </w:rPr>
        <w:t xml:space="preserve">je </w:t>
      </w:r>
      <w:r w:rsidRPr="00156CD9">
        <w:rPr>
          <w:rFonts w:ascii="Times New Roman" w:hAnsi="Times New Roman" w:cs="Times New Roman"/>
          <w:bCs/>
        </w:rPr>
        <w:t xml:space="preserve">Grad </w:t>
      </w:r>
      <w:r w:rsidR="004B1B12">
        <w:rPr>
          <w:rFonts w:ascii="Times New Roman" w:hAnsi="Times New Roman" w:cs="Times New Roman"/>
          <w:bCs/>
        </w:rPr>
        <w:t>izvršio</w:t>
      </w:r>
      <w:r w:rsidR="00BD39DE" w:rsidRPr="00156CD9">
        <w:rPr>
          <w:rFonts w:ascii="Times New Roman" w:hAnsi="Times New Roman" w:cs="Times New Roman"/>
          <w:bCs/>
        </w:rPr>
        <w:t xml:space="preserve"> povrat podataka</w:t>
      </w:r>
      <w:r w:rsidR="008331C8">
        <w:rPr>
          <w:rFonts w:ascii="Times New Roman" w:hAnsi="Times New Roman" w:cs="Times New Roman"/>
          <w:bCs/>
        </w:rPr>
        <w:t xml:space="preserve"> </w:t>
      </w:r>
      <w:r w:rsidR="0090300F" w:rsidRPr="00156CD9">
        <w:rPr>
          <w:rFonts w:ascii="Times New Roman" w:hAnsi="Times New Roman" w:cs="Times New Roman"/>
          <w:bCs/>
        </w:rPr>
        <w:t>tužitelju.</w:t>
      </w:r>
    </w:p>
    <w:p w14:paraId="729DF1C7" w14:textId="77777777" w:rsidR="007C07EE" w:rsidRPr="00156CD9" w:rsidRDefault="007C07EE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125CB24E" w14:textId="3893627B" w:rsidR="00EB2FC4" w:rsidRPr="00156CD9" w:rsidRDefault="00EB2FC4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8</w:t>
      </w:r>
      <w:r w:rsidR="003305AE" w:rsidRPr="00156CD9">
        <w:rPr>
          <w:rFonts w:ascii="Times New Roman" w:hAnsi="Times New Roman" w:cs="Times New Roman"/>
          <w:b/>
        </w:rPr>
        <w:t>3</w:t>
      </w:r>
    </w:p>
    <w:p w14:paraId="09312112" w14:textId="6A13F6DD" w:rsidR="00EB2FC4" w:rsidRPr="00156CD9" w:rsidRDefault="002A470D" w:rsidP="00156CD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CD9">
        <w:rPr>
          <w:rFonts w:ascii="Times New Roman" w:hAnsi="Times New Roman" w:cs="Times New Roman"/>
          <w:b/>
          <w:color w:val="000000"/>
          <w:sz w:val="24"/>
          <w:szCs w:val="24"/>
        </w:rPr>
        <w:t>Financijska imovina</w:t>
      </w:r>
    </w:p>
    <w:tbl>
      <w:tblPr>
        <w:tblW w:w="9097" w:type="dxa"/>
        <w:jc w:val="center"/>
        <w:tblLook w:val="04A0" w:firstRow="1" w:lastRow="0" w:firstColumn="1" w:lastColumn="0" w:noHBand="0" w:noVBand="1"/>
      </w:tblPr>
      <w:tblGrid>
        <w:gridCol w:w="741"/>
        <w:gridCol w:w="3790"/>
        <w:gridCol w:w="567"/>
        <w:gridCol w:w="1016"/>
        <w:gridCol w:w="1120"/>
        <w:gridCol w:w="643"/>
        <w:gridCol w:w="1220"/>
      </w:tblGrid>
      <w:tr w:rsidR="007B0197" w:rsidRPr="00156CD9" w14:paraId="4FF2DA10" w14:textId="77777777" w:rsidTr="00C45CCD">
        <w:trPr>
          <w:trHeight w:val="61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CDE3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4D57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E36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AOP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ABA9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3527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134E" w14:textId="5DFF8596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Indeks (5/4)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4DD0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</w:tr>
      <w:tr w:rsidR="007B0197" w:rsidRPr="00156CD9" w14:paraId="1529B735" w14:textId="77777777" w:rsidTr="00C45CCD">
        <w:trPr>
          <w:trHeight w:val="113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E101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B7CF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4EDF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B694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FF04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1F95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7CE3" w14:textId="566E76A9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  <w:t>5-4</w:t>
            </w:r>
          </w:p>
        </w:tc>
      </w:tr>
      <w:tr w:rsidR="007B0197" w:rsidRPr="00156CD9" w14:paraId="4F56DA2A" w14:textId="77777777" w:rsidTr="00C45CCD">
        <w:trPr>
          <w:trHeight w:val="161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1C35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17AF" w14:textId="77777777" w:rsidR="007B0197" w:rsidRPr="00156CD9" w:rsidRDefault="007B0197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Novac u banci i blagajni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8D48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F4FA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45.325.099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CB00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31.724.712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90F9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6F5C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-13.600.387</w:t>
            </w:r>
          </w:p>
        </w:tc>
      </w:tr>
      <w:tr w:rsidR="007B0197" w:rsidRPr="00156CD9" w14:paraId="3DBA8E60" w14:textId="77777777" w:rsidTr="00C45CCD">
        <w:trPr>
          <w:trHeight w:val="264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4A82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417B" w14:textId="77777777" w:rsidR="007B0197" w:rsidRPr="00156CD9" w:rsidRDefault="007B0197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Depoziti, </w:t>
            </w: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jamčevni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polozi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i potraživanja od zaposlenih te za više plaćene poreze i ostalo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E6E0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D506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845.662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31F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339.083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0ADF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BFBE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-506.579</w:t>
            </w:r>
          </w:p>
        </w:tc>
      </w:tr>
      <w:tr w:rsidR="007B0197" w:rsidRPr="00156CD9" w14:paraId="1F818CF6" w14:textId="77777777" w:rsidTr="00C45CCD">
        <w:trPr>
          <w:trHeight w:val="169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D51D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8404" w14:textId="77777777" w:rsidR="007B0197" w:rsidRPr="00156CD9" w:rsidRDefault="007B0197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Dionice i udjeli u glavnici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560F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57A9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235.678.717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E2E8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264.053.246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C96E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510F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28.374.529</w:t>
            </w:r>
          </w:p>
        </w:tc>
      </w:tr>
      <w:tr w:rsidR="007B0197" w:rsidRPr="00156CD9" w14:paraId="25D48CF9" w14:textId="77777777" w:rsidTr="00C45CCD">
        <w:trPr>
          <w:trHeight w:val="116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6B0B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6F3F" w14:textId="77777777" w:rsidR="007B0197" w:rsidRPr="00156CD9" w:rsidRDefault="007B0197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Potraživanja za prihode poslovanja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8D17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96F4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52.075.629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E22F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45.799.932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1339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87,9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25A1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-6.275.697</w:t>
            </w:r>
          </w:p>
        </w:tc>
      </w:tr>
      <w:tr w:rsidR="007B0197" w:rsidRPr="00156CD9" w14:paraId="71CC2AD0" w14:textId="77777777" w:rsidTr="00C45CCD">
        <w:trPr>
          <w:trHeight w:val="20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0432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6E8" w14:textId="77777777" w:rsidR="007B0197" w:rsidRPr="00156CD9" w:rsidRDefault="007B0197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Potraživanja od prodaje nefinancijske imovine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059B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F569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5.056.037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83E1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4.371.549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1433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86,5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AA9D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-684.488</w:t>
            </w:r>
          </w:p>
        </w:tc>
      </w:tr>
      <w:tr w:rsidR="007B0197" w:rsidRPr="00156CD9" w14:paraId="2072889C" w14:textId="77777777" w:rsidTr="00C45CCD">
        <w:trPr>
          <w:trHeight w:val="13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F57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2728" w14:textId="77777777" w:rsidR="007B0197" w:rsidRPr="00156CD9" w:rsidRDefault="007B0197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Rashodi budućih razdoblja i nedospjela naplata prihoda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1F78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14D6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2.230.170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3234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2.286.088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D447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102,5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640A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55.918</w:t>
            </w:r>
          </w:p>
        </w:tc>
      </w:tr>
      <w:tr w:rsidR="007B0197" w:rsidRPr="00156CD9" w14:paraId="3C0F50FE" w14:textId="77777777" w:rsidTr="00C45CCD">
        <w:trPr>
          <w:trHeight w:val="227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8C41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93AC" w14:textId="0830BAF3" w:rsidR="007B0197" w:rsidRPr="00156CD9" w:rsidRDefault="00030DFC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FINANCIJSKA IMOVINA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0333" w14:textId="77777777" w:rsidR="007B0197" w:rsidRPr="00156CD9" w:rsidRDefault="007B019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B3F0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341.211.314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D40F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348.574.610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FD13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692A" w14:textId="77777777" w:rsidR="007B0197" w:rsidRPr="00156CD9" w:rsidRDefault="007B0197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7.363.296</w:t>
            </w:r>
          </w:p>
        </w:tc>
      </w:tr>
    </w:tbl>
    <w:p w14:paraId="576B4316" w14:textId="77777777" w:rsidR="005F1326" w:rsidRPr="00156CD9" w:rsidRDefault="005F1326" w:rsidP="00156CD9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31D52BA" w14:textId="77777777" w:rsidR="00CA0C87" w:rsidRPr="00156CD9" w:rsidRDefault="00CA0C87" w:rsidP="00156C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6C35D85" w14:textId="03785BF1" w:rsidR="00657A6C" w:rsidRPr="00156CD9" w:rsidRDefault="00657A6C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lastRenderedPageBreak/>
        <w:t xml:space="preserve">BILJEŠKA br. </w:t>
      </w:r>
      <w:r w:rsidR="00D72BB2">
        <w:rPr>
          <w:rFonts w:ascii="Times New Roman" w:hAnsi="Times New Roman" w:cs="Times New Roman"/>
          <w:b/>
        </w:rPr>
        <w:t>84</w:t>
      </w:r>
    </w:p>
    <w:p w14:paraId="0FDBB361" w14:textId="156C9966" w:rsidR="003305AE" w:rsidRPr="00156CD9" w:rsidRDefault="003305AE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 xml:space="preserve">Izdvojena novčana sredstva (AOP070) </w:t>
      </w:r>
      <w:r w:rsidR="00C74295" w:rsidRPr="00156CD9">
        <w:rPr>
          <w:rFonts w:ascii="Times New Roman" w:hAnsi="Times New Roman" w:cs="Times New Roman"/>
          <w:bCs/>
        </w:rPr>
        <w:t xml:space="preserve">- </w:t>
      </w:r>
      <w:r w:rsidRPr="00156CD9">
        <w:rPr>
          <w:rFonts w:ascii="Times New Roman" w:hAnsi="Times New Roman" w:cs="Times New Roman"/>
          <w:bCs/>
        </w:rPr>
        <w:t>iznose 413.498 kn, a odnos</w:t>
      </w:r>
      <w:r w:rsidR="00C74295" w:rsidRPr="00156CD9">
        <w:rPr>
          <w:rFonts w:ascii="Times New Roman" w:hAnsi="Times New Roman" w:cs="Times New Roman"/>
          <w:bCs/>
        </w:rPr>
        <w:t>e</w:t>
      </w:r>
      <w:r w:rsidRPr="00156CD9">
        <w:rPr>
          <w:rFonts w:ascii="Times New Roman" w:hAnsi="Times New Roman" w:cs="Times New Roman"/>
          <w:bCs/>
        </w:rPr>
        <w:t xml:space="preserve"> se</w:t>
      </w:r>
      <w:r w:rsidR="00C74295" w:rsidRPr="00156CD9">
        <w:rPr>
          <w:rFonts w:ascii="Times New Roman" w:hAnsi="Times New Roman" w:cs="Times New Roman"/>
          <w:bCs/>
        </w:rPr>
        <w:t xml:space="preserve"> na presudu koja se vodi</w:t>
      </w:r>
      <w:r w:rsidR="00F35445" w:rsidRPr="00156CD9">
        <w:rPr>
          <w:rFonts w:ascii="Times New Roman" w:hAnsi="Times New Roman" w:cs="Times New Roman"/>
          <w:bCs/>
        </w:rPr>
        <w:t>la</w:t>
      </w:r>
      <w:r w:rsidR="00C74295" w:rsidRPr="00156CD9">
        <w:rPr>
          <w:rFonts w:ascii="Times New Roman" w:hAnsi="Times New Roman" w:cs="Times New Roman"/>
          <w:bCs/>
        </w:rPr>
        <w:t xml:space="preserve"> kod Općinskog suda pod brojem </w:t>
      </w:r>
      <w:proofErr w:type="spellStart"/>
      <w:r w:rsidR="00C74295" w:rsidRPr="00156CD9">
        <w:rPr>
          <w:rFonts w:ascii="Times New Roman" w:hAnsi="Times New Roman" w:cs="Times New Roman"/>
          <w:bCs/>
        </w:rPr>
        <w:t>Posl</w:t>
      </w:r>
      <w:proofErr w:type="spellEnd"/>
      <w:r w:rsidR="00C74295" w:rsidRPr="00156CD9">
        <w:rPr>
          <w:rFonts w:ascii="Times New Roman" w:hAnsi="Times New Roman" w:cs="Times New Roman"/>
          <w:bCs/>
        </w:rPr>
        <w:t xml:space="preserve">. broj P-653/19-81 od 03.04.2020. godine i koja je po pravomoćnosti otpremljena na prisilnu naplatu u FINA-u. </w:t>
      </w:r>
    </w:p>
    <w:p w14:paraId="7ED24DB6" w14:textId="77777777" w:rsidR="00340D66" w:rsidRPr="00156CD9" w:rsidRDefault="00340D66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0A9A9651" w14:textId="361C2B98" w:rsidR="00340D66" w:rsidRPr="00156CD9" w:rsidRDefault="00340D66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8</w:t>
      </w:r>
      <w:r w:rsidRPr="00156CD9">
        <w:rPr>
          <w:rFonts w:ascii="Times New Roman" w:hAnsi="Times New Roman" w:cs="Times New Roman"/>
          <w:b/>
        </w:rPr>
        <w:t>5</w:t>
      </w:r>
    </w:p>
    <w:p w14:paraId="6F680D09" w14:textId="7EACB88D" w:rsidR="00F76849" w:rsidRPr="00156CD9" w:rsidRDefault="00F76849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 xml:space="preserve">Potraživanja za više plaćene poreze i doprinose (AOP079) - iznose </w:t>
      </w:r>
      <w:r w:rsidR="00340D66" w:rsidRPr="00156CD9">
        <w:rPr>
          <w:rFonts w:ascii="Times New Roman" w:hAnsi="Times New Roman" w:cs="Times New Roman"/>
          <w:bCs/>
        </w:rPr>
        <w:t>16.423</w:t>
      </w:r>
      <w:r w:rsidRPr="00156CD9">
        <w:rPr>
          <w:rFonts w:ascii="Times New Roman" w:hAnsi="Times New Roman" w:cs="Times New Roman"/>
          <w:bCs/>
        </w:rPr>
        <w:t xml:space="preserve"> kn i čine potraživanja </w:t>
      </w:r>
      <w:r w:rsidR="00340D66" w:rsidRPr="00156CD9">
        <w:rPr>
          <w:rFonts w:ascii="Times New Roman" w:hAnsi="Times New Roman" w:cs="Times New Roman"/>
          <w:bCs/>
        </w:rPr>
        <w:t xml:space="preserve">zbog </w:t>
      </w:r>
      <w:r w:rsidR="00A615FD" w:rsidRPr="00156CD9">
        <w:rPr>
          <w:rFonts w:ascii="Times New Roman" w:hAnsi="Times New Roman" w:cs="Times New Roman"/>
          <w:bCs/>
        </w:rPr>
        <w:t>žalbe službenika na rješenje o rasporedu i plaći.</w:t>
      </w:r>
    </w:p>
    <w:p w14:paraId="2E938B73" w14:textId="6D597CF0" w:rsidR="00F76849" w:rsidRPr="00156CD9" w:rsidRDefault="00F76849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</w:p>
    <w:p w14:paraId="4915525A" w14:textId="1B0030F0" w:rsidR="00F76849" w:rsidRPr="00156CD9" w:rsidRDefault="00F76849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8</w:t>
      </w:r>
      <w:r w:rsidR="00314217" w:rsidRPr="00156CD9">
        <w:rPr>
          <w:rFonts w:ascii="Times New Roman" w:hAnsi="Times New Roman" w:cs="Times New Roman"/>
          <w:b/>
        </w:rPr>
        <w:t>6</w:t>
      </w:r>
    </w:p>
    <w:p w14:paraId="6DFE2823" w14:textId="6C4C9400" w:rsidR="00443A88" w:rsidRPr="00156CD9" w:rsidRDefault="00677245" w:rsidP="00156CD9">
      <w:pPr>
        <w:pStyle w:val="Style11"/>
        <w:widowControl/>
        <w:tabs>
          <w:tab w:val="left" w:pos="223"/>
        </w:tabs>
        <w:spacing w:line="276" w:lineRule="auto"/>
        <w:contextualSpacing/>
        <w:rPr>
          <w:rFonts w:ascii="Times New Roman" w:hAnsi="Times New Roman" w:cs="Times New Roman"/>
        </w:rPr>
      </w:pPr>
      <w:r w:rsidRPr="00156CD9">
        <w:rPr>
          <w:rStyle w:val="FontStyle25"/>
          <w:b w:val="0"/>
          <w:spacing w:val="0"/>
        </w:rPr>
        <w:t>Ostala potraživanja (AOP080) -</w:t>
      </w:r>
      <w:r w:rsidR="00657A6C" w:rsidRPr="00156CD9">
        <w:rPr>
          <w:rStyle w:val="FontStyle25"/>
          <w:b w:val="0"/>
          <w:spacing w:val="0"/>
        </w:rPr>
        <w:t xml:space="preserve"> iznose </w:t>
      </w:r>
      <w:r w:rsidR="00340D66" w:rsidRPr="00156CD9">
        <w:rPr>
          <w:rStyle w:val="FontStyle25"/>
          <w:b w:val="0"/>
          <w:spacing w:val="0"/>
        </w:rPr>
        <w:t>169.757</w:t>
      </w:r>
      <w:r w:rsidR="00657A6C" w:rsidRPr="00156CD9">
        <w:rPr>
          <w:rStyle w:val="FontStyle25"/>
          <w:b w:val="0"/>
          <w:spacing w:val="0"/>
        </w:rPr>
        <w:t xml:space="preserve"> kn, a </w:t>
      </w:r>
      <w:r w:rsidR="00443A88" w:rsidRPr="00156CD9">
        <w:rPr>
          <w:rStyle w:val="FontStyle25"/>
          <w:b w:val="0"/>
          <w:spacing w:val="0"/>
        </w:rPr>
        <w:t>čin</w:t>
      </w:r>
      <w:r w:rsidR="009848FB" w:rsidRPr="00156CD9">
        <w:rPr>
          <w:rStyle w:val="FontStyle25"/>
          <w:b w:val="0"/>
          <w:spacing w:val="0"/>
        </w:rPr>
        <w:t>e</w:t>
      </w:r>
      <w:r w:rsidR="00657A6C" w:rsidRPr="00156CD9">
        <w:rPr>
          <w:rStyle w:val="FontStyle25"/>
          <w:b w:val="0"/>
          <w:spacing w:val="0"/>
        </w:rPr>
        <w:t xml:space="preserve"> ih</w:t>
      </w:r>
      <w:r w:rsidR="00443A88" w:rsidRPr="00156CD9">
        <w:rPr>
          <w:rStyle w:val="FontStyle25"/>
          <w:b w:val="0"/>
          <w:spacing w:val="0"/>
        </w:rPr>
        <w:t xml:space="preserve">: potraživanja za naknade koje se refundiraju odnosno potraživanje za bolovanje preko 42 dana i kućnu njegu od strane Hrvatskog zavoda za zdravstveno osiguranje u iznosu </w:t>
      </w:r>
      <w:r w:rsidR="00A615FD" w:rsidRPr="00156CD9">
        <w:rPr>
          <w:rStyle w:val="FontStyle25"/>
          <w:b w:val="0"/>
          <w:spacing w:val="0"/>
        </w:rPr>
        <w:t>31.478</w:t>
      </w:r>
      <w:r w:rsidR="00443A88" w:rsidRPr="00156CD9">
        <w:rPr>
          <w:rStyle w:val="FontStyle25"/>
          <w:b w:val="0"/>
          <w:spacing w:val="0"/>
        </w:rPr>
        <w:t xml:space="preserve"> kn</w:t>
      </w:r>
      <w:r w:rsidR="00F76849" w:rsidRPr="00156CD9">
        <w:rPr>
          <w:rStyle w:val="FontStyle25"/>
          <w:b w:val="0"/>
          <w:spacing w:val="0"/>
        </w:rPr>
        <w:t>,</w:t>
      </w:r>
      <w:r w:rsidR="00657A6C" w:rsidRPr="00156CD9">
        <w:rPr>
          <w:rStyle w:val="FontStyle25"/>
          <w:b w:val="0"/>
          <w:spacing w:val="0"/>
        </w:rPr>
        <w:t xml:space="preserve"> </w:t>
      </w:r>
      <w:r w:rsidR="00443A88" w:rsidRPr="00156CD9">
        <w:rPr>
          <w:rStyle w:val="FontStyle25"/>
          <w:b w:val="0"/>
          <w:spacing w:val="0"/>
        </w:rPr>
        <w:t>o</w:t>
      </w:r>
      <w:r w:rsidR="00443A88" w:rsidRPr="00156CD9">
        <w:rPr>
          <w:rStyle w:val="FontStyle24"/>
          <w:spacing w:val="0"/>
        </w:rPr>
        <w:t xml:space="preserve">stala nespomenuta potraživanja u iznosu od </w:t>
      </w:r>
      <w:r w:rsidR="00A615FD" w:rsidRPr="00156CD9">
        <w:rPr>
          <w:rStyle w:val="FontStyle24"/>
          <w:spacing w:val="0"/>
        </w:rPr>
        <w:t>58.429</w:t>
      </w:r>
      <w:r w:rsidR="00443A88" w:rsidRPr="00156CD9">
        <w:rPr>
          <w:rStyle w:val="FontStyle24"/>
          <w:spacing w:val="0"/>
        </w:rPr>
        <w:t xml:space="preserve"> kn</w:t>
      </w:r>
      <w:r w:rsidR="006B1FA3" w:rsidRPr="00156CD9">
        <w:rPr>
          <w:rStyle w:val="FontStyle24"/>
          <w:spacing w:val="0"/>
        </w:rPr>
        <w:t xml:space="preserve"> </w:t>
      </w:r>
      <w:r w:rsidR="00443A88" w:rsidRPr="00156CD9">
        <w:rPr>
          <w:rStyle w:val="FontStyle24"/>
          <w:spacing w:val="0"/>
        </w:rPr>
        <w:t>koj</w:t>
      </w:r>
      <w:r w:rsidR="001A69B9" w:rsidRPr="00156CD9">
        <w:rPr>
          <w:rStyle w:val="FontStyle24"/>
          <w:spacing w:val="0"/>
        </w:rPr>
        <w:t>a</w:t>
      </w:r>
      <w:r w:rsidR="00443A88" w:rsidRPr="00156CD9">
        <w:rPr>
          <w:rStyle w:val="FontStyle24"/>
          <w:spacing w:val="0"/>
        </w:rPr>
        <w:t xml:space="preserve"> čine potraživanja za osporavane presude za koje su sredstva skinuta sa računa Grada od strane FINA</w:t>
      </w:r>
      <w:r w:rsidR="003A7E83" w:rsidRPr="00156CD9">
        <w:rPr>
          <w:rStyle w:val="FontStyle24"/>
          <w:spacing w:val="0"/>
        </w:rPr>
        <w:t>-</w:t>
      </w:r>
      <w:r w:rsidR="00443A88" w:rsidRPr="00156CD9">
        <w:rPr>
          <w:rStyle w:val="FontStyle24"/>
          <w:spacing w:val="0"/>
        </w:rPr>
        <w:t xml:space="preserve">e, za više isplaćena sredstva iz proračuna po </w:t>
      </w:r>
      <w:r w:rsidR="00657A6C" w:rsidRPr="00156CD9">
        <w:rPr>
          <w:rStyle w:val="FontStyle24"/>
          <w:spacing w:val="0"/>
        </w:rPr>
        <w:t xml:space="preserve">računima ili </w:t>
      </w:r>
      <w:r w:rsidR="00443A88" w:rsidRPr="00156CD9">
        <w:rPr>
          <w:rStyle w:val="FontStyle24"/>
          <w:spacing w:val="0"/>
        </w:rPr>
        <w:t>programima koja nisu realizirana i sl.</w:t>
      </w:r>
      <w:r w:rsidR="00F66D21" w:rsidRPr="00156CD9">
        <w:rPr>
          <w:rStyle w:val="FontStyle24"/>
          <w:spacing w:val="0"/>
        </w:rPr>
        <w:t>,</w:t>
      </w:r>
      <w:r w:rsidR="001A69B9" w:rsidRPr="00156CD9">
        <w:rPr>
          <w:rStyle w:val="FontStyle24"/>
          <w:spacing w:val="0"/>
        </w:rPr>
        <w:t xml:space="preserve"> a od navedenog iznosa potraživanje 202</w:t>
      </w:r>
      <w:r w:rsidR="00476292" w:rsidRPr="00156CD9">
        <w:rPr>
          <w:rStyle w:val="FontStyle24"/>
          <w:spacing w:val="0"/>
        </w:rPr>
        <w:t>1</w:t>
      </w:r>
      <w:r w:rsidR="001A69B9" w:rsidRPr="00156CD9">
        <w:rPr>
          <w:rStyle w:val="FontStyle24"/>
          <w:spacing w:val="0"/>
        </w:rPr>
        <w:t xml:space="preserve">. godine iznosi </w:t>
      </w:r>
      <w:r w:rsidR="00476292" w:rsidRPr="00156CD9">
        <w:rPr>
          <w:rStyle w:val="FontStyle24"/>
          <w:spacing w:val="0"/>
        </w:rPr>
        <w:t>38.422</w:t>
      </w:r>
      <w:r w:rsidR="001A69B9" w:rsidRPr="00156CD9">
        <w:rPr>
          <w:rStyle w:val="FontStyle24"/>
          <w:spacing w:val="0"/>
        </w:rPr>
        <w:t xml:space="preserve"> kn. Na </w:t>
      </w:r>
      <w:r w:rsidR="00A615FD" w:rsidRPr="00156CD9">
        <w:rPr>
          <w:rStyle w:val="FontStyle24"/>
          <w:spacing w:val="0"/>
        </w:rPr>
        <w:t>smanjenje</w:t>
      </w:r>
      <w:r w:rsidR="001A69B9" w:rsidRPr="00156CD9">
        <w:rPr>
          <w:rStyle w:val="FontStyle24"/>
          <w:spacing w:val="0"/>
        </w:rPr>
        <w:t xml:space="preserve"> ostalih nespomenutih potraživanja utjecalo je potraživanje po osnovi </w:t>
      </w:r>
      <w:r w:rsidR="00F66D21" w:rsidRPr="00156CD9">
        <w:rPr>
          <w:rFonts w:ascii="Times New Roman" w:hAnsi="Times New Roman" w:cs="Times New Roman"/>
        </w:rPr>
        <w:t>provođenja projekta</w:t>
      </w:r>
      <w:r w:rsidR="005D7DEF" w:rsidRPr="00156CD9">
        <w:rPr>
          <w:rFonts w:ascii="Times New Roman" w:hAnsi="Times New Roman" w:cs="Times New Roman"/>
        </w:rPr>
        <w:t xml:space="preserve"> „Pulski </w:t>
      </w:r>
      <w:proofErr w:type="spellStart"/>
      <w:r w:rsidR="005D7DEF" w:rsidRPr="00156CD9">
        <w:rPr>
          <w:rFonts w:ascii="Times New Roman" w:hAnsi="Times New Roman" w:cs="Times New Roman"/>
        </w:rPr>
        <w:t>fotifikacijski</w:t>
      </w:r>
      <w:proofErr w:type="spellEnd"/>
      <w:r w:rsidR="005D7DEF" w:rsidRPr="00156CD9">
        <w:rPr>
          <w:rFonts w:ascii="Times New Roman" w:hAnsi="Times New Roman" w:cs="Times New Roman"/>
        </w:rPr>
        <w:t xml:space="preserve"> sustav kao novi kulturno turistički proizvod“ </w:t>
      </w:r>
      <w:r w:rsidR="006F5791" w:rsidRPr="00156CD9">
        <w:rPr>
          <w:rFonts w:ascii="Times New Roman" w:hAnsi="Times New Roman" w:cs="Times New Roman"/>
        </w:rPr>
        <w:t xml:space="preserve">za isplaćena sredstva </w:t>
      </w:r>
      <w:r w:rsidR="005D7DEF" w:rsidRPr="00156CD9">
        <w:rPr>
          <w:rFonts w:ascii="Times New Roman" w:hAnsi="Times New Roman" w:cs="Times New Roman"/>
        </w:rPr>
        <w:t xml:space="preserve">partnerima na projektu </w:t>
      </w:r>
      <w:r w:rsidR="006F5791" w:rsidRPr="00156CD9">
        <w:rPr>
          <w:rFonts w:ascii="Times New Roman" w:hAnsi="Times New Roman" w:cs="Times New Roman"/>
        </w:rPr>
        <w:t>temeljem Ugovora</w:t>
      </w:r>
      <w:r w:rsidR="00623063" w:rsidRPr="00156CD9">
        <w:rPr>
          <w:rFonts w:ascii="Times New Roman" w:hAnsi="Times New Roman" w:cs="Times New Roman"/>
        </w:rPr>
        <w:t xml:space="preserve"> koja </w:t>
      </w:r>
      <w:r w:rsidR="00A615FD" w:rsidRPr="00156CD9">
        <w:rPr>
          <w:rFonts w:ascii="Times New Roman" w:hAnsi="Times New Roman" w:cs="Times New Roman"/>
        </w:rPr>
        <w:t xml:space="preserve">su pravdana tijekom 2021. godine te je </w:t>
      </w:r>
      <w:r w:rsidR="00476292" w:rsidRPr="00156CD9">
        <w:rPr>
          <w:rFonts w:ascii="Times New Roman" w:hAnsi="Times New Roman" w:cs="Times New Roman"/>
        </w:rPr>
        <w:t>pre</w:t>
      </w:r>
      <w:r w:rsidR="00A615FD" w:rsidRPr="00156CD9">
        <w:rPr>
          <w:rFonts w:ascii="Times New Roman" w:hAnsi="Times New Roman" w:cs="Times New Roman"/>
        </w:rPr>
        <w:t>ostal</w:t>
      </w:r>
      <w:r w:rsidR="00A806EF">
        <w:rPr>
          <w:rFonts w:ascii="Times New Roman" w:hAnsi="Times New Roman" w:cs="Times New Roman"/>
        </w:rPr>
        <w:t>i iznos avansa</w:t>
      </w:r>
      <w:r w:rsidR="00A615FD" w:rsidRPr="00156CD9">
        <w:rPr>
          <w:rFonts w:ascii="Times New Roman" w:hAnsi="Times New Roman" w:cs="Times New Roman"/>
        </w:rPr>
        <w:t xml:space="preserve"> </w:t>
      </w:r>
      <w:r w:rsidR="00F66D21" w:rsidRPr="00156CD9">
        <w:rPr>
          <w:rFonts w:ascii="Times New Roman" w:hAnsi="Times New Roman" w:cs="Times New Roman"/>
        </w:rPr>
        <w:t xml:space="preserve">od </w:t>
      </w:r>
      <w:r w:rsidR="00A615FD" w:rsidRPr="00156CD9">
        <w:rPr>
          <w:rFonts w:ascii="Times New Roman" w:hAnsi="Times New Roman" w:cs="Times New Roman"/>
        </w:rPr>
        <w:t>79.850</w:t>
      </w:r>
      <w:r w:rsidR="00F66D21" w:rsidRPr="00156CD9">
        <w:rPr>
          <w:rFonts w:ascii="Times New Roman" w:hAnsi="Times New Roman" w:cs="Times New Roman"/>
        </w:rPr>
        <w:t xml:space="preserve"> kn.</w:t>
      </w:r>
    </w:p>
    <w:p w14:paraId="216B2762" w14:textId="26D29067" w:rsidR="00314217" w:rsidRPr="00156CD9" w:rsidRDefault="00314217" w:rsidP="00156CD9">
      <w:pPr>
        <w:pStyle w:val="Style11"/>
        <w:widowControl/>
        <w:tabs>
          <w:tab w:val="left" w:pos="223"/>
        </w:tabs>
        <w:spacing w:line="276" w:lineRule="auto"/>
        <w:contextualSpacing/>
        <w:rPr>
          <w:rFonts w:ascii="Times New Roman" w:hAnsi="Times New Roman" w:cs="Times New Roman"/>
        </w:rPr>
      </w:pPr>
    </w:p>
    <w:p w14:paraId="08035848" w14:textId="5E072203" w:rsidR="00314217" w:rsidRPr="00156CD9" w:rsidRDefault="00314217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8</w:t>
      </w:r>
      <w:r w:rsidRPr="00156CD9">
        <w:rPr>
          <w:rFonts w:ascii="Times New Roman" w:hAnsi="Times New Roman" w:cs="Times New Roman"/>
          <w:b/>
        </w:rPr>
        <w:t>7</w:t>
      </w:r>
    </w:p>
    <w:p w14:paraId="76FA82ED" w14:textId="3912DCBF" w:rsidR="00314217" w:rsidRPr="00156CD9" w:rsidRDefault="00314217" w:rsidP="00156CD9">
      <w:pPr>
        <w:pStyle w:val="Style11"/>
        <w:widowControl/>
        <w:tabs>
          <w:tab w:val="left" w:pos="223"/>
        </w:tabs>
        <w:spacing w:line="276" w:lineRule="auto"/>
        <w:contextualSpacing/>
        <w:rPr>
          <w:rStyle w:val="FontStyle24"/>
          <w:spacing w:val="0"/>
        </w:rPr>
      </w:pPr>
      <w:r w:rsidRPr="00156CD9">
        <w:rPr>
          <w:rStyle w:val="FontStyle24"/>
          <w:spacing w:val="0"/>
        </w:rPr>
        <w:t xml:space="preserve">Dionice i udjeli u glavnici tuzemnih trgovačkih društava izvan javnog sektora (AOP136) </w:t>
      </w:r>
      <w:r w:rsidR="000B254E" w:rsidRPr="00156CD9">
        <w:rPr>
          <w:rStyle w:val="FontStyle24"/>
          <w:spacing w:val="0"/>
        </w:rPr>
        <w:t>-</w:t>
      </w:r>
      <w:r w:rsidRPr="00156CD9">
        <w:rPr>
          <w:rStyle w:val="FontStyle24"/>
          <w:spacing w:val="0"/>
        </w:rPr>
        <w:t xml:space="preserve"> iznose 43.344.340 kn odnosno za 103,7% više nego u 2020</w:t>
      </w:r>
      <w:r w:rsidR="00040513">
        <w:rPr>
          <w:rStyle w:val="FontStyle24"/>
          <w:spacing w:val="0"/>
        </w:rPr>
        <w:t>.</w:t>
      </w:r>
      <w:r w:rsidRPr="00156CD9">
        <w:rPr>
          <w:rStyle w:val="FontStyle24"/>
          <w:spacing w:val="0"/>
        </w:rPr>
        <w:t xml:space="preserve"> godini</w:t>
      </w:r>
      <w:r w:rsidR="00312088" w:rsidRPr="00156CD9">
        <w:rPr>
          <w:rStyle w:val="FontStyle24"/>
          <w:spacing w:val="0"/>
        </w:rPr>
        <w:t xml:space="preserve"> zbog povećanja udjela u društvima za 22.063.000 kn </w:t>
      </w:r>
      <w:r w:rsidR="00040513">
        <w:rPr>
          <w:rStyle w:val="FontStyle24"/>
          <w:spacing w:val="0"/>
        </w:rPr>
        <w:t>(Fratarski d.o.o. i Luka Pula d.o.o.).</w:t>
      </w:r>
    </w:p>
    <w:p w14:paraId="4A56B9BB" w14:textId="77777777" w:rsidR="00DC0226" w:rsidRPr="00156CD9" w:rsidRDefault="00DC0226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7493ADCA" w14:textId="5F42BBA6" w:rsidR="00F66D21" w:rsidRPr="00156CD9" w:rsidRDefault="00F66D21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8</w:t>
      </w:r>
      <w:r w:rsidR="00FA661C" w:rsidRPr="00156CD9">
        <w:rPr>
          <w:rFonts w:ascii="Times New Roman" w:hAnsi="Times New Roman" w:cs="Times New Roman"/>
          <w:b/>
        </w:rPr>
        <w:t>8</w:t>
      </w:r>
    </w:p>
    <w:p w14:paraId="35E800A5" w14:textId="6E38F605" w:rsidR="00F66D21" w:rsidRPr="00156CD9" w:rsidRDefault="00FA661C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 xml:space="preserve">Potraživanja za poreze (AOP142) - </w:t>
      </w:r>
      <w:r w:rsidRPr="00156CD9">
        <w:rPr>
          <w:rFonts w:ascii="Times New Roman" w:hAnsi="Times New Roman" w:cs="Times New Roman"/>
          <w:bCs/>
        </w:rPr>
        <w:tab/>
      </w:r>
      <w:r w:rsidR="002A39E0" w:rsidRPr="00156CD9">
        <w:rPr>
          <w:rFonts w:ascii="Times New Roman" w:hAnsi="Times New Roman" w:cs="Times New Roman"/>
          <w:bCs/>
        </w:rPr>
        <w:t xml:space="preserve">iznose 5.580.872 kn i za 33,3% manja </w:t>
      </w:r>
      <w:r w:rsidR="00A806EF" w:rsidRPr="00156CD9">
        <w:rPr>
          <w:rFonts w:ascii="Times New Roman" w:hAnsi="Times New Roman" w:cs="Times New Roman"/>
          <w:bCs/>
        </w:rPr>
        <w:t>su</w:t>
      </w:r>
      <w:r w:rsidR="00A806EF" w:rsidRPr="00156CD9">
        <w:rPr>
          <w:rFonts w:ascii="Times New Roman" w:hAnsi="Times New Roman" w:cs="Times New Roman"/>
          <w:bCs/>
        </w:rPr>
        <w:t xml:space="preserve"> </w:t>
      </w:r>
      <w:r w:rsidR="002A39E0" w:rsidRPr="00156CD9">
        <w:rPr>
          <w:rFonts w:ascii="Times New Roman" w:hAnsi="Times New Roman" w:cs="Times New Roman"/>
          <w:bCs/>
        </w:rPr>
        <w:t xml:space="preserve">u odnosu na 2020. godinu na što je </w:t>
      </w:r>
      <w:r w:rsidR="00A83F99" w:rsidRPr="00156CD9">
        <w:rPr>
          <w:rFonts w:ascii="Times New Roman" w:hAnsi="Times New Roman" w:cs="Times New Roman"/>
          <w:bCs/>
        </w:rPr>
        <w:t>utjecalo smanjenje potraživanja</w:t>
      </w:r>
      <w:r w:rsidR="00470FCA" w:rsidRPr="00156CD9">
        <w:rPr>
          <w:rFonts w:ascii="Times New Roman" w:hAnsi="Times New Roman" w:cs="Times New Roman"/>
          <w:bCs/>
        </w:rPr>
        <w:t xml:space="preserve"> </w:t>
      </w:r>
      <w:r w:rsidR="00A83F99" w:rsidRPr="00156CD9">
        <w:rPr>
          <w:rFonts w:ascii="Times New Roman" w:hAnsi="Times New Roman" w:cs="Times New Roman"/>
          <w:bCs/>
        </w:rPr>
        <w:t>povremenih poreza</w:t>
      </w:r>
      <w:r w:rsidR="00470FCA" w:rsidRPr="00156CD9">
        <w:rPr>
          <w:rFonts w:ascii="Times New Roman" w:hAnsi="Times New Roman" w:cs="Times New Roman"/>
          <w:bCs/>
        </w:rPr>
        <w:t xml:space="preserve"> na imovinu odnosno poreza na promet nekretnina</w:t>
      </w:r>
      <w:r w:rsidR="00A83F99" w:rsidRPr="00156CD9">
        <w:rPr>
          <w:rFonts w:ascii="Times New Roman" w:hAnsi="Times New Roman" w:cs="Times New Roman"/>
          <w:bCs/>
        </w:rPr>
        <w:t xml:space="preserve"> čiju evidenciju vodi Porezna uprava</w:t>
      </w:r>
      <w:r w:rsidR="00470FCA" w:rsidRPr="00156CD9">
        <w:rPr>
          <w:rFonts w:ascii="Times New Roman" w:hAnsi="Times New Roman" w:cs="Times New Roman"/>
          <w:bCs/>
        </w:rPr>
        <w:t xml:space="preserve"> te smanjenje potraživanja za javne površine zbog smanjenog </w:t>
      </w:r>
      <w:r w:rsidR="001A7050" w:rsidRPr="00156CD9">
        <w:rPr>
          <w:rFonts w:ascii="Times New Roman" w:hAnsi="Times New Roman" w:cs="Times New Roman"/>
          <w:bCs/>
        </w:rPr>
        <w:t>interesa</w:t>
      </w:r>
      <w:r w:rsidR="00470FCA" w:rsidRPr="00156CD9">
        <w:rPr>
          <w:rFonts w:ascii="Times New Roman" w:hAnsi="Times New Roman" w:cs="Times New Roman"/>
          <w:bCs/>
        </w:rPr>
        <w:t>.</w:t>
      </w:r>
    </w:p>
    <w:p w14:paraId="02486DF7" w14:textId="77777777" w:rsidR="00FC342B" w:rsidRPr="00156CD9" w:rsidRDefault="00FC342B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4461ADD8" w14:textId="35FE8CDD" w:rsidR="00A2162C" w:rsidRPr="00156CD9" w:rsidRDefault="00A2162C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89</w:t>
      </w:r>
    </w:p>
    <w:p w14:paraId="02F5211D" w14:textId="0B1C2657" w:rsidR="00A2162C" w:rsidRPr="00156CD9" w:rsidRDefault="00A2162C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</w:rPr>
      </w:pPr>
      <w:r w:rsidRPr="00156CD9">
        <w:rPr>
          <w:rFonts w:ascii="Times New Roman" w:hAnsi="Times New Roman" w:cs="Times New Roman"/>
          <w:bCs/>
        </w:rPr>
        <w:t xml:space="preserve">Potraživanja od prodaje </w:t>
      </w:r>
      <w:proofErr w:type="spellStart"/>
      <w:r w:rsidR="001A7050" w:rsidRPr="00156CD9">
        <w:rPr>
          <w:rFonts w:ascii="Times New Roman" w:hAnsi="Times New Roman" w:cs="Times New Roman"/>
          <w:bCs/>
        </w:rPr>
        <w:t>neproizvedene</w:t>
      </w:r>
      <w:proofErr w:type="spellEnd"/>
      <w:r w:rsidR="001A7050" w:rsidRPr="00156CD9">
        <w:rPr>
          <w:rFonts w:ascii="Times New Roman" w:hAnsi="Times New Roman" w:cs="Times New Roman"/>
          <w:bCs/>
        </w:rPr>
        <w:t xml:space="preserve"> dugotrajne</w:t>
      </w:r>
      <w:r w:rsidRPr="00156CD9">
        <w:rPr>
          <w:rFonts w:ascii="Times New Roman" w:hAnsi="Times New Roman" w:cs="Times New Roman"/>
          <w:bCs/>
        </w:rPr>
        <w:t xml:space="preserve"> imovine (AOP1</w:t>
      </w:r>
      <w:r w:rsidR="001A7050" w:rsidRPr="00156CD9">
        <w:rPr>
          <w:rFonts w:ascii="Times New Roman" w:hAnsi="Times New Roman" w:cs="Times New Roman"/>
          <w:bCs/>
        </w:rPr>
        <w:t>60</w:t>
      </w:r>
      <w:r w:rsidRPr="00156CD9">
        <w:rPr>
          <w:rFonts w:ascii="Times New Roman" w:hAnsi="Times New Roman" w:cs="Times New Roman"/>
          <w:bCs/>
        </w:rPr>
        <w:t>)</w:t>
      </w:r>
      <w:r w:rsidRPr="00156CD9">
        <w:rPr>
          <w:rFonts w:ascii="Times New Roman" w:hAnsi="Times New Roman" w:cs="Times New Roman"/>
          <w:b/>
        </w:rPr>
        <w:t xml:space="preserve"> </w:t>
      </w:r>
      <w:r w:rsidR="00857050" w:rsidRPr="00156CD9">
        <w:rPr>
          <w:rFonts w:ascii="Times New Roman" w:hAnsi="Times New Roman" w:cs="Times New Roman"/>
          <w:b/>
        </w:rPr>
        <w:t>-</w:t>
      </w:r>
      <w:r w:rsidRPr="00156CD9">
        <w:rPr>
          <w:rFonts w:ascii="Times New Roman" w:hAnsi="Times New Roman" w:cs="Times New Roman"/>
          <w:b/>
        </w:rPr>
        <w:t xml:space="preserve"> </w:t>
      </w:r>
      <w:r w:rsidRPr="00156CD9">
        <w:rPr>
          <w:rFonts w:ascii="Times New Roman" w:hAnsi="Times New Roman" w:cs="Times New Roman"/>
        </w:rPr>
        <w:t xml:space="preserve">iznose </w:t>
      </w:r>
      <w:r w:rsidR="001A7050" w:rsidRPr="00156CD9">
        <w:rPr>
          <w:rFonts w:ascii="Times New Roman" w:hAnsi="Times New Roman" w:cs="Times New Roman"/>
        </w:rPr>
        <w:t xml:space="preserve">1.080.029 </w:t>
      </w:r>
      <w:r w:rsidRPr="00156CD9">
        <w:rPr>
          <w:rFonts w:ascii="Times New Roman" w:hAnsi="Times New Roman" w:cs="Times New Roman"/>
        </w:rPr>
        <w:t xml:space="preserve">kn, što je za </w:t>
      </w:r>
      <w:r w:rsidR="001A7050" w:rsidRPr="00156CD9">
        <w:rPr>
          <w:rFonts w:ascii="Times New Roman" w:hAnsi="Times New Roman" w:cs="Times New Roman"/>
        </w:rPr>
        <w:t>98</w:t>
      </w:r>
      <w:r w:rsidRPr="00156CD9">
        <w:rPr>
          <w:rFonts w:ascii="Times New Roman" w:hAnsi="Times New Roman" w:cs="Times New Roman"/>
        </w:rPr>
        <w:t xml:space="preserve">,9% </w:t>
      </w:r>
      <w:r w:rsidR="001A7050" w:rsidRPr="00156CD9">
        <w:rPr>
          <w:rFonts w:ascii="Times New Roman" w:hAnsi="Times New Roman" w:cs="Times New Roman"/>
        </w:rPr>
        <w:t>više</w:t>
      </w:r>
      <w:r w:rsidRPr="00156CD9">
        <w:rPr>
          <w:rFonts w:ascii="Times New Roman" w:hAnsi="Times New Roman" w:cs="Times New Roman"/>
        </w:rPr>
        <w:t xml:space="preserve"> nego u 20</w:t>
      </w:r>
      <w:r w:rsidR="001A7050" w:rsidRPr="00156CD9">
        <w:rPr>
          <w:rFonts w:ascii="Times New Roman" w:hAnsi="Times New Roman" w:cs="Times New Roman"/>
        </w:rPr>
        <w:t>20</w:t>
      </w:r>
      <w:r w:rsidRPr="00156CD9">
        <w:rPr>
          <w:rFonts w:ascii="Times New Roman" w:hAnsi="Times New Roman" w:cs="Times New Roman"/>
        </w:rPr>
        <w:t>. godin</w:t>
      </w:r>
      <w:r w:rsidR="007F711C" w:rsidRPr="00156CD9">
        <w:rPr>
          <w:rFonts w:ascii="Times New Roman" w:hAnsi="Times New Roman" w:cs="Times New Roman"/>
        </w:rPr>
        <w:t xml:space="preserve">i zbog evidentiranog potraživanja za </w:t>
      </w:r>
      <w:r w:rsidR="00000578" w:rsidRPr="00156CD9">
        <w:rPr>
          <w:rFonts w:ascii="Times New Roman" w:hAnsi="Times New Roman" w:cs="Times New Roman"/>
        </w:rPr>
        <w:t xml:space="preserve">prodano zemljište u </w:t>
      </w:r>
      <w:r w:rsidR="007F711C" w:rsidRPr="00156CD9">
        <w:rPr>
          <w:rFonts w:ascii="Times New Roman" w:hAnsi="Times New Roman" w:cs="Times New Roman"/>
        </w:rPr>
        <w:t xml:space="preserve">2021. godine </w:t>
      </w:r>
      <w:r w:rsidR="00000578" w:rsidRPr="00156CD9">
        <w:rPr>
          <w:rFonts w:ascii="Times New Roman" w:hAnsi="Times New Roman" w:cs="Times New Roman"/>
        </w:rPr>
        <w:t>koje je naplaćeno u siječnju 2022. godine.</w:t>
      </w:r>
    </w:p>
    <w:p w14:paraId="1234390A" w14:textId="77777777" w:rsidR="008331C8" w:rsidRDefault="008331C8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2BDB9306" w14:textId="1EAA9C20" w:rsidR="00BE5B55" w:rsidRPr="00156CD9" w:rsidRDefault="00BE5B55" w:rsidP="00156CD9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BILJEŠKA br.</w:t>
      </w:r>
      <w:r w:rsidR="00D72BB2">
        <w:rPr>
          <w:rFonts w:ascii="Times New Roman" w:hAnsi="Times New Roman" w:cs="Times New Roman"/>
          <w:b/>
        </w:rPr>
        <w:t xml:space="preserve"> 90</w:t>
      </w:r>
    </w:p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951"/>
        <w:gridCol w:w="3100"/>
        <w:gridCol w:w="960"/>
        <w:gridCol w:w="955"/>
        <w:gridCol w:w="959"/>
        <w:gridCol w:w="949"/>
        <w:gridCol w:w="1033"/>
        <w:gridCol w:w="222"/>
      </w:tblGrid>
      <w:tr w:rsidR="006C5DCE" w:rsidRPr="00156CD9" w14:paraId="14DE0BDF" w14:textId="77777777" w:rsidTr="00D72BB2">
        <w:trPr>
          <w:gridAfter w:val="1"/>
          <w:wAfter w:w="36" w:type="dxa"/>
          <w:trHeight w:val="309"/>
          <w:jc w:val="center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13D4" w14:textId="77777777" w:rsidR="003972D4" w:rsidRPr="00156CD9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bookmarkStart w:id="6" w:name="OLE_LINK1" w:colFirst="2" w:colLast="6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8675" w14:textId="77777777" w:rsidR="003972D4" w:rsidRPr="00156CD9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bookmarkStart w:id="7" w:name="RANGE!B2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Naziv</w:t>
            </w:r>
            <w:bookmarkEnd w:id="7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F332" w14:textId="77777777" w:rsidR="003972D4" w:rsidRPr="00156CD9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AOP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A3F3" w14:textId="77777777" w:rsidR="003972D4" w:rsidRPr="00156CD9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Stanje 1.siječnja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7281" w14:textId="77777777" w:rsidR="003972D4" w:rsidRPr="00156CD9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Stanje 31.prosinca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6E71" w14:textId="633AC810" w:rsidR="003972D4" w:rsidRPr="00156CD9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="006C5DCE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(</w:t>
            </w: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5/4</w:t>
            </w:r>
            <w:r w:rsidR="006C5DCE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CC01" w14:textId="77777777" w:rsidR="003972D4" w:rsidRPr="00156CD9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</w:tr>
      <w:bookmarkEnd w:id="6"/>
      <w:tr w:rsidR="003972D4" w:rsidRPr="00156CD9" w14:paraId="27669A2C" w14:textId="77777777" w:rsidTr="00D72BB2">
        <w:trPr>
          <w:trHeight w:val="222"/>
          <w:jc w:val="center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24C2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E989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1C6A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DAB5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478C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7A6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4870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B15A" w14:textId="77777777" w:rsidR="003972D4" w:rsidRPr="00156CD9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C5DCE" w:rsidRPr="00156CD9" w14:paraId="05E97488" w14:textId="77777777" w:rsidTr="00030DFC">
        <w:trPr>
          <w:trHeight w:val="113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28B1" w14:textId="121B5998" w:rsidR="006C5DCE" w:rsidRPr="00030DFC" w:rsidRDefault="006C5DC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0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1300" w14:textId="3E48D730" w:rsidR="006C5DCE" w:rsidRPr="00030DFC" w:rsidRDefault="006C5DC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0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B4D9" w14:textId="0B742468" w:rsidR="006C5DCE" w:rsidRPr="00030DFC" w:rsidRDefault="006C5DC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0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DE78" w14:textId="01A566B4" w:rsidR="006C5DCE" w:rsidRPr="00030DFC" w:rsidRDefault="006C5DC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0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822E" w14:textId="4161AE5B" w:rsidR="006C5DCE" w:rsidRPr="00030DFC" w:rsidRDefault="006C5DC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0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D75C" w14:textId="5B6A9DEB" w:rsidR="006C5DCE" w:rsidRPr="00030DFC" w:rsidRDefault="006C5DC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0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A430" w14:textId="0335FA98" w:rsidR="006C5DCE" w:rsidRPr="00030DFC" w:rsidRDefault="006C5DCE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0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hr-HR"/>
              </w:rPr>
              <w:t>5-4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8468F05" w14:textId="77777777" w:rsidR="006C5DCE" w:rsidRPr="00156CD9" w:rsidRDefault="006C5DCE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72D4" w:rsidRPr="00156CD9" w14:paraId="08A88F05" w14:textId="77777777" w:rsidTr="00D72BB2">
        <w:trPr>
          <w:trHeight w:val="198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09C" w14:textId="77777777" w:rsidR="003972D4" w:rsidRPr="00156CD9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641B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rashode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4BEE" w14:textId="77777777" w:rsidR="003972D4" w:rsidRPr="007564A8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171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C76B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25.680.226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4B88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24.194.275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7D51" w14:textId="77777777" w:rsidR="003972D4" w:rsidRPr="007564A8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94,2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6F41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-1.485.951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BD800EE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72D4" w:rsidRPr="00156CD9" w14:paraId="0CCADE69" w14:textId="77777777" w:rsidTr="00D72BB2">
        <w:trPr>
          <w:trHeight w:val="198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5D27" w14:textId="77777777" w:rsidR="003972D4" w:rsidRPr="00156CD9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6CB2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nabavu nefinancijske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C61A" w14:textId="77777777" w:rsidR="003972D4" w:rsidRPr="007564A8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9A54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5.630.167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5BEA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5.663.574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D9DA" w14:textId="26301DAD" w:rsidR="003972D4" w:rsidRPr="007564A8" w:rsidRDefault="007564A8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62B9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33.407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7D504DF0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72D4" w:rsidRPr="00156CD9" w14:paraId="498A4934" w14:textId="77777777" w:rsidTr="00D72BB2">
        <w:trPr>
          <w:trHeight w:val="198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1D1D" w14:textId="77777777" w:rsidR="003972D4" w:rsidRPr="00156CD9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981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kredite i zajmove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46C8" w14:textId="6BCC7C36" w:rsidR="003972D4" w:rsidRPr="007564A8" w:rsidRDefault="007564A8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33FC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47.487.067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0F68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40.971.339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DFD9" w14:textId="5341D401" w:rsidR="003972D4" w:rsidRPr="007564A8" w:rsidRDefault="007564A8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86,3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6438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-6.515.728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73C90C2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DCE" w:rsidRPr="00156CD9" w14:paraId="79BEC0CB" w14:textId="77777777" w:rsidTr="00D72BB2">
        <w:trPr>
          <w:trHeight w:val="227"/>
          <w:jc w:val="center"/>
        </w:trPr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2ADA" w14:textId="0CBF6508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UKUPNO</w:t>
            </w:r>
            <w:r w:rsidR="00030D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OBVEZE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DAAA" w14:textId="3CE51729" w:rsidR="003972D4" w:rsidRPr="007564A8" w:rsidRDefault="003972D4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  <w:r w:rsidR="007564A8"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940E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78.797.460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D74C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70.829.188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3BFA" w14:textId="5577A62F" w:rsidR="003972D4" w:rsidRPr="007564A8" w:rsidRDefault="007564A8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89,9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B698" w14:textId="77777777" w:rsidR="003972D4" w:rsidRPr="007564A8" w:rsidRDefault="003972D4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56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-7.968.272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0932B7B8" w14:textId="77777777" w:rsidR="003972D4" w:rsidRPr="00156CD9" w:rsidRDefault="003972D4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31ADA6D" w14:textId="5E629C60" w:rsidR="008B7072" w:rsidRPr="004E5743" w:rsidRDefault="00AC048A" w:rsidP="004E57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74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Ukupne obveze </w:t>
      </w:r>
      <w:r w:rsidR="00AB2EE7" w:rsidRPr="004E5743">
        <w:rPr>
          <w:rFonts w:ascii="Times New Roman" w:hAnsi="Times New Roman" w:cs="Times New Roman"/>
          <w:bCs/>
          <w:sz w:val="24"/>
          <w:szCs w:val="24"/>
        </w:rPr>
        <w:t xml:space="preserve">(AOP163) </w:t>
      </w:r>
      <w:r w:rsidR="003A7E83" w:rsidRPr="004E5743">
        <w:rPr>
          <w:rFonts w:ascii="Times New Roman" w:hAnsi="Times New Roman" w:cs="Times New Roman"/>
          <w:bCs/>
          <w:sz w:val="24"/>
          <w:szCs w:val="24"/>
        </w:rPr>
        <w:t>-</w:t>
      </w:r>
      <w:r w:rsidR="00AB2EE7" w:rsidRPr="004E5743">
        <w:rPr>
          <w:rFonts w:ascii="Times New Roman" w:hAnsi="Times New Roman" w:cs="Times New Roman"/>
          <w:bCs/>
          <w:sz w:val="24"/>
          <w:szCs w:val="24"/>
        </w:rPr>
        <w:t xml:space="preserve"> iznose </w:t>
      </w:r>
      <w:r w:rsidR="006C5DCE" w:rsidRPr="004E5743">
        <w:rPr>
          <w:rFonts w:ascii="Times New Roman" w:hAnsi="Times New Roman" w:cs="Times New Roman"/>
          <w:bCs/>
          <w:sz w:val="24"/>
          <w:szCs w:val="24"/>
        </w:rPr>
        <w:t>70.829.188</w:t>
      </w:r>
      <w:r w:rsidR="00AB2EE7" w:rsidRPr="004E5743">
        <w:rPr>
          <w:rFonts w:ascii="Times New Roman" w:hAnsi="Times New Roman" w:cs="Times New Roman"/>
          <w:bCs/>
          <w:sz w:val="24"/>
          <w:szCs w:val="24"/>
        </w:rPr>
        <w:t xml:space="preserve"> kn i razlikuju se od stanja obveza na kraju izvještajnog</w:t>
      </w:r>
      <w:r w:rsidR="00173D4E" w:rsidRPr="004E57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EE7" w:rsidRPr="004E5743">
        <w:rPr>
          <w:rFonts w:ascii="Times New Roman" w:hAnsi="Times New Roman" w:cs="Times New Roman"/>
          <w:bCs/>
          <w:sz w:val="24"/>
          <w:szCs w:val="24"/>
        </w:rPr>
        <w:t xml:space="preserve"> razdoblj</w:t>
      </w:r>
      <w:r w:rsidR="003E5EE9" w:rsidRPr="004E5743">
        <w:rPr>
          <w:rFonts w:ascii="Times New Roman" w:hAnsi="Times New Roman" w:cs="Times New Roman"/>
          <w:bCs/>
          <w:sz w:val="24"/>
          <w:szCs w:val="24"/>
        </w:rPr>
        <w:t>a</w:t>
      </w:r>
      <w:r w:rsidR="00AE37F0" w:rsidRPr="004E5743">
        <w:rPr>
          <w:rFonts w:ascii="Times New Roman" w:hAnsi="Times New Roman" w:cs="Times New Roman"/>
          <w:bCs/>
          <w:sz w:val="24"/>
          <w:szCs w:val="24"/>
        </w:rPr>
        <w:t xml:space="preserve"> iskazanih</w:t>
      </w:r>
      <w:r w:rsidR="003E5EE9" w:rsidRPr="004E5743">
        <w:rPr>
          <w:rFonts w:ascii="Times New Roman" w:hAnsi="Times New Roman" w:cs="Times New Roman"/>
          <w:bCs/>
          <w:sz w:val="24"/>
          <w:szCs w:val="24"/>
        </w:rPr>
        <w:t xml:space="preserve"> o obrascu O</w:t>
      </w:r>
      <w:r w:rsidR="009968CB" w:rsidRPr="004E5743">
        <w:rPr>
          <w:rFonts w:ascii="Times New Roman" w:hAnsi="Times New Roman" w:cs="Times New Roman"/>
          <w:bCs/>
          <w:sz w:val="24"/>
          <w:szCs w:val="24"/>
        </w:rPr>
        <w:t>bveze</w:t>
      </w:r>
      <w:r w:rsidR="003E5EE9" w:rsidRPr="004E5743">
        <w:rPr>
          <w:rFonts w:ascii="Times New Roman" w:hAnsi="Times New Roman" w:cs="Times New Roman"/>
          <w:bCs/>
          <w:sz w:val="24"/>
          <w:szCs w:val="24"/>
        </w:rPr>
        <w:t xml:space="preserve"> (AOP0</w:t>
      </w:r>
      <w:r w:rsidR="00173D4E" w:rsidRPr="004E5743">
        <w:rPr>
          <w:rFonts w:ascii="Times New Roman" w:hAnsi="Times New Roman" w:cs="Times New Roman"/>
          <w:bCs/>
          <w:sz w:val="24"/>
          <w:szCs w:val="24"/>
        </w:rPr>
        <w:t>3</w:t>
      </w:r>
      <w:r w:rsidR="006C5DCE" w:rsidRPr="004E5743">
        <w:rPr>
          <w:rFonts w:ascii="Times New Roman" w:hAnsi="Times New Roman" w:cs="Times New Roman"/>
          <w:bCs/>
          <w:sz w:val="24"/>
          <w:szCs w:val="24"/>
        </w:rPr>
        <w:t>8</w:t>
      </w:r>
      <w:r w:rsidR="003E5EE9" w:rsidRPr="004E5743">
        <w:rPr>
          <w:rFonts w:ascii="Times New Roman" w:hAnsi="Times New Roman" w:cs="Times New Roman"/>
          <w:bCs/>
          <w:sz w:val="24"/>
          <w:szCs w:val="24"/>
        </w:rPr>
        <w:t>) koje iznose</w:t>
      </w:r>
      <w:r w:rsidR="00AB2EE7" w:rsidRPr="004E57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7072" w:rsidRPr="004E5743">
        <w:rPr>
          <w:rFonts w:ascii="Times New Roman" w:hAnsi="Times New Roman" w:cs="Times New Roman"/>
          <w:bCs/>
          <w:sz w:val="24"/>
          <w:szCs w:val="24"/>
        </w:rPr>
        <w:t>61.302.702</w:t>
      </w:r>
      <w:r w:rsidR="00AB2EE7" w:rsidRPr="004E5743">
        <w:rPr>
          <w:rFonts w:ascii="Times New Roman" w:hAnsi="Times New Roman" w:cs="Times New Roman"/>
          <w:bCs/>
          <w:sz w:val="24"/>
          <w:szCs w:val="24"/>
        </w:rPr>
        <w:t xml:space="preserve"> kn. </w:t>
      </w:r>
      <w:r w:rsidR="00E52947" w:rsidRPr="004E5743">
        <w:rPr>
          <w:rFonts w:ascii="Times New Roman" w:hAnsi="Times New Roman" w:cs="Times New Roman"/>
          <w:bCs/>
          <w:sz w:val="24"/>
          <w:szCs w:val="24"/>
        </w:rPr>
        <w:t>R</w:t>
      </w:r>
      <w:r w:rsidR="003E5EE9" w:rsidRPr="004E5743">
        <w:rPr>
          <w:rFonts w:ascii="Times New Roman" w:hAnsi="Times New Roman" w:cs="Times New Roman"/>
          <w:bCs/>
          <w:sz w:val="24"/>
          <w:szCs w:val="24"/>
        </w:rPr>
        <w:t>azlik</w:t>
      </w:r>
      <w:r w:rsidR="00173D4E" w:rsidRPr="004E5743">
        <w:rPr>
          <w:rFonts w:ascii="Times New Roman" w:hAnsi="Times New Roman" w:cs="Times New Roman"/>
          <w:bCs/>
          <w:sz w:val="24"/>
          <w:szCs w:val="24"/>
        </w:rPr>
        <w:t>a</w:t>
      </w:r>
      <w:r w:rsidR="00AB2EE7" w:rsidRPr="004E5743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2C5FDC" w:rsidRPr="004E5743">
        <w:rPr>
          <w:rFonts w:ascii="Times New Roman" w:hAnsi="Times New Roman" w:cs="Times New Roman"/>
          <w:bCs/>
          <w:sz w:val="24"/>
          <w:szCs w:val="24"/>
        </w:rPr>
        <w:t>9.</w:t>
      </w:r>
      <w:r w:rsidR="008B7072" w:rsidRPr="004E5743">
        <w:rPr>
          <w:rFonts w:ascii="Times New Roman" w:hAnsi="Times New Roman" w:cs="Times New Roman"/>
          <w:bCs/>
          <w:sz w:val="24"/>
          <w:szCs w:val="24"/>
        </w:rPr>
        <w:t>526.487 kn</w:t>
      </w:r>
      <w:r w:rsidR="00AB2EE7" w:rsidRPr="004E5743">
        <w:rPr>
          <w:rFonts w:ascii="Times New Roman" w:hAnsi="Times New Roman" w:cs="Times New Roman"/>
          <w:bCs/>
          <w:sz w:val="24"/>
          <w:szCs w:val="24"/>
        </w:rPr>
        <w:t xml:space="preserve"> odnosi se </w:t>
      </w:r>
      <w:r w:rsidR="009968CB" w:rsidRPr="004E5743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3E5EE9" w:rsidRPr="004E5743">
        <w:rPr>
          <w:rFonts w:ascii="Times New Roman" w:hAnsi="Times New Roman" w:cs="Times New Roman"/>
          <w:bCs/>
          <w:sz w:val="24"/>
          <w:szCs w:val="24"/>
        </w:rPr>
        <w:t xml:space="preserve">sveukupno </w:t>
      </w:r>
      <w:r w:rsidR="00293A05" w:rsidRPr="004E5743">
        <w:rPr>
          <w:rFonts w:ascii="Times New Roman" w:hAnsi="Times New Roman" w:cs="Times New Roman"/>
          <w:bCs/>
          <w:sz w:val="24"/>
          <w:szCs w:val="24"/>
        </w:rPr>
        <w:t xml:space="preserve">iskazane </w:t>
      </w:r>
      <w:r w:rsidR="003E5EE9" w:rsidRPr="004E5743">
        <w:rPr>
          <w:rFonts w:ascii="Times New Roman" w:hAnsi="Times New Roman" w:cs="Times New Roman"/>
          <w:bCs/>
          <w:sz w:val="24"/>
          <w:szCs w:val="24"/>
        </w:rPr>
        <w:t xml:space="preserve">obveze za </w:t>
      </w:r>
      <w:r w:rsidR="008331C8">
        <w:rPr>
          <w:rFonts w:ascii="Times New Roman" w:hAnsi="Times New Roman" w:cs="Times New Roman"/>
          <w:bCs/>
          <w:sz w:val="24"/>
          <w:szCs w:val="24"/>
        </w:rPr>
        <w:t xml:space="preserve">nenaplaćenu </w:t>
      </w:r>
      <w:r w:rsidR="003E5EE9" w:rsidRPr="004E5743">
        <w:rPr>
          <w:rFonts w:ascii="Times New Roman" w:hAnsi="Times New Roman" w:cs="Times New Roman"/>
          <w:bCs/>
          <w:sz w:val="24"/>
          <w:szCs w:val="24"/>
        </w:rPr>
        <w:t>naknad</w:t>
      </w:r>
      <w:r w:rsidR="008331C8">
        <w:rPr>
          <w:rFonts w:ascii="Times New Roman" w:hAnsi="Times New Roman" w:cs="Times New Roman"/>
          <w:bCs/>
          <w:sz w:val="24"/>
          <w:szCs w:val="24"/>
        </w:rPr>
        <w:t>u</w:t>
      </w:r>
      <w:r w:rsidR="003E5EE9" w:rsidRPr="004E5743">
        <w:rPr>
          <w:rFonts w:ascii="Times New Roman" w:hAnsi="Times New Roman" w:cs="Times New Roman"/>
          <w:bCs/>
          <w:sz w:val="24"/>
          <w:szCs w:val="24"/>
        </w:rPr>
        <w:t xml:space="preserve"> za ure</w:t>
      </w:r>
      <w:r w:rsidR="0064474D" w:rsidRPr="004E5743">
        <w:rPr>
          <w:rFonts w:ascii="Times New Roman" w:hAnsi="Times New Roman" w:cs="Times New Roman"/>
          <w:bCs/>
          <w:sz w:val="24"/>
          <w:szCs w:val="24"/>
        </w:rPr>
        <w:t>đenje voda za stambene prostore i</w:t>
      </w:r>
      <w:r w:rsidR="003E5EE9" w:rsidRPr="004E5743">
        <w:rPr>
          <w:rFonts w:ascii="Times New Roman" w:hAnsi="Times New Roman" w:cs="Times New Roman"/>
          <w:bCs/>
          <w:sz w:val="24"/>
          <w:szCs w:val="24"/>
        </w:rPr>
        <w:t xml:space="preserve"> pos</w:t>
      </w:r>
      <w:r w:rsidR="00AE37F0" w:rsidRPr="004E5743">
        <w:rPr>
          <w:rFonts w:ascii="Times New Roman" w:hAnsi="Times New Roman" w:cs="Times New Roman"/>
          <w:bCs/>
          <w:sz w:val="24"/>
          <w:szCs w:val="24"/>
        </w:rPr>
        <w:t>lovne prostore</w:t>
      </w:r>
      <w:r w:rsidR="008B7072" w:rsidRPr="004E5743">
        <w:rPr>
          <w:rFonts w:ascii="Times New Roman" w:hAnsi="Times New Roman" w:cs="Times New Roman"/>
          <w:bCs/>
          <w:sz w:val="24"/>
          <w:szCs w:val="24"/>
        </w:rPr>
        <w:t xml:space="preserve"> (veza - bilješka br.</w:t>
      </w:r>
      <w:r w:rsidR="006A7B17">
        <w:rPr>
          <w:rFonts w:ascii="Times New Roman" w:hAnsi="Times New Roman" w:cs="Times New Roman"/>
          <w:bCs/>
          <w:sz w:val="24"/>
          <w:szCs w:val="24"/>
        </w:rPr>
        <w:t>74</w:t>
      </w:r>
      <w:r w:rsidR="008B7072" w:rsidRPr="004E5743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881FFBD" w14:textId="183A8568" w:rsidR="00D32A1F" w:rsidRPr="004E5743" w:rsidRDefault="00D32A1F" w:rsidP="004E57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519EDC" w14:textId="2A9D3F83" w:rsidR="000E2AFC" w:rsidRPr="004E5743" w:rsidRDefault="000E2AFC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4E5743">
        <w:rPr>
          <w:rFonts w:ascii="Times New Roman" w:hAnsi="Times New Roman" w:cs="Times New Roman"/>
          <w:b/>
        </w:rPr>
        <w:t xml:space="preserve">BILJEŠKA br. </w:t>
      </w:r>
      <w:r w:rsidR="00D72BB2" w:rsidRPr="004E5743">
        <w:rPr>
          <w:rFonts w:ascii="Times New Roman" w:hAnsi="Times New Roman" w:cs="Times New Roman"/>
          <w:b/>
        </w:rPr>
        <w:t>9</w:t>
      </w:r>
      <w:r w:rsidRPr="004E5743">
        <w:rPr>
          <w:rFonts w:ascii="Times New Roman" w:hAnsi="Times New Roman" w:cs="Times New Roman"/>
          <w:b/>
        </w:rPr>
        <w:t>1</w:t>
      </w:r>
    </w:p>
    <w:p w14:paraId="06488661" w14:textId="5D2874BD" w:rsidR="000E2AFC" w:rsidRPr="004E5743" w:rsidRDefault="000E2AFC" w:rsidP="004E57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743">
        <w:rPr>
          <w:rFonts w:ascii="Times New Roman" w:hAnsi="Times New Roman" w:cs="Times New Roman"/>
          <w:sz w:val="24"/>
          <w:szCs w:val="24"/>
        </w:rPr>
        <w:t xml:space="preserve">Obveza za kamate na primljene kredite i zajmove (AOP176) - iznose 61.172 kn i </w:t>
      </w:r>
      <w:r w:rsidR="005B0180" w:rsidRPr="004E5743">
        <w:rPr>
          <w:rFonts w:ascii="Times New Roman" w:hAnsi="Times New Roman" w:cs="Times New Roman"/>
          <w:sz w:val="24"/>
          <w:szCs w:val="24"/>
        </w:rPr>
        <w:t xml:space="preserve">bilježe veće </w:t>
      </w:r>
      <w:r w:rsidRPr="004E5743">
        <w:rPr>
          <w:rFonts w:ascii="Times New Roman" w:hAnsi="Times New Roman" w:cs="Times New Roman"/>
          <w:sz w:val="24"/>
          <w:szCs w:val="24"/>
        </w:rPr>
        <w:t>smanjen</w:t>
      </w:r>
      <w:r w:rsidR="005B0180" w:rsidRPr="004E5743">
        <w:rPr>
          <w:rFonts w:ascii="Times New Roman" w:hAnsi="Times New Roman" w:cs="Times New Roman"/>
          <w:sz w:val="24"/>
          <w:szCs w:val="24"/>
        </w:rPr>
        <w:t>j</w:t>
      </w:r>
      <w:r w:rsidRPr="004E5743">
        <w:rPr>
          <w:rFonts w:ascii="Times New Roman" w:hAnsi="Times New Roman" w:cs="Times New Roman"/>
          <w:sz w:val="24"/>
          <w:szCs w:val="24"/>
        </w:rPr>
        <w:t>e</w:t>
      </w:r>
      <w:r w:rsidR="005B0180" w:rsidRPr="004E5743">
        <w:rPr>
          <w:rFonts w:ascii="Times New Roman" w:hAnsi="Times New Roman" w:cs="Times New Roman"/>
          <w:sz w:val="24"/>
          <w:szCs w:val="24"/>
        </w:rPr>
        <w:t>,</w:t>
      </w:r>
      <w:r w:rsidRPr="004E5743">
        <w:rPr>
          <w:rFonts w:ascii="Times New Roman" w:hAnsi="Times New Roman" w:cs="Times New Roman"/>
          <w:sz w:val="24"/>
          <w:szCs w:val="24"/>
        </w:rPr>
        <w:t xml:space="preserve"> za 23,6%</w:t>
      </w:r>
      <w:r w:rsidR="005B0180" w:rsidRPr="004E5743">
        <w:rPr>
          <w:rFonts w:ascii="Times New Roman" w:hAnsi="Times New Roman" w:cs="Times New Roman"/>
          <w:sz w:val="24"/>
          <w:szCs w:val="24"/>
        </w:rPr>
        <w:t>,</w:t>
      </w:r>
      <w:r w:rsidRPr="004E5743">
        <w:rPr>
          <w:rFonts w:ascii="Times New Roman" w:hAnsi="Times New Roman" w:cs="Times New Roman"/>
          <w:sz w:val="24"/>
          <w:szCs w:val="24"/>
        </w:rPr>
        <w:t xml:space="preserve"> iz razloga što je tijekom 2021. godine došlo do smanjenja kamatnih stopa za </w:t>
      </w:r>
      <w:r w:rsidR="00A806EF">
        <w:rPr>
          <w:rFonts w:ascii="Times New Roman" w:hAnsi="Times New Roman" w:cs="Times New Roman"/>
          <w:sz w:val="24"/>
          <w:szCs w:val="24"/>
        </w:rPr>
        <w:t>oba</w:t>
      </w:r>
      <w:r w:rsidRPr="004E5743">
        <w:rPr>
          <w:rFonts w:ascii="Times New Roman" w:hAnsi="Times New Roman" w:cs="Times New Roman"/>
          <w:sz w:val="24"/>
          <w:szCs w:val="24"/>
        </w:rPr>
        <w:t xml:space="preserve"> kredita.</w:t>
      </w:r>
    </w:p>
    <w:p w14:paraId="7249B7BA" w14:textId="77777777" w:rsidR="000E2AFC" w:rsidRPr="004E5743" w:rsidRDefault="000E2AFC" w:rsidP="004E57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5DC8B" w14:textId="53F4ECDA" w:rsidR="00836C99" w:rsidRPr="004E5743" w:rsidRDefault="00836C99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4E5743">
        <w:rPr>
          <w:rFonts w:ascii="Times New Roman" w:hAnsi="Times New Roman" w:cs="Times New Roman"/>
          <w:b/>
        </w:rPr>
        <w:t xml:space="preserve">BILJEŠKA br. </w:t>
      </w:r>
      <w:r w:rsidR="00D72BB2" w:rsidRPr="004E5743">
        <w:rPr>
          <w:rFonts w:ascii="Times New Roman" w:hAnsi="Times New Roman" w:cs="Times New Roman"/>
          <w:b/>
        </w:rPr>
        <w:t>9</w:t>
      </w:r>
      <w:r w:rsidR="000E2AFC" w:rsidRPr="004E5743">
        <w:rPr>
          <w:rFonts w:ascii="Times New Roman" w:hAnsi="Times New Roman" w:cs="Times New Roman"/>
          <w:b/>
        </w:rPr>
        <w:t>2</w:t>
      </w:r>
    </w:p>
    <w:p w14:paraId="498BD0DE" w14:textId="35B85319" w:rsidR="00BC3DE2" w:rsidRPr="004E5743" w:rsidRDefault="00BC3DE2" w:rsidP="004E574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E5743">
        <w:rPr>
          <w:rFonts w:ascii="Times New Roman" w:hAnsi="Times New Roman" w:cs="Times New Roman"/>
          <w:bCs/>
          <w:sz w:val="24"/>
          <w:szCs w:val="24"/>
        </w:rPr>
        <w:t>Obveze za ostale financijske rashode (AOP17</w:t>
      </w:r>
      <w:r w:rsidR="008B7072" w:rsidRPr="004E5743">
        <w:rPr>
          <w:rFonts w:ascii="Times New Roman" w:hAnsi="Times New Roman" w:cs="Times New Roman"/>
          <w:bCs/>
          <w:sz w:val="24"/>
          <w:szCs w:val="24"/>
        </w:rPr>
        <w:t>7</w:t>
      </w:r>
      <w:r w:rsidRPr="004E574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4E5743">
        <w:rPr>
          <w:rFonts w:ascii="Times New Roman" w:hAnsi="Times New Roman" w:cs="Times New Roman"/>
          <w:sz w:val="24"/>
          <w:szCs w:val="24"/>
        </w:rPr>
        <w:t xml:space="preserve">- iznose </w:t>
      </w:r>
      <w:r w:rsidR="008B7072" w:rsidRPr="004E5743">
        <w:rPr>
          <w:rFonts w:ascii="Times New Roman" w:hAnsi="Times New Roman" w:cs="Times New Roman"/>
          <w:sz w:val="24"/>
          <w:szCs w:val="24"/>
        </w:rPr>
        <w:t>46.666</w:t>
      </w:r>
      <w:r w:rsidRPr="004E5743">
        <w:rPr>
          <w:rFonts w:ascii="Times New Roman" w:hAnsi="Times New Roman" w:cs="Times New Roman"/>
          <w:sz w:val="24"/>
          <w:szCs w:val="24"/>
        </w:rPr>
        <w:t xml:space="preserve"> kn i </w:t>
      </w:r>
      <w:r w:rsidR="008B7072" w:rsidRPr="004E5743">
        <w:rPr>
          <w:rFonts w:ascii="Times New Roman" w:hAnsi="Times New Roman" w:cs="Times New Roman"/>
          <w:sz w:val="24"/>
          <w:szCs w:val="24"/>
        </w:rPr>
        <w:t>smanjenje</w:t>
      </w:r>
      <w:r w:rsidRPr="004E5743">
        <w:rPr>
          <w:rFonts w:ascii="Times New Roman" w:hAnsi="Times New Roman" w:cs="Times New Roman"/>
          <w:sz w:val="24"/>
          <w:szCs w:val="24"/>
        </w:rPr>
        <w:t xml:space="preserve"> </w:t>
      </w:r>
      <w:r w:rsidR="00C42BB5" w:rsidRPr="004E5743">
        <w:rPr>
          <w:rFonts w:ascii="Times New Roman" w:hAnsi="Times New Roman" w:cs="Times New Roman"/>
          <w:sz w:val="24"/>
          <w:szCs w:val="24"/>
        </w:rPr>
        <w:t>je evidentiran</w:t>
      </w:r>
      <w:r w:rsidR="008B7072" w:rsidRPr="004E5743">
        <w:rPr>
          <w:rFonts w:ascii="Times New Roman" w:hAnsi="Times New Roman" w:cs="Times New Roman"/>
          <w:sz w:val="24"/>
          <w:szCs w:val="24"/>
        </w:rPr>
        <w:t>o za 94,6% iz razloga što s</w:t>
      </w:r>
      <w:r w:rsidR="008C6944" w:rsidRPr="004E5743">
        <w:rPr>
          <w:rFonts w:ascii="Times New Roman" w:hAnsi="Times New Roman" w:cs="Times New Roman"/>
          <w:sz w:val="24"/>
          <w:szCs w:val="24"/>
        </w:rPr>
        <w:t>u</w:t>
      </w:r>
      <w:r w:rsidR="008B7072" w:rsidRPr="004E5743">
        <w:rPr>
          <w:rFonts w:ascii="Times New Roman" w:hAnsi="Times New Roman" w:cs="Times New Roman"/>
          <w:sz w:val="24"/>
          <w:szCs w:val="24"/>
        </w:rPr>
        <w:t xml:space="preserve"> u 2020. godini</w:t>
      </w:r>
      <w:r w:rsidR="00C42BB5" w:rsidRPr="004E5743">
        <w:rPr>
          <w:rFonts w:ascii="Times New Roman" w:hAnsi="Times New Roman" w:cs="Times New Roman"/>
          <w:sz w:val="24"/>
          <w:szCs w:val="24"/>
        </w:rPr>
        <w:t xml:space="preserve"> </w:t>
      </w:r>
      <w:r w:rsidR="008C6944" w:rsidRPr="004E5743">
        <w:rPr>
          <w:rFonts w:ascii="Times New Roman" w:hAnsi="Times New Roman" w:cs="Times New Roman"/>
          <w:sz w:val="24"/>
          <w:szCs w:val="24"/>
        </w:rPr>
        <w:t>bile zadužene</w:t>
      </w:r>
      <w:r w:rsidR="00C42BB5" w:rsidRPr="004E5743">
        <w:rPr>
          <w:rFonts w:ascii="Times New Roman" w:hAnsi="Times New Roman" w:cs="Times New Roman"/>
          <w:sz w:val="24"/>
          <w:szCs w:val="24"/>
        </w:rPr>
        <w:t xml:space="preserve"> </w:t>
      </w:r>
      <w:r w:rsidRPr="004E5743">
        <w:rPr>
          <w:rFonts w:ascii="Times New Roman" w:hAnsi="Times New Roman" w:cs="Times New Roman"/>
          <w:sz w:val="24"/>
          <w:szCs w:val="24"/>
        </w:rPr>
        <w:t>zatezn</w:t>
      </w:r>
      <w:r w:rsidR="008C6944" w:rsidRPr="004E5743">
        <w:rPr>
          <w:rFonts w:ascii="Times New Roman" w:hAnsi="Times New Roman" w:cs="Times New Roman"/>
          <w:sz w:val="24"/>
          <w:szCs w:val="24"/>
        </w:rPr>
        <w:t>e</w:t>
      </w:r>
      <w:r w:rsidRPr="004E5743">
        <w:rPr>
          <w:rFonts w:ascii="Times New Roman" w:hAnsi="Times New Roman" w:cs="Times New Roman"/>
          <w:sz w:val="24"/>
          <w:szCs w:val="24"/>
        </w:rPr>
        <w:t xml:space="preserve"> kamat</w:t>
      </w:r>
      <w:r w:rsidR="005B0180" w:rsidRPr="004E5743">
        <w:rPr>
          <w:rFonts w:ascii="Times New Roman" w:hAnsi="Times New Roman" w:cs="Times New Roman"/>
          <w:sz w:val="24"/>
          <w:szCs w:val="24"/>
        </w:rPr>
        <w:t>e</w:t>
      </w:r>
      <w:r w:rsidRPr="004E5743">
        <w:rPr>
          <w:rFonts w:ascii="Times New Roman" w:hAnsi="Times New Roman" w:cs="Times New Roman"/>
          <w:sz w:val="24"/>
          <w:szCs w:val="24"/>
        </w:rPr>
        <w:t xml:space="preserve"> sukladno </w:t>
      </w:r>
      <w:r w:rsidRPr="004E5743">
        <w:rPr>
          <w:rFonts w:ascii="Times New Roman" w:hAnsi="Times New Roman" w:cs="Times New Roman"/>
          <w:noProof/>
          <w:sz w:val="24"/>
          <w:szCs w:val="24"/>
        </w:rPr>
        <w:t>presudi za uređenje nogostupa ispred Arene</w:t>
      </w:r>
      <w:r w:rsidR="008C6944" w:rsidRPr="004E5743">
        <w:rPr>
          <w:rFonts w:ascii="Times New Roman" w:hAnsi="Times New Roman" w:cs="Times New Roman"/>
          <w:noProof/>
          <w:sz w:val="24"/>
          <w:szCs w:val="24"/>
        </w:rPr>
        <w:t xml:space="preserve"> koje su podmirene</w:t>
      </w:r>
      <w:r w:rsidR="00C45CCD">
        <w:rPr>
          <w:rFonts w:ascii="Times New Roman" w:hAnsi="Times New Roman" w:cs="Times New Roman"/>
          <w:noProof/>
          <w:sz w:val="24"/>
          <w:szCs w:val="24"/>
        </w:rPr>
        <w:t xml:space="preserve"> u siječnju 2021. godine</w:t>
      </w:r>
      <w:r w:rsidR="008C6944" w:rsidRPr="004E574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9C9B693" w14:textId="77777777" w:rsidR="005B0180" w:rsidRPr="004E5743" w:rsidRDefault="005B0180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0963D6C7" w14:textId="0D82CC15" w:rsidR="005B0180" w:rsidRPr="004E5743" w:rsidRDefault="005B0180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4E5743">
        <w:rPr>
          <w:rFonts w:ascii="Times New Roman" w:hAnsi="Times New Roman" w:cs="Times New Roman"/>
          <w:b/>
        </w:rPr>
        <w:t xml:space="preserve">BILJEŠKA br. </w:t>
      </w:r>
      <w:r w:rsidR="00D72BB2" w:rsidRPr="004E5743">
        <w:rPr>
          <w:rFonts w:ascii="Times New Roman" w:hAnsi="Times New Roman" w:cs="Times New Roman"/>
          <w:b/>
        </w:rPr>
        <w:t>9</w:t>
      </w:r>
      <w:r w:rsidRPr="004E5743">
        <w:rPr>
          <w:rFonts w:ascii="Times New Roman" w:hAnsi="Times New Roman" w:cs="Times New Roman"/>
          <w:b/>
        </w:rPr>
        <w:t>3</w:t>
      </w:r>
    </w:p>
    <w:p w14:paraId="457EBBE1" w14:textId="0E6930B0" w:rsidR="005B0180" w:rsidRPr="004E5743" w:rsidRDefault="005B0180" w:rsidP="004E57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743">
        <w:rPr>
          <w:rFonts w:ascii="Times New Roman" w:hAnsi="Times New Roman" w:cs="Times New Roman"/>
          <w:noProof/>
          <w:sz w:val="24"/>
          <w:szCs w:val="24"/>
        </w:rPr>
        <w:t xml:space="preserve">Obveze za subvencije (AOP178) </w:t>
      </w:r>
      <w:r w:rsidR="00B71B43" w:rsidRPr="004E5743">
        <w:rPr>
          <w:rFonts w:ascii="Times New Roman" w:hAnsi="Times New Roman" w:cs="Times New Roman"/>
          <w:noProof/>
          <w:sz w:val="24"/>
          <w:szCs w:val="24"/>
        </w:rPr>
        <w:t>-</w:t>
      </w:r>
      <w:r w:rsidRPr="004E5743">
        <w:rPr>
          <w:rFonts w:ascii="Times New Roman" w:hAnsi="Times New Roman" w:cs="Times New Roman"/>
          <w:noProof/>
          <w:sz w:val="24"/>
          <w:szCs w:val="24"/>
        </w:rPr>
        <w:t xml:space="preserve"> iznose 83.128 kn i za 888,3% su veće zbog</w:t>
      </w:r>
      <w:r w:rsidR="00B71B43" w:rsidRPr="004E5743">
        <w:rPr>
          <w:rFonts w:ascii="Times New Roman" w:hAnsi="Times New Roman" w:cs="Times New Roman"/>
          <w:noProof/>
          <w:sz w:val="24"/>
          <w:szCs w:val="24"/>
        </w:rPr>
        <w:t xml:space="preserve"> nepodmirenih obračuna subvencioniran</w:t>
      </w:r>
      <w:r w:rsidR="00A806EF">
        <w:rPr>
          <w:rFonts w:ascii="Times New Roman" w:hAnsi="Times New Roman" w:cs="Times New Roman"/>
          <w:noProof/>
          <w:sz w:val="24"/>
          <w:szCs w:val="24"/>
        </w:rPr>
        <w:t>ih</w:t>
      </w:r>
      <w:r w:rsidR="00B71B43" w:rsidRPr="004E5743">
        <w:rPr>
          <w:rFonts w:ascii="Times New Roman" w:hAnsi="Times New Roman" w:cs="Times New Roman"/>
          <w:noProof/>
          <w:sz w:val="24"/>
          <w:szCs w:val="24"/>
        </w:rPr>
        <w:t xml:space="preserve"> kamat</w:t>
      </w:r>
      <w:r w:rsidR="00A806EF">
        <w:rPr>
          <w:rFonts w:ascii="Times New Roman" w:hAnsi="Times New Roman" w:cs="Times New Roman"/>
          <w:noProof/>
          <w:sz w:val="24"/>
          <w:szCs w:val="24"/>
        </w:rPr>
        <w:t>a</w:t>
      </w:r>
      <w:r w:rsidR="00B71B43" w:rsidRPr="004E5743">
        <w:rPr>
          <w:rFonts w:ascii="Times New Roman" w:hAnsi="Times New Roman" w:cs="Times New Roman"/>
          <w:bCs/>
          <w:sz w:val="24"/>
          <w:szCs w:val="24"/>
        </w:rPr>
        <w:t xml:space="preserve"> trgovačkim društvima izvan javnog sektora te poljoprivrednicima i obrtnicima za period od listopada do prosinca 2021. godine, a koje su podmirene u siječnju 2022. godine.</w:t>
      </w:r>
    </w:p>
    <w:p w14:paraId="26BC11A1" w14:textId="17FD25D5" w:rsidR="00B71B43" w:rsidRPr="004E5743" w:rsidRDefault="00B71B43" w:rsidP="004E57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5DCE89" w14:textId="2CCF4208" w:rsidR="00836C99" w:rsidRPr="004E5743" w:rsidRDefault="00836C99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4E5743">
        <w:rPr>
          <w:rFonts w:ascii="Times New Roman" w:hAnsi="Times New Roman" w:cs="Times New Roman"/>
          <w:b/>
        </w:rPr>
        <w:t xml:space="preserve">BILJEŠKA br. </w:t>
      </w:r>
      <w:r w:rsidR="00D72BB2" w:rsidRPr="004E5743">
        <w:rPr>
          <w:rFonts w:ascii="Times New Roman" w:hAnsi="Times New Roman" w:cs="Times New Roman"/>
          <w:b/>
        </w:rPr>
        <w:t>9</w:t>
      </w:r>
      <w:r w:rsidR="00B71B43" w:rsidRPr="004E5743">
        <w:rPr>
          <w:rFonts w:ascii="Times New Roman" w:hAnsi="Times New Roman" w:cs="Times New Roman"/>
          <w:b/>
        </w:rPr>
        <w:t>4</w:t>
      </w:r>
    </w:p>
    <w:p w14:paraId="65A0283A" w14:textId="79F0C5C8" w:rsidR="00F411C4" w:rsidRPr="004E5743" w:rsidRDefault="00F411C4" w:rsidP="004E5743">
      <w:pPr>
        <w:pStyle w:val="ListParagraph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743">
        <w:rPr>
          <w:rFonts w:ascii="Times New Roman" w:hAnsi="Times New Roman" w:cs="Times New Roman"/>
          <w:sz w:val="24"/>
          <w:szCs w:val="24"/>
        </w:rPr>
        <w:t>Ostale tekuće obveze (AOP1</w:t>
      </w:r>
      <w:r w:rsidR="00417594" w:rsidRPr="004E5743">
        <w:rPr>
          <w:rFonts w:ascii="Times New Roman" w:hAnsi="Times New Roman" w:cs="Times New Roman"/>
          <w:sz w:val="24"/>
          <w:szCs w:val="24"/>
        </w:rPr>
        <w:t>82</w:t>
      </w:r>
      <w:r w:rsidRPr="004E5743">
        <w:rPr>
          <w:rFonts w:ascii="Times New Roman" w:hAnsi="Times New Roman" w:cs="Times New Roman"/>
          <w:sz w:val="24"/>
          <w:szCs w:val="24"/>
        </w:rPr>
        <w:t xml:space="preserve">) </w:t>
      </w:r>
      <w:r w:rsidR="003A7E83" w:rsidRPr="004E5743">
        <w:rPr>
          <w:rFonts w:ascii="Times New Roman" w:hAnsi="Times New Roman" w:cs="Times New Roman"/>
          <w:sz w:val="24"/>
          <w:szCs w:val="24"/>
        </w:rPr>
        <w:t>-</w:t>
      </w:r>
      <w:r w:rsidR="00BD72B4" w:rsidRPr="004E5743">
        <w:rPr>
          <w:rFonts w:ascii="Times New Roman" w:hAnsi="Times New Roman" w:cs="Times New Roman"/>
          <w:sz w:val="24"/>
          <w:szCs w:val="24"/>
        </w:rPr>
        <w:t xml:space="preserve"> </w:t>
      </w:r>
      <w:r w:rsidRPr="004E5743">
        <w:rPr>
          <w:rFonts w:ascii="Times New Roman" w:hAnsi="Times New Roman" w:cs="Times New Roman"/>
          <w:sz w:val="24"/>
          <w:szCs w:val="24"/>
        </w:rPr>
        <w:t xml:space="preserve">iznose </w:t>
      </w:r>
      <w:r w:rsidR="00417594" w:rsidRPr="004E5743">
        <w:rPr>
          <w:rFonts w:ascii="Times New Roman" w:hAnsi="Times New Roman" w:cs="Times New Roman"/>
          <w:sz w:val="24"/>
          <w:szCs w:val="24"/>
        </w:rPr>
        <w:t>14.195.136</w:t>
      </w:r>
      <w:r w:rsidR="00836C99" w:rsidRPr="004E5743">
        <w:rPr>
          <w:rFonts w:ascii="Times New Roman" w:hAnsi="Times New Roman" w:cs="Times New Roman"/>
          <w:sz w:val="24"/>
          <w:szCs w:val="24"/>
        </w:rPr>
        <w:t xml:space="preserve"> kn, </w:t>
      </w:r>
      <w:r w:rsidRPr="004E5743">
        <w:rPr>
          <w:rFonts w:ascii="Times New Roman" w:hAnsi="Times New Roman" w:cs="Times New Roman"/>
          <w:sz w:val="24"/>
          <w:szCs w:val="24"/>
        </w:rPr>
        <w:t>a čine ih obveze za porez na dodanu vrijednost</w:t>
      </w:r>
      <w:r w:rsidR="00883357" w:rsidRPr="004E5743">
        <w:rPr>
          <w:rFonts w:ascii="Times New Roman" w:hAnsi="Times New Roman" w:cs="Times New Roman"/>
          <w:sz w:val="24"/>
          <w:szCs w:val="24"/>
        </w:rPr>
        <w:t xml:space="preserve"> za prosinac </w:t>
      </w:r>
      <w:r w:rsidR="003C20C6" w:rsidRPr="004E5743">
        <w:rPr>
          <w:rFonts w:ascii="Times New Roman" w:hAnsi="Times New Roman" w:cs="Times New Roman"/>
          <w:sz w:val="24"/>
          <w:szCs w:val="24"/>
        </w:rPr>
        <w:t>2019.</w:t>
      </w:r>
      <w:r w:rsidR="00883357" w:rsidRPr="004E5743">
        <w:rPr>
          <w:rFonts w:ascii="Times New Roman" w:hAnsi="Times New Roman" w:cs="Times New Roman"/>
          <w:sz w:val="24"/>
          <w:szCs w:val="24"/>
        </w:rPr>
        <w:t xml:space="preserve"> godine</w:t>
      </w:r>
      <w:r w:rsidRPr="004E5743">
        <w:rPr>
          <w:rFonts w:ascii="Times New Roman" w:hAnsi="Times New Roman" w:cs="Times New Roman"/>
          <w:sz w:val="24"/>
          <w:szCs w:val="24"/>
        </w:rPr>
        <w:t xml:space="preserve">, obveze za jamčevine, obveze za uplatu 55% sredstava od prodaje stanova u državni proračun temeljem obračuna za prosinac </w:t>
      </w:r>
      <w:r w:rsidR="003C20C6" w:rsidRPr="004E5743">
        <w:rPr>
          <w:rFonts w:ascii="Times New Roman" w:hAnsi="Times New Roman" w:cs="Times New Roman"/>
          <w:sz w:val="24"/>
          <w:szCs w:val="24"/>
        </w:rPr>
        <w:t>20</w:t>
      </w:r>
      <w:r w:rsidR="00417594" w:rsidRPr="004E5743">
        <w:rPr>
          <w:rFonts w:ascii="Times New Roman" w:hAnsi="Times New Roman" w:cs="Times New Roman"/>
          <w:sz w:val="24"/>
          <w:szCs w:val="24"/>
        </w:rPr>
        <w:t>20</w:t>
      </w:r>
      <w:r w:rsidR="003C20C6" w:rsidRPr="004E5743">
        <w:rPr>
          <w:rFonts w:ascii="Times New Roman" w:hAnsi="Times New Roman" w:cs="Times New Roman"/>
          <w:sz w:val="24"/>
          <w:szCs w:val="24"/>
        </w:rPr>
        <w:t>.</w:t>
      </w:r>
      <w:r w:rsidRPr="004E5743">
        <w:rPr>
          <w:rFonts w:ascii="Times New Roman" w:hAnsi="Times New Roman" w:cs="Times New Roman"/>
          <w:sz w:val="24"/>
          <w:szCs w:val="24"/>
        </w:rPr>
        <w:t xml:space="preserve"> godine, povrate u državni proračun za neutrošena decentralizirana sredstva</w:t>
      </w:r>
      <w:r w:rsidR="00BD72B4" w:rsidRPr="004E5743">
        <w:rPr>
          <w:rFonts w:ascii="Times New Roman" w:hAnsi="Times New Roman" w:cs="Times New Roman"/>
          <w:sz w:val="24"/>
          <w:szCs w:val="24"/>
        </w:rPr>
        <w:t xml:space="preserve"> do </w:t>
      </w:r>
      <w:r w:rsidR="00417594" w:rsidRPr="004E5743">
        <w:rPr>
          <w:rFonts w:ascii="Times New Roman" w:hAnsi="Times New Roman" w:cs="Times New Roman"/>
          <w:sz w:val="24"/>
          <w:szCs w:val="24"/>
        </w:rPr>
        <w:t>konca</w:t>
      </w:r>
      <w:r w:rsidR="00BD72B4" w:rsidRPr="004E5743">
        <w:rPr>
          <w:rFonts w:ascii="Times New Roman" w:hAnsi="Times New Roman" w:cs="Times New Roman"/>
          <w:sz w:val="24"/>
          <w:szCs w:val="24"/>
        </w:rPr>
        <w:t xml:space="preserve"> godine</w:t>
      </w:r>
      <w:r w:rsidRPr="004E5743">
        <w:rPr>
          <w:rFonts w:ascii="Times New Roman" w:hAnsi="Times New Roman" w:cs="Times New Roman"/>
          <w:sz w:val="24"/>
          <w:szCs w:val="24"/>
        </w:rPr>
        <w:t xml:space="preserve">, </w:t>
      </w:r>
      <w:r w:rsidR="00BD72B4" w:rsidRPr="004E5743">
        <w:rPr>
          <w:rFonts w:ascii="Times New Roman" w:hAnsi="Times New Roman" w:cs="Times New Roman"/>
          <w:sz w:val="24"/>
          <w:szCs w:val="24"/>
        </w:rPr>
        <w:t xml:space="preserve">obveze za naplaćene tuđe prihode, naknada za uređenje voda, </w:t>
      </w:r>
      <w:r w:rsidRPr="004E5743">
        <w:rPr>
          <w:rFonts w:ascii="Times New Roman" w:hAnsi="Times New Roman" w:cs="Times New Roman"/>
          <w:sz w:val="24"/>
          <w:szCs w:val="24"/>
        </w:rPr>
        <w:t>obveze za EU predujmove te za</w:t>
      </w:r>
      <w:r w:rsidRPr="004E5743">
        <w:rPr>
          <w:rFonts w:ascii="Times New Roman" w:hAnsi="Times New Roman" w:cs="Times New Roman"/>
          <w:bCs/>
          <w:sz w:val="24"/>
          <w:szCs w:val="24"/>
        </w:rPr>
        <w:t xml:space="preserve"> neutrošene prihode proračunskih korisnika.</w:t>
      </w:r>
    </w:p>
    <w:p w14:paraId="4C3418FA" w14:textId="77777777" w:rsidR="00EB2FC4" w:rsidRPr="004E5743" w:rsidRDefault="009968CB" w:rsidP="004E5743">
      <w:pPr>
        <w:pStyle w:val="Style20"/>
        <w:widowControl/>
        <w:tabs>
          <w:tab w:val="left" w:pos="851"/>
        </w:tabs>
        <w:spacing w:line="276" w:lineRule="auto"/>
        <w:rPr>
          <w:rStyle w:val="FontStyle24"/>
          <w:spacing w:val="0"/>
        </w:rPr>
      </w:pPr>
      <w:r w:rsidRPr="004E5743">
        <w:rPr>
          <w:rStyle w:val="FontStyle24"/>
          <w:spacing w:val="0"/>
        </w:rPr>
        <w:t>Naknada za uređenje voda prihod je Hrvatskih voda,</w:t>
      </w:r>
      <w:r w:rsidRPr="004E5743">
        <w:rPr>
          <w:rFonts w:ascii="Times New Roman" w:hAnsi="Times New Roman" w:cs="Times New Roman"/>
        </w:rPr>
        <w:t xml:space="preserve"> dok z</w:t>
      </w:r>
      <w:r w:rsidRPr="004E5743">
        <w:rPr>
          <w:rStyle w:val="FontStyle24"/>
          <w:spacing w:val="0"/>
        </w:rPr>
        <w:t xml:space="preserve">a poslove koje obavlja u ime Hrvatskih </w:t>
      </w:r>
      <w:r w:rsidR="0064474D" w:rsidRPr="004E5743">
        <w:rPr>
          <w:rStyle w:val="FontStyle24"/>
          <w:spacing w:val="0"/>
        </w:rPr>
        <w:t>voda, Gradu pripada naknada od 10</w:t>
      </w:r>
      <w:r w:rsidRPr="004E5743">
        <w:rPr>
          <w:rStyle w:val="FontStyle24"/>
          <w:spacing w:val="0"/>
        </w:rPr>
        <w:t xml:space="preserve">% na iznos Hrvatskim vodama uplaćene naknade za uređenje voda. </w:t>
      </w:r>
    </w:p>
    <w:p w14:paraId="05AF1BD8" w14:textId="77777777" w:rsidR="00F411C4" w:rsidRPr="004E5743" w:rsidRDefault="009968CB" w:rsidP="004E5743">
      <w:pPr>
        <w:pStyle w:val="Style20"/>
        <w:widowControl/>
        <w:tabs>
          <w:tab w:val="left" w:pos="851"/>
        </w:tabs>
        <w:spacing w:line="276" w:lineRule="auto"/>
        <w:rPr>
          <w:rStyle w:val="FontStyle24"/>
          <w:spacing w:val="0"/>
        </w:rPr>
      </w:pPr>
      <w:r w:rsidRPr="004E5743">
        <w:rPr>
          <w:rStyle w:val="FontStyle24"/>
          <w:spacing w:val="0"/>
        </w:rPr>
        <w:t>Jedinica lokalne samouprave doznačuje naplaćene iznose naknade za uređenje voda na uplatne račune Hrvatskih voda.</w:t>
      </w:r>
      <w:r w:rsidR="00BD72B4" w:rsidRPr="004E5743">
        <w:rPr>
          <w:rStyle w:val="FontStyle24"/>
          <w:spacing w:val="0"/>
        </w:rPr>
        <w:t xml:space="preserve"> </w:t>
      </w:r>
      <w:r w:rsidRPr="004E5743">
        <w:rPr>
          <w:rStyle w:val="FontStyle24"/>
          <w:spacing w:val="0"/>
        </w:rPr>
        <w:t>Jedinica lokalne samouprave naplaćuje naknadu za uređenje voda putem uplatnica za komunalnu naknadu, uz koje zasebno iskazuje iznos, obračunske elemente i način obračuna naknade za uređenje voda.</w:t>
      </w:r>
    </w:p>
    <w:p w14:paraId="7F68C1D5" w14:textId="77777777" w:rsidR="00417594" w:rsidRPr="004E5743" w:rsidRDefault="00417594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15139DF8" w14:textId="0815E5DF" w:rsidR="00836C99" w:rsidRPr="004E5743" w:rsidRDefault="00836C99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4E5743">
        <w:rPr>
          <w:rFonts w:ascii="Times New Roman" w:hAnsi="Times New Roman" w:cs="Times New Roman"/>
          <w:b/>
        </w:rPr>
        <w:t xml:space="preserve">BILJEŠKA br. </w:t>
      </w:r>
      <w:r w:rsidR="00D72BB2" w:rsidRPr="004E5743">
        <w:rPr>
          <w:rFonts w:ascii="Times New Roman" w:hAnsi="Times New Roman" w:cs="Times New Roman"/>
          <w:b/>
        </w:rPr>
        <w:t>9</w:t>
      </w:r>
      <w:r w:rsidR="00417594" w:rsidRPr="004E5743">
        <w:rPr>
          <w:rFonts w:ascii="Times New Roman" w:hAnsi="Times New Roman" w:cs="Times New Roman"/>
          <w:b/>
        </w:rPr>
        <w:t>5</w:t>
      </w:r>
    </w:p>
    <w:p w14:paraId="0E9C525C" w14:textId="0D0168CE" w:rsidR="0065284A" w:rsidRPr="004E5743" w:rsidRDefault="00836C99" w:rsidP="004E57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743">
        <w:rPr>
          <w:rFonts w:ascii="Times New Roman" w:hAnsi="Times New Roman" w:cs="Times New Roman"/>
          <w:sz w:val="24"/>
          <w:szCs w:val="24"/>
        </w:rPr>
        <w:t>Obveze za kredite i zajmove (AOP</w:t>
      </w:r>
      <w:r w:rsidR="00BD5712" w:rsidRPr="004E5743">
        <w:rPr>
          <w:rFonts w:ascii="Times New Roman" w:hAnsi="Times New Roman" w:cs="Times New Roman"/>
          <w:sz w:val="24"/>
          <w:szCs w:val="24"/>
        </w:rPr>
        <w:t>20</w:t>
      </w:r>
      <w:r w:rsidR="00417594" w:rsidRPr="004E5743">
        <w:rPr>
          <w:rFonts w:ascii="Times New Roman" w:hAnsi="Times New Roman" w:cs="Times New Roman"/>
          <w:sz w:val="24"/>
          <w:szCs w:val="24"/>
        </w:rPr>
        <w:t>6</w:t>
      </w:r>
      <w:r w:rsidRPr="004E5743">
        <w:rPr>
          <w:rFonts w:ascii="Times New Roman" w:hAnsi="Times New Roman" w:cs="Times New Roman"/>
          <w:sz w:val="24"/>
          <w:szCs w:val="24"/>
        </w:rPr>
        <w:t>) -</w:t>
      </w:r>
      <w:r w:rsidRPr="004E57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743"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417594" w:rsidRPr="004E5743">
        <w:rPr>
          <w:rFonts w:ascii="Times New Roman" w:hAnsi="Times New Roman" w:cs="Times New Roman"/>
          <w:bCs/>
          <w:sz w:val="24"/>
          <w:szCs w:val="24"/>
        </w:rPr>
        <w:t>33.071.339</w:t>
      </w:r>
      <w:r w:rsidRPr="004E5743">
        <w:rPr>
          <w:rFonts w:ascii="Times New Roman" w:hAnsi="Times New Roman" w:cs="Times New Roman"/>
          <w:bCs/>
          <w:sz w:val="24"/>
          <w:szCs w:val="24"/>
        </w:rPr>
        <w:t xml:space="preserve"> kn i za</w:t>
      </w:r>
      <w:r w:rsidR="00AD6CD9" w:rsidRPr="004E57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64E4" w:rsidRPr="004E5743">
        <w:rPr>
          <w:rFonts w:ascii="Times New Roman" w:hAnsi="Times New Roman" w:cs="Times New Roman"/>
          <w:bCs/>
          <w:sz w:val="24"/>
          <w:szCs w:val="24"/>
        </w:rPr>
        <w:t>1</w:t>
      </w:r>
      <w:r w:rsidR="00417594" w:rsidRPr="004E5743">
        <w:rPr>
          <w:rFonts w:ascii="Times New Roman" w:hAnsi="Times New Roman" w:cs="Times New Roman"/>
          <w:bCs/>
          <w:sz w:val="24"/>
          <w:szCs w:val="24"/>
        </w:rPr>
        <w:t>0,5</w:t>
      </w:r>
      <w:r w:rsidR="00AD6CD9" w:rsidRPr="004E5743">
        <w:rPr>
          <w:rFonts w:ascii="Times New Roman" w:hAnsi="Times New Roman" w:cs="Times New Roman"/>
          <w:bCs/>
          <w:sz w:val="24"/>
          <w:szCs w:val="24"/>
        </w:rPr>
        <w:t>%</w:t>
      </w:r>
      <w:r w:rsidRPr="004E5743">
        <w:rPr>
          <w:rFonts w:ascii="Times New Roman" w:hAnsi="Times New Roman" w:cs="Times New Roman"/>
          <w:bCs/>
          <w:sz w:val="24"/>
          <w:szCs w:val="24"/>
        </w:rPr>
        <w:t xml:space="preserve"> su manje nego 20</w:t>
      </w:r>
      <w:r w:rsidR="00417594" w:rsidRPr="004E5743">
        <w:rPr>
          <w:rFonts w:ascii="Times New Roman" w:hAnsi="Times New Roman" w:cs="Times New Roman"/>
          <w:bCs/>
          <w:sz w:val="24"/>
          <w:szCs w:val="24"/>
        </w:rPr>
        <w:t>20</w:t>
      </w:r>
      <w:r w:rsidRPr="004E5743">
        <w:rPr>
          <w:rFonts w:ascii="Times New Roman" w:hAnsi="Times New Roman" w:cs="Times New Roman"/>
          <w:bCs/>
          <w:sz w:val="24"/>
          <w:szCs w:val="24"/>
        </w:rPr>
        <w:t xml:space="preserve">. godine iz razloga što se u </w:t>
      </w:r>
      <w:r w:rsidR="003C20C6" w:rsidRPr="004E5743">
        <w:rPr>
          <w:rFonts w:ascii="Times New Roman" w:hAnsi="Times New Roman" w:cs="Times New Roman"/>
          <w:bCs/>
          <w:sz w:val="24"/>
          <w:szCs w:val="24"/>
        </w:rPr>
        <w:t>20</w:t>
      </w:r>
      <w:r w:rsidR="002A64E4" w:rsidRPr="004E5743">
        <w:rPr>
          <w:rFonts w:ascii="Times New Roman" w:hAnsi="Times New Roman" w:cs="Times New Roman"/>
          <w:bCs/>
          <w:sz w:val="24"/>
          <w:szCs w:val="24"/>
        </w:rPr>
        <w:t>2</w:t>
      </w:r>
      <w:r w:rsidR="00417594" w:rsidRPr="004E5743">
        <w:rPr>
          <w:rFonts w:ascii="Times New Roman" w:hAnsi="Times New Roman" w:cs="Times New Roman"/>
          <w:bCs/>
          <w:sz w:val="24"/>
          <w:szCs w:val="24"/>
        </w:rPr>
        <w:t>1</w:t>
      </w:r>
      <w:r w:rsidR="003C20C6" w:rsidRPr="004E5743">
        <w:rPr>
          <w:rFonts w:ascii="Times New Roman" w:hAnsi="Times New Roman" w:cs="Times New Roman"/>
          <w:bCs/>
          <w:sz w:val="24"/>
          <w:szCs w:val="24"/>
        </w:rPr>
        <w:t>.</w:t>
      </w:r>
      <w:r w:rsidRPr="004E5743">
        <w:rPr>
          <w:rFonts w:ascii="Times New Roman" w:hAnsi="Times New Roman" w:cs="Times New Roman"/>
          <w:bCs/>
          <w:sz w:val="24"/>
          <w:szCs w:val="24"/>
        </w:rPr>
        <w:t xml:space="preserve"> godini </w:t>
      </w:r>
      <w:r w:rsidR="00AD6CD9" w:rsidRPr="004E5743">
        <w:rPr>
          <w:rFonts w:ascii="Times New Roman" w:hAnsi="Times New Roman" w:cs="Times New Roman"/>
          <w:bCs/>
          <w:sz w:val="24"/>
          <w:szCs w:val="24"/>
        </w:rPr>
        <w:t xml:space="preserve">otplatilo </w:t>
      </w:r>
      <w:r w:rsidR="002A64E4" w:rsidRPr="004E5743">
        <w:rPr>
          <w:rFonts w:ascii="Times New Roman" w:hAnsi="Times New Roman" w:cs="Times New Roman"/>
          <w:bCs/>
          <w:sz w:val="24"/>
          <w:szCs w:val="24"/>
        </w:rPr>
        <w:t>3.</w:t>
      </w:r>
      <w:r w:rsidR="00417594" w:rsidRPr="004E5743">
        <w:rPr>
          <w:rFonts w:ascii="Times New Roman" w:hAnsi="Times New Roman" w:cs="Times New Roman"/>
          <w:bCs/>
          <w:sz w:val="24"/>
          <w:szCs w:val="24"/>
        </w:rPr>
        <w:t>771.655</w:t>
      </w:r>
      <w:r w:rsidR="00AD6CD9" w:rsidRPr="004E5743">
        <w:rPr>
          <w:rFonts w:ascii="Times New Roman" w:hAnsi="Times New Roman" w:cs="Times New Roman"/>
          <w:bCs/>
          <w:sz w:val="24"/>
          <w:szCs w:val="24"/>
        </w:rPr>
        <w:t xml:space="preserve"> kn glavnice kredita te vratio zajam u iznosu od 2.650.000 kn.</w:t>
      </w:r>
    </w:p>
    <w:p w14:paraId="1E10495F" w14:textId="77777777" w:rsidR="00836C99" w:rsidRPr="004E5743" w:rsidRDefault="00836C99" w:rsidP="004E57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743">
        <w:rPr>
          <w:rFonts w:ascii="Times New Roman" w:hAnsi="Times New Roman" w:cs="Times New Roman"/>
          <w:bCs/>
          <w:sz w:val="24"/>
          <w:szCs w:val="24"/>
        </w:rPr>
        <w:t>Obveze</w:t>
      </w:r>
      <w:r w:rsidR="0084303D" w:rsidRPr="004E5743">
        <w:rPr>
          <w:rFonts w:ascii="Times New Roman" w:hAnsi="Times New Roman" w:cs="Times New Roman"/>
          <w:bCs/>
          <w:sz w:val="24"/>
          <w:szCs w:val="24"/>
        </w:rPr>
        <w:t xml:space="preserve"> su nedospjele, a</w:t>
      </w:r>
      <w:r w:rsidRPr="004E5743">
        <w:rPr>
          <w:rFonts w:ascii="Times New Roman" w:hAnsi="Times New Roman" w:cs="Times New Roman"/>
          <w:bCs/>
          <w:sz w:val="24"/>
          <w:szCs w:val="24"/>
        </w:rPr>
        <w:t xml:space="preserve"> odnose se na:</w:t>
      </w:r>
    </w:p>
    <w:p w14:paraId="71DB92F5" w14:textId="0C52C043" w:rsidR="00836C99" w:rsidRPr="004E5743" w:rsidRDefault="00836C99" w:rsidP="004E57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743">
        <w:rPr>
          <w:rFonts w:ascii="Times New Roman" w:hAnsi="Times New Roman" w:cs="Times New Roman"/>
          <w:bCs/>
          <w:sz w:val="24"/>
          <w:szCs w:val="24"/>
        </w:rPr>
        <w:t xml:space="preserve">kredit za OŠ Veli Vrh I faza u iznosu od </w:t>
      </w:r>
      <w:r w:rsidR="00417594" w:rsidRPr="004E5743">
        <w:rPr>
          <w:rFonts w:ascii="Times New Roman" w:hAnsi="Times New Roman" w:cs="Times New Roman"/>
          <w:bCs/>
          <w:sz w:val="24"/>
          <w:szCs w:val="24"/>
        </w:rPr>
        <w:t>14.469.150</w:t>
      </w:r>
      <w:r w:rsidRPr="004E5743">
        <w:rPr>
          <w:rFonts w:ascii="Times New Roman" w:hAnsi="Times New Roman" w:cs="Times New Roman"/>
          <w:bCs/>
          <w:sz w:val="24"/>
          <w:szCs w:val="24"/>
        </w:rPr>
        <w:t xml:space="preserve"> kn i II faza u iznosu od </w:t>
      </w:r>
      <w:r w:rsidR="00417594" w:rsidRPr="004E5743">
        <w:rPr>
          <w:rFonts w:ascii="Times New Roman" w:hAnsi="Times New Roman" w:cs="Times New Roman"/>
          <w:bCs/>
          <w:sz w:val="24"/>
          <w:szCs w:val="24"/>
        </w:rPr>
        <w:t>18.602.189</w:t>
      </w:r>
      <w:r w:rsidRPr="004E5743">
        <w:rPr>
          <w:rFonts w:ascii="Times New Roman" w:hAnsi="Times New Roman" w:cs="Times New Roman"/>
          <w:bCs/>
          <w:sz w:val="24"/>
          <w:szCs w:val="24"/>
        </w:rPr>
        <w:t xml:space="preserve"> kn,</w:t>
      </w:r>
    </w:p>
    <w:p w14:paraId="0FA1ABDB" w14:textId="5DA690FF" w:rsidR="00836C99" w:rsidRPr="004E5743" w:rsidRDefault="00836C99" w:rsidP="004E57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743">
        <w:rPr>
          <w:rFonts w:ascii="Times New Roman" w:hAnsi="Times New Roman" w:cs="Times New Roman"/>
          <w:sz w:val="24"/>
          <w:szCs w:val="24"/>
        </w:rPr>
        <w:t xml:space="preserve">financijski zajam za financiranje izgradnje kružnog toka uz prateću komunalnu infrastrukturu na cesti Prekomorskih brigada u iznosu od </w:t>
      </w:r>
      <w:r w:rsidR="00417594" w:rsidRPr="004E5743">
        <w:rPr>
          <w:rFonts w:ascii="Times New Roman" w:hAnsi="Times New Roman" w:cs="Times New Roman"/>
          <w:sz w:val="24"/>
          <w:szCs w:val="24"/>
        </w:rPr>
        <w:t xml:space="preserve">7.900.000 </w:t>
      </w:r>
      <w:r w:rsidRPr="004E5743">
        <w:rPr>
          <w:rFonts w:ascii="Times New Roman" w:hAnsi="Times New Roman" w:cs="Times New Roman"/>
          <w:sz w:val="24"/>
          <w:szCs w:val="24"/>
        </w:rPr>
        <w:t>kn.</w:t>
      </w:r>
    </w:p>
    <w:p w14:paraId="72A63D63" w14:textId="0004B64B" w:rsidR="00836C99" w:rsidRDefault="00836C99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4E5743">
        <w:rPr>
          <w:rFonts w:ascii="Times New Roman" w:hAnsi="Times New Roman" w:cs="Times New Roman"/>
          <w:b/>
        </w:rPr>
        <w:lastRenderedPageBreak/>
        <w:t xml:space="preserve">BILJEŠKA br. </w:t>
      </w:r>
      <w:r w:rsidR="00D72BB2" w:rsidRPr="004E5743">
        <w:rPr>
          <w:rFonts w:ascii="Times New Roman" w:hAnsi="Times New Roman" w:cs="Times New Roman"/>
          <w:b/>
        </w:rPr>
        <w:t>96</w:t>
      </w:r>
    </w:p>
    <w:p w14:paraId="4FD21D2F" w14:textId="4438BC09" w:rsidR="00EC66FA" w:rsidRPr="00EC66FA" w:rsidRDefault="00EC66FA" w:rsidP="004E5743">
      <w:pPr>
        <w:pStyle w:val="Style20"/>
        <w:widowControl/>
        <w:spacing w:line="276" w:lineRule="auto"/>
        <w:rPr>
          <w:rFonts w:ascii="Times New Roman" w:hAnsi="Times New Roman" w:cs="Times New Roman"/>
          <w:bCs/>
        </w:rPr>
      </w:pPr>
      <w:r w:rsidRPr="00EC66FA">
        <w:rPr>
          <w:rFonts w:ascii="Times New Roman" w:hAnsi="Times New Roman" w:cs="Times New Roman"/>
          <w:bCs/>
        </w:rPr>
        <w:t xml:space="preserve">Višak/manjak prihoda (AOP239) </w:t>
      </w:r>
      <w:r>
        <w:rPr>
          <w:rFonts w:ascii="Times New Roman" w:hAnsi="Times New Roman" w:cs="Times New Roman"/>
          <w:bCs/>
        </w:rPr>
        <w:t>-</w:t>
      </w:r>
      <w:r w:rsidRPr="00EC66FA">
        <w:rPr>
          <w:rFonts w:ascii="Times New Roman" w:hAnsi="Times New Roman" w:cs="Times New Roman"/>
          <w:bCs/>
        </w:rPr>
        <w:t xml:space="preserve"> rezultat poslovanja, višak iznosi 14.893.087 kn i evidentira smanjenje u odnosu na 2020. godinu za </w:t>
      </w:r>
      <w:r>
        <w:rPr>
          <w:rFonts w:ascii="Times New Roman" w:hAnsi="Times New Roman" w:cs="Times New Roman"/>
          <w:bCs/>
        </w:rPr>
        <w:t>45,5%. Grad je tijekom 2021. godine ostvario manjak prihoda od 12.437.384 kn što je uz preneseni višak iz 2020. godine od 27.330.471 kn rezultiralo sveukupnim viškom od 14.893.087 kn.</w:t>
      </w:r>
    </w:p>
    <w:p w14:paraId="52BD93E3" w14:textId="4DDF4C6C" w:rsidR="00EC66FA" w:rsidRDefault="00EC66FA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6E17AF70" w14:textId="70B99DEB" w:rsidR="00EC66FA" w:rsidRDefault="00EC66FA" w:rsidP="00EC66FA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4E5743">
        <w:rPr>
          <w:rFonts w:ascii="Times New Roman" w:hAnsi="Times New Roman" w:cs="Times New Roman"/>
          <w:b/>
        </w:rPr>
        <w:t>BILJEŠKA br. 9</w:t>
      </w:r>
      <w:r>
        <w:rPr>
          <w:rFonts w:ascii="Times New Roman" w:hAnsi="Times New Roman" w:cs="Times New Roman"/>
          <w:b/>
        </w:rPr>
        <w:t>7</w:t>
      </w:r>
    </w:p>
    <w:p w14:paraId="4FE09E08" w14:textId="5F34034C" w:rsidR="00091621" w:rsidRPr="004E5743" w:rsidRDefault="00EC66FA" w:rsidP="004E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r w:rsidR="00177F63" w:rsidRPr="004E5743">
        <w:rPr>
          <w:rFonts w:ascii="Times New Roman" w:hAnsi="Times New Roman" w:cs="Times New Roman"/>
          <w:bCs/>
          <w:sz w:val="24"/>
          <w:szCs w:val="24"/>
        </w:rPr>
        <w:t>zvanbilančni</w:t>
      </w:r>
      <w:proofErr w:type="spellEnd"/>
      <w:r w:rsidR="00177F63" w:rsidRPr="004E5743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091621" w:rsidRPr="004E5743">
        <w:rPr>
          <w:rFonts w:ascii="Times New Roman" w:hAnsi="Times New Roman" w:cs="Times New Roman"/>
          <w:bCs/>
          <w:sz w:val="24"/>
          <w:szCs w:val="24"/>
        </w:rPr>
        <w:t>apisi (AOP2</w:t>
      </w:r>
      <w:r w:rsidR="00832F1A" w:rsidRPr="004E5743">
        <w:rPr>
          <w:rFonts w:ascii="Times New Roman" w:hAnsi="Times New Roman" w:cs="Times New Roman"/>
          <w:bCs/>
          <w:sz w:val="24"/>
          <w:szCs w:val="24"/>
        </w:rPr>
        <w:t>5</w:t>
      </w:r>
      <w:r w:rsidR="004F734D" w:rsidRPr="004E5743">
        <w:rPr>
          <w:rFonts w:ascii="Times New Roman" w:hAnsi="Times New Roman" w:cs="Times New Roman"/>
          <w:bCs/>
          <w:sz w:val="24"/>
          <w:szCs w:val="24"/>
        </w:rPr>
        <w:t>3/254</w:t>
      </w:r>
      <w:r w:rsidR="00091621" w:rsidRPr="004E5743">
        <w:rPr>
          <w:rFonts w:ascii="Times New Roman" w:hAnsi="Times New Roman" w:cs="Times New Roman"/>
          <w:bCs/>
          <w:sz w:val="24"/>
          <w:szCs w:val="24"/>
        </w:rPr>
        <w:t>) -</w:t>
      </w:r>
      <w:r w:rsidR="00091621" w:rsidRPr="004E57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7B17">
        <w:rPr>
          <w:rFonts w:ascii="Times New Roman" w:hAnsi="Times New Roman" w:cs="Times New Roman"/>
          <w:sz w:val="24"/>
          <w:szCs w:val="24"/>
        </w:rPr>
        <w:t>s</w:t>
      </w:r>
      <w:r w:rsidR="00091621" w:rsidRPr="004E5743">
        <w:rPr>
          <w:rFonts w:ascii="Times New Roman" w:hAnsi="Times New Roman" w:cs="Times New Roman"/>
          <w:sz w:val="24"/>
          <w:szCs w:val="24"/>
        </w:rPr>
        <w:t xml:space="preserve">adrže podatke koji nisu uključeni u bilančne kategorije, ali u određenim okolnostima i/ili s vremenskim pomakom iskazani podaci mogu imati značajan utjecaj na uspješnost poslovanja i vrijednost neto imovine, a iznose </w:t>
      </w:r>
      <w:r w:rsidR="004F734D" w:rsidRPr="004E5743">
        <w:rPr>
          <w:rFonts w:ascii="Times New Roman" w:hAnsi="Times New Roman" w:cs="Times New Roman"/>
          <w:sz w:val="24"/>
          <w:szCs w:val="24"/>
        </w:rPr>
        <w:t>720.198.385</w:t>
      </w:r>
      <w:r w:rsidR="00091621" w:rsidRPr="004E5743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771B6CBF" w14:textId="77777777" w:rsidR="00091621" w:rsidRPr="004E5743" w:rsidRDefault="00091621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7F9890BB" w14:textId="50200877" w:rsidR="00091621" w:rsidRPr="004E5743" w:rsidRDefault="00091621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4E5743">
        <w:rPr>
          <w:rFonts w:ascii="Times New Roman" w:hAnsi="Times New Roman" w:cs="Times New Roman"/>
          <w:b/>
        </w:rPr>
        <w:t xml:space="preserve">BILJEŠKA br. </w:t>
      </w:r>
      <w:r w:rsidR="00D72BB2" w:rsidRPr="004E5743">
        <w:rPr>
          <w:rFonts w:ascii="Times New Roman" w:hAnsi="Times New Roman" w:cs="Times New Roman"/>
          <w:b/>
        </w:rPr>
        <w:t>9</w:t>
      </w:r>
      <w:r w:rsidR="00EC66FA">
        <w:rPr>
          <w:rFonts w:ascii="Times New Roman" w:hAnsi="Times New Roman" w:cs="Times New Roman"/>
          <w:b/>
        </w:rPr>
        <w:t>8</w:t>
      </w:r>
    </w:p>
    <w:p w14:paraId="471E32A9" w14:textId="1EE8808C" w:rsidR="00832F1A" w:rsidRPr="004E5743" w:rsidRDefault="00091621" w:rsidP="004E5743">
      <w:pPr>
        <w:pStyle w:val="Style4"/>
        <w:widowControl/>
        <w:spacing w:line="276" w:lineRule="auto"/>
        <w:ind w:firstLine="0"/>
        <w:rPr>
          <w:rStyle w:val="FontStyle24"/>
          <w:spacing w:val="0"/>
        </w:rPr>
      </w:pPr>
      <w:r w:rsidRPr="004E5743">
        <w:rPr>
          <w:rStyle w:val="FontStyle24"/>
          <w:spacing w:val="0"/>
        </w:rPr>
        <w:t>Tuđa imovina dobivena na korištenje - čini imovinu koju Grad ima u najmu</w:t>
      </w:r>
      <w:r w:rsidR="00961801" w:rsidRPr="004E5743">
        <w:rPr>
          <w:rStyle w:val="FontStyle24"/>
          <w:spacing w:val="0"/>
        </w:rPr>
        <w:t>,</w:t>
      </w:r>
      <w:r w:rsidRPr="004E5743">
        <w:rPr>
          <w:rStyle w:val="FontStyle24"/>
          <w:spacing w:val="0"/>
        </w:rPr>
        <w:t xml:space="preserve"> evidentirana je sukladno čl. 85. Pravilnika o proračunskom računovodstvu i računskom planu, a temeljem sklopljenih Ugovora između Grada i davaoca imovine u najam</w:t>
      </w:r>
      <w:r w:rsidR="00A518B6" w:rsidRPr="004E5743">
        <w:rPr>
          <w:rStyle w:val="FontStyle24"/>
          <w:spacing w:val="0"/>
        </w:rPr>
        <w:t xml:space="preserve"> u ukupnom iznosu od 14.</w:t>
      </w:r>
      <w:r w:rsidR="004F1FF4" w:rsidRPr="004E5743">
        <w:rPr>
          <w:rStyle w:val="FontStyle24"/>
          <w:spacing w:val="0"/>
        </w:rPr>
        <w:t>253.381</w:t>
      </w:r>
      <w:r w:rsidR="00D60067" w:rsidRPr="004E5743">
        <w:rPr>
          <w:rStyle w:val="FontStyle24"/>
          <w:spacing w:val="0"/>
        </w:rPr>
        <w:t xml:space="preserve"> kn,</w:t>
      </w:r>
      <w:r w:rsidR="00832F1A" w:rsidRPr="004E5743">
        <w:rPr>
          <w:rStyle w:val="FontStyle24"/>
          <w:spacing w:val="0"/>
        </w:rPr>
        <w:t xml:space="preserve"> odnosno:</w:t>
      </w:r>
    </w:p>
    <w:p w14:paraId="65454F73" w14:textId="465A122E" w:rsidR="00832F1A" w:rsidRPr="004E5743" w:rsidRDefault="00801AE3" w:rsidP="004E5743">
      <w:pPr>
        <w:pStyle w:val="Style4"/>
        <w:widowControl/>
        <w:numPr>
          <w:ilvl w:val="0"/>
          <w:numId w:val="2"/>
        </w:numPr>
        <w:spacing w:line="276" w:lineRule="auto"/>
        <w:rPr>
          <w:rStyle w:val="FontStyle24"/>
          <w:spacing w:val="0"/>
        </w:rPr>
      </w:pPr>
      <w:r w:rsidRPr="004E5743">
        <w:rPr>
          <w:rStyle w:val="FontStyle24"/>
          <w:spacing w:val="0"/>
        </w:rPr>
        <w:t>informatička oprema</w:t>
      </w:r>
      <w:r w:rsidR="00B55522" w:rsidRPr="004E5743">
        <w:rPr>
          <w:rStyle w:val="FontStyle24"/>
          <w:spacing w:val="0"/>
        </w:rPr>
        <w:t>,</w:t>
      </w:r>
      <w:r w:rsidRPr="004E5743">
        <w:rPr>
          <w:rStyle w:val="FontStyle24"/>
          <w:spacing w:val="0"/>
        </w:rPr>
        <w:t xml:space="preserve"> 200 računala i monitora, bez operativnog sustava sveukupne vrijednosti </w:t>
      </w:r>
      <w:r w:rsidR="00635E59" w:rsidRPr="004E5743">
        <w:rPr>
          <w:rStyle w:val="FontStyle24"/>
          <w:spacing w:val="0"/>
        </w:rPr>
        <w:t>226.750</w:t>
      </w:r>
      <w:r w:rsidRPr="004E5743">
        <w:rPr>
          <w:rStyle w:val="FontStyle24"/>
          <w:spacing w:val="0"/>
        </w:rPr>
        <w:t xml:space="preserve"> kn, za službene potrebe Grada</w:t>
      </w:r>
      <w:r w:rsidR="00177F63" w:rsidRPr="004E5743">
        <w:rPr>
          <w:rStyle w:val="FontStyle24"/>
          <w:spacing w:val="0"/>
        </w:rPr>
        <w:t xml:space="preserve"> Pule sukladno Ugovoru o najmu te najam</w:t>
      </w:r>
      <w:r w:rsidRPr="004E5743">
        <w:rPr>
          <w:rStyle w:val="FontStyle24"/>
          <w:spacing w:val="0"/>
        </w:rPr>
        <w:t xml:space="preserve"> servera sveukupne vrijednosti </w:t>
      </w:r>
      <w:r w:rsidR="00635E59" w:rsidRPr="004E5743">
        <w:rPr>
          <w:rStyle w:val="FontStyle24"/>
          <w:spacing w:val="0"/>
        </w:rPr>
        <w:t>3.945</w:t>
      </w:r>
      <w:r w:rsidRPr="004E5743">
        <w:rPr>
          <w:rStyle w:val="FontStyle24"/>
          <w:spacing w:val="0"/>
        </w:rPr>
        <w:t xml:space="preserve"> kn sukladno Ugovoru o najmu informatičke opreme,</w:t>
      </w:r>
      <w:r w:rsidR="00832F1A" w:rsidRPr="004E5743">
        <w:rPr>
          <w:rStyle w:val="FontStyle24"/>
          <w:spacing w:val="0"/>
        </w:rPr>
        <w:t xml:space="preserve"> </w:t>
      </w:r>
    </w:p>
    <w:p w14:paraId="24F31F03" w14:textId="3317EFD9" w:rsidR="00832F1A" w:rsidRPr="004E5743" w:rsidRDefault="00832F1A" w:rsidP="004E5743">
      <w:pPr>
        <w:pStyle w:val="Style4"/>
        <w:widowControl/>
        <w:numPr>
          <w:ilvl w:val="0"/>
          <w:numId w:val="2"/>
        </w:numPr>
        <w:spacing w:line="276" w:lineRule="auto"/>
        <w:rPr>
          <w:rStyle w:val="FontStyle24"/>
          <w:spacing w:val="0"/>
        </w:rPr>
      </w:pPr>
      <w:r w:rsidRPr="004E5743">
        <w:rPr>
          <w:rStyle w:val="FontStyle24"/>
          <w:spacing w:val="0"/>
        </w:rPr>
        <w:t xml:space="preserve">najam softvera - 200 kom operativnih sustava, sveukupne vrijednosti </w:t>
      </w:r>
      <w:r w:rsidR="00635E59" w:rsidRPr="004E5743">
        <w:rPr>
          <w:rStyle w:val="FontStyle24"/>
          <w:spacing w:val="0"/>
        </w:rPr>
        <w:t>104.750</w:t>
      </w:r>
      <w:r w:rsidRPr="004E5743">
        <w:rPr>
          <w:rStyle w:val="FontStyle24"/>
          <w:spacing w:val="0"/>
        </w:rPr>
        <w:t xml:space="preserve"> kn sukladno Ugovoru o najmu softvera, </w:t>
      </w:r>
    </w:p>
    <w:p w14:paraId="4C1152D4" w14:textId="64F99A05" w:rsidR="00091621" w:rsidRPr="004E5743" w:rsidRDefault="00832F1A" w:rsidP="004E5743">
      <w:pPr>
        <w:pStyle w:val="Style4"/>
        <w:widowControl/>
        <w:numPr>
          <w:ilvl w:val="0"/>
          <w:numId w:val="2"/>
        </w:numPr>
        <w:spacing w:line="276" w:lineRule="auto"/>
        <w:rPr>
          <w:rStyle w:val="FontStyle24"/>
          <w:spacing w:val="0"/>
        </w:rPr>
      </w:pPr>
      <w:r w:rsidRPr="004E5743">
        <w:rPr>
          <w:rStyle w:val="FontStyle24"/>
          <w:spacing w:val="0"/>
        </w:rPr>
        <w:t>7</w:t>
      </w:r>
      <w:r w:rsidR="00091621" w:rsidRPr="004E5743">
        <w:rPr>
          <w:rStyle w:val="FontStyle24"/>
          <w:spacing w:val="0"/>
        </w:rPr>
        <w:t xml:space="preserve"> osobnih automobila sveukupne vrijednosti </w:t>
      </w:r>
      <w:r w:rsidR="00801AE3" w:rsidRPr="004E5743">
        <w:rPr>
          <w:rStyle w:val="FontStyle24"/>
          <w:spacing w:val="0"/>
        </w:rPr>
        <w:t>1.</w:t>
      </w:r>
      <w:r w:rsidRPr="004E5743">
        <w:rPr>
          <w:rStyle w:val="FontStyle24"/>
          <w:spacing w:val="0"/>
        </w:rPr>
        <w:t>011.504</w:t>
      </w:r>
      <w:r w:rsidR="00091621" w:rsidRPr="004E5743">
        <w:rPr>
          <w:rStyle w:val="FontStyle24"/>
          <w:spacing w:val="0"/>
        </w:rPr>
        <w:t xml:space="preserve"> kn za službene potrebe Grada Pule sukladno Ugovoru o najmu osobnih automobila, </w:t>
      </w:r>
    </w:p>
    <w:p w14:paraId="4FA35AB1" w14:textId="36C4FFAA" w:rsidR="00091621" w:rsidRPr="004E5743" w:rsidRDefault="00091621" w:rsidP="004E5743">
      <w:pPr>
        <w:pStyle w:val="Style4"/>
        <w:widowControl/>
        <w:numPr>
          <w:ilvl w:val="0"/>
          <w:numId w:val="2"/>
        </w:numPr>
        <w:spacing w:line="276" w:lineRule="auto"/>
        <w:rPr>
          <w:rStyle w:val="FontStyle24"/>
          <w:spacing w:val="0"/>
        </w:rPr>
      </w:pPr>
      <w:r w:rsidRPr="004E5743">
        <w:rPr>
          <w:rStyle w:val="FontStyle24"/>
          <w:spacing w:val="0"/>
        </w:rPr>
        <w:t>1</w:t>
      </w:r>
      <w:r w:rsidR="00635E59" w:rsidRPr="004E5743">
        <w:rPr>
          <w:rStyle w:val="FontStyle24"/>
          <w:spacing w:val="0"/>
        </w:rPr>
        <w:t>5</w:t>
      </w:r>
      <w:r w:rsidRPr="004E5743">
        <w:rPr>
          <w:rStyle w:val="FontStyle24"/>
          <w:spacing w:val="0"/>
        </w:rPr>
        <w:t xml:space="preserve"> fotokopirnih aparata sveukupne vrijednosti </w:t>
      </w:r>
      <w:r w:rsidR="00635E59" w:rsidRPr="004E5743">
        <w:rPr>
          <w:rStyle w:val="FontStyle24"/>
          <w:spacing w:val="0"/>
        </w:rPr>
        <w:t>157.500</w:t>
      </w:r>
      <w:r w:rsidRPr="004E5743">
        <w:rPr>
          <w:rStyle w:val="FontStyle24"/>
          <w:spacing w:val="0"/>
        </w:rPr>
        <w:t xml:space="preserve"> kn smještenih po upravnim tijelima i uredima za službene potrebe Grada Pule sukladno Ugovoru o najmu,</w:t>
      </w:r>
    </w:p>
    <w:p w14:paraId="6AA7BCC5" w14:textId="77777777" w:rsidR="001F4D63" w:rsidRPr="004E5743" w:rsidRDefault="00091621" w:rsidP="004E5743">
      <w:pPr>
        <w:pStyle w:val="Style4"/>
        <w:widowControl/>
        <w:numPr>
          <w:ilvl w:val="0"/>
          <w:numId w:val="2"/>
        </w:numPr>
        <w:spacing w:line="276" w:lineRule="auto"/>
        <w:rPr>
          <w:rStyle w:val="FontStyle24"/>
          <w:spacing w:val="0"/>
        </w:rPr>
      </w:pPr>
      <w:r w:rsidRPr="004E5743">
        <w:rPr>
          <w:rStyle w:val="FontStyle24"/>
          <w:spacing w:val="0"/>
        </w:rPr>
        <w:t>29 atomskih skloništa pojačane i osnovne zaštite ukupne vrijednosti 12.713.280 kn</w:t>
      </w:r>
      <w:r w:rsidR="001F4D63" w:rsidRPr="004E5743">
        <w:rPr>
          <w:rStyle w:val="FontStyle24"/>
          <w:spacing w:val="0"/>
        </w:rPr>
        <w:t>,</w:t>
      </w:r>
    </w:p>
    <w:p w14:paraId="19F4627E" w14:textId="4F3F1EB2" w:rsidR="00091621" w:rsidRPr="004E5743" w:rsidRDefault="001F4D63" w:rsidP="004E5743">
      <w:pPr>
        <w:pStyle w:val="Style4"/>
        <w:widowControl/>
        <w:numPr>
          <w:ilvl w:val="0"/>
          <w:numId w:val="2"/>
        </w:numPr>
        <w:spacing w:line="276" w:lineRule="auto"/>
        <w:rPr>
          <w:rStyle w:val="FontStyle24"/>
          <w:spacing w:val="0"/>
        </w:rPr>
      </w:pPr>
      <w:r w:rsidRPr="004E5743">
        <w:rPr>
          <w:rStyle w:val="FontStyle24"/>
          <w:spacing w:val="0"/>
        </w:rPr>
        <w:t>aparat za vodu ukupne vrijednosti 2.985 kn</w:t>
      </w:r>
      <w:r w:rsidR="00635E59" w:rsidRPr="004E5743">
        <w:rPr>
          <w:rStyle w:val="FontStyle24"/>
          <w:spacing w:val="0"/>
        </w:rPr>
        <w:t>,</w:t>
      </w:r>
    </w:p>
    <w:p w14:paraId="43897CB1" w14:textId="72206325" w:rsidR="00635E59" w:rsidRPr="004E5743" w:rsidRDefault="00635E59" w:rsidP="004E5743">
      <w:pPr>
        <w:pStyle w:val="Style4"/>
        <w:widowControl/>
        <w:numPr>
          <w:ilvl w:val="0"/>
          <w:numId w:val="2"/>
        </w:numPr>
        <w:spacing w:line="276" w:lineRule="auto"/>
        <w:rPr>
          <w:rStyle w:val="FontStyle24"/>
          <w:spacing w:val="0"/>
        </w:rPr>
      </w:pPr>
      <w:r w:rsidRPr="004E5743">
        <w:rPr>
          <w:rStyle w:val="FontStyle24"/>
          <w:spacing w:val="0"/>
        </w:rPr>
        <w:t>aparat i mlinac za kavu ukupne vrijednosti 32.667 kn.</w:t>
      </w:r>
    </w:p>
    <w:p w14:paraId="4F73298E" w14:textId="77777777" w:rsidR="00091621" w:rsidRPr="004E5743" w:rsidRDefault="00091621" w:rsidP="004E5743">
      <w:pPr>
        <w:pStyle w:val="Style4"/>
        <w:widowControl/>
        <w:spacing w:line="276" w:lineRule="auto"/>
        <w:ind w:firstLine="0"/>
        <w:rPr>
          <w:rStyle w:val="FontStyle24"/>
          <w:spacing w:val="0"/>
        </w:rPr>
      </w:pPr>
    </w:p>
    <w:p w14:paraId="04FF7670" w14:textId="08ED0E59" w:rsidR="00801AE3" w:rsidRPr="004E5743" w:rsidRDefault="00801AE3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4E5743">
        <w:rPr>
          <w:rFonts w:ascii="Times New Roman" w:hAnsi="Times New Roman" w:cs="Times New Roman"/>
          <w:b/>
        </w:rPr>
        <w:t xml:space="preserve">BILJEŠKA br. </w:t>
      </w:r>
      <w:r w:rsidR="00D72BB2" w:rsidRPr="004E5743">
        <w:rPr>
          <w:rFonts w:ascii="Times New Roman" w:hAnsi="Times New Roman" w:cs="Times New Roman"/>
          <w:b/>
        </w:rPr>
        <w:t>9</w:t>
      </w:r>
      <w:r w:rsidR="00EC66FA">
        <w:rPr>
          <w:rFonts w:ascii="Times New Roman" w:hAnsi="Times New Roman" w:cs="Times New Roman"/>
          <w:b/>
        </w:rPr>
        <w:t>9</w:t>
      </w:r>
    </w:p>
    <w:p w14:paraId="65A0B1E7" w14:textId="2C436684" w:rsidR="00801AE3" w:rsidRPr="004E5743" w:rsidRDefault="00801AE3" w:rsidP="004E5743">
      <w:pPr>
        <w:pStyle w:val="Style4"/>
        <w:widowControl/>
        <w:spacing w:line="276" w:lineRule="auto"/>
        <w:ind w:firstLine="0"/>
        <w:rPr>
          <w:rStyle w:val="FontStyle24"/>
          <w:spacing w:val="0"/>
        </w:rPr>
      </w:pPr>
      <w:r w:rsidRPr="004E5743">
        <w:rPr>
          <w:rStyle w:val="FontStyle24"/>
          <w:spacing w:val="0"/>
        </w:rPr>
        <w:t>I</w:t>
      </w:r>
      <w:r w:rsidR="00B55522" w:rsidRPr="004E5743">
        <w:rPr>
          <w:rStyle w:val="FontStyle24"/>
          <w:spacing w:val="0"/>
        </w:rPr>
        <w:t>nstrumenti osiguranja plaćanja -</w:t>
      </w:r>
      <w:r w:rsidRPr="004E5743">
        <w:rPr>
          <w:rStyle w:val="FontStyle24"/>
          <w:spacing w:val="0"/>
        </w:rPr>
        <w:t xml:space="preserve"> iznose </w:t>
      </w:r>
      <w:r w:rsidR="00347312" w:rsidRPr="004E5743">
        <w:rPr>
          <w:rStyle w:val="FontStyle24"/>
          <w:spacing w:val="0"/>
        </w:rPr>
        <w:t>340.317.429</w:t>
      </w:r>
      <w:r w:rsidRPr="004E5743">
        <w:rPr>
          <w:rStyle w:val="FontStyle24"/>
          <w:spacing w:val="0"/>
        </w:rPr>
        <w:t xml:space="preserve"> kn, odnosno:</w:t>
      </w:r>
    </w:p>
    <w:p w14:paraId="60D5D65D" w14:textId="5A156B7D" w:rsidR="00801AE3" w:rsidRPr="004E5743" w:rsidRDefault="00961801" w:rsidP="004E5743">
      <w:pPr>
        <w:pStyle w:val="Style4"/>
        <w:widowControl/>
        <w:numPr>
          <w:ilvl w:val="0"/>
          <w:numId w:val="2"/>
        </w:numPr>
        <w:spacing w:line="276" w:lineRule="auto"/>
        <w:rPr>
          <w:rStyle w:val="FontStyle24"/>
          <w:spacing w:val="0"/>
        </w:rPr>
      </w:pPr>
      <w:r w:rsidRPr="004E5743">
        <w:rPr>
          <w:rFonts w:ascii="Times New Roman" w:hAnsi="Times New Roman" w:cs="Times New Roman"/>
        </w:rPr>
        <w:t>i</w:t>
      </w:r>
      <w:r w:rsidR="00801AE3" w:rsidRPr="004E5743">
        <w:rPr>
          <w:rFonts w:ascii="Times New Roman" w:hAnsi="Times New Roman" w:cs="Times New Roman"/>
        </w:rPr>
        <w:t xml:space="preserve">zdani instrumenti osiguranja plaćanja - </w:t>
      </w:r>
      <w:r w:rsidR="001F4D63" w:rsidRPr="004E5743">
        <w:rPr>
          <w:rFonts w:ascii="Times New Roman" w:hAnsi="Times New Roman" w:cs="Times New Roman"/>
        </w:rPr>
        <w:t xml:space="preserve">Grad Pula </w:t>
      </w:r>
      <w:r w:rsidR="00801AE3" w:rsidRPr="004E5743">
        <w:rPr>
          <w:rStyle w:val="FontStyle24"/>
          <w:spacing w:val="0"/>
        </w:rPr>
        <w:t>ima izdano 4</w:t>
      </w:r>
      <w:r w:rsidR="00347312" w:rsidRPr="004E5743">
        <w:rPr>
          <w:rStyle w:val="FontStyle24"/>
          <w:spacing w:val="0"/>
        </w:rPr>
        <w:t>5</w:t>
      </w:r>
      <w:r w:rsidR="00801AE3" w:rsidRPr="004E5743">
        <w:rPr>
          <w:rStyle w:val="FontStyle24"/>
          <w:spacing w:val="0"/>
        </w:rPr>
        <w:t xml:space="preserve"> mjenica i zadužnica sveukupne vrijednosti </w:t>
      </w:r>
      <w:r w:rsidR="00347312" w:rsidRPr="004E5743">
        <w:rPr>
          <w:rStyle w:val="FontStyle24"/>
          <w:spacing w:val="0"/>
        </w:rPr>
        <w:t>113.205.000</w:t>
      </w:r>
      <w:r w:rsidR="00801AE3" w:rsidRPr="004E5743">
        <w:rPr>
          <w:rStyle w:val="FontStyle24"/>
          <w:spacing w:val="0"/>
        </w:rPr>
        <w:t xml:space="preserve"> kn</w:t>
      </w:r>
      <w:r w:rsidRPr="004E5743">
        <w:rPr>
          <w:rStyle w:val="FontStyle24"/>
          <w:spacing w:val="0"/>
        </w:rPr>
        <w:t>,</w:t>
      </w:r>
    </w:p>
    <w:p w14:paraId="068D99C3" w14:textId="6EE1F843" w:rsidR="00801AE3" w:rsidRPr="004E5743" w:rsidRDefault="00961801" w:rsidP="004E57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5743">
        <w:rPr>
          <w:rFonts w:ascii="Times New Roman" w:hAnsi="Times New Roman" w:cs="Times New Roman"/>
          <w:sz w:val="24"/>
          <w:szCs w:val="24"/>
        </w:rPr>
        <w:t>p</w:t>
      </w:r>
      <w:r w:rsidR="00801AE3" w:rsidRPr="004E5743">
        <w:rPr>
          <w:rFonts w:ascii="Times New Roman" w:hAnsi="Times New Roman" w:cs="Times New Roman"/>
          <w:sz w:val="24"/>
          <w:szCs w:val="24"/>
        </w:rPr>
        <w:t xml:space="preserve">rimljeni instrumenti osiguranja plaćanja - Grad Pula ima sveukupno zaprimljeno </w:t>
      </w:r>
      <w:r w:rsidR="00347312" w:rsidRPr="004E5743">
        <w:rPr>
          <w:rFonts w:ascii="Times New Roman" w:hAnsi="Times New Roman" w:cs="Times New Roman"/>
          <w:sz w:val="24"/>
          <w:szCs w:val="24"/>
        </w:rPr>
        <w:t>1.920</w:t>
      </w:r>
      <w:r w:rsidR="001F4D63" w:rsidRPr="004E5743">
        <w:rPr>
          <w:rFonts w:ascii="Times New Roman" w:hAnsi="Times New Roman" w:cs="Times New Roman"/>
          <w:sz w:val="24"/>
          <w:szCs w:val="24"/>
        </w:rPr>
        <w:t xml:space="preserve"> </w:t>
      </w:r>
      <w:r w:rsidR="00801AE3" w:rsidRPr="004E5743">
        <w:rPr>
          <w:rFonts w:ascii="Times New Roman" w:hAnsi="Times New Roman" w:cs="Times New Roman"/>
          <w:sz w:val="24"/>
          <w:szCs w:val="24"/>
        </w:rPr>
        <w:t>instrumen</w:t>
      </w:r>
      <w:r w:rsidRPr="004E5743">
        <w:rPr>
          <w:rFonts w:ascii="Times New Roman" w:hAnsi="Times New Roman" w:cs="Times New Roman"/>
          <w:sz w:val="24"/>
          <w:szCs w:val="24"/>
        </w:rPr>
        <w:t>ta</w:t>
      </w:r>
      <w:r w:rsidR="00801AE3" w:rsidRPr="004E5743">
        <w:rPr>
          <w:rFonts w:ascii="Times New Roman" w:hAnsi="Times New Roman" w:cs="Times New Roman"/>
          <w:sz w:val="24"/>
          <w:szCs w:val="24"/>
        </w:rPr>
        <w:t xml:space="preserve"> osiguranja plaćanja sveukupne vrijednosti  </w:t>
      </w:r>
      <w:r w:rsidR="00347312" w:rsidRPr="004E5743">
        <w:rPr>
          <w:rFonts w:ascii="Times New Roman" w:hAnsi="Times New Roman" w:cs="Times New Roman"/>
          <w:sz w:val="24"/>
          <w:szCs w:val="24"/>
        </w:rPr>
        <w:t>224.781.452</w:t>
      </w:r>
      <w:r w:rsidR="00801AE3" w:rsidRPr="004E5743">
        <w:rPr>
          <w:rFonts w:ascii="Times New Roman" w:hAnsi="Times New Roman" w:cs="Times New Roman"/>
          <w:sz w:val="24"/>
          <w:szCs w:val="24"/>
        </w:rPr>
        <w:t xml:space="preserve"> kn, </w:t>
      </w:r>
    </w:p>
    <w:p w14:paraId="1F207FC0" w14:textId="2BAD69EA" w:rsidR="002D7391" w:rsidRPr="004E5743" w:rsidRDefault="00961801" w:rsidP="004E57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 w:val="0"/>
        <w:jc w:val="both"/>
        <w:rPr>
          <w:rStyle w:val="FontStyle24"/>
          <w:spacing w:val="0"/>
        </w:rPr>
      </w:pPr>
      <w:r w:rsidRPr="004E5743">
        <w:rPr>
          <w:rFonts w:ascii="Times New Roman" w:hAnsi="Times New Roman" w:cs="Times New Roman"/>
          <w:sz w:val="24"/>
          <w:szCs w:val="24"/>
        </w:rPr>
        <w:t>o</w:t>
      </w:r>
      <w:r w:rsidR="002D7391" w:rsidRPr="004E5743">
        <w:rPr>
          <w:rFonts w:ascii="Times New Roman" w:hAnsi="Times New Roman" w:cs="Times New Roman"/>
          <w:sz w:val="24"/>
          <w:szCs w:val="24"/>
        </w:rPr>
        <w:t>bustava ovrhe uknjižbom založnog prava -</w:t>
      </w:r>
      <w:r w:rsidR="00177F63" w:rsidRPr="004E5743">
        <w:rPr>
          <w:rFonts w:ascii="Times New Roman" w:hAnsi="Times New Roman" w:cs="Times New Roman"/>
          <w:sz w:val="24"/>
          <w:szCs w:val="24"/>
        </w:rPr>
        <w:t xml:space="preserve"> </w:t>
      </w:r>
      <w:r w:rsidR="002D7391" w:rsidRPr="004E5743">
        <w:rPr>
          <w:rFonts w:ascii="Times New Roman" w:hAnsi="Times New Roman" w:cs="Times New Roman"/>
          <w:sz w:val="24"/>
          <w:szCs w:val="24"/>
        </w:rPr>
        <w:t>na stambenoj zgradi, dvorište 613m² temeljem Rješenja Općinskog suda u Puli-Pola od 20.04.2016</w:t>
      </w:r>
      <w:r w:rsidR="00AC1DDB" w:rsidRPr="004E5743">
        <w:rPr>
          <w:rFonts w:ascii="Times New Roman" w:hAnsi="Times New Roman" w:cs="Times New Roman"/>
          <w:sz w:val="24"/>
          <w:szCs w:val="24"/>
        </w:rPr>
        <w:t>.</w:t>
      </w:r>
      <w:r w:rsidR="002D7391" w:rsidRPr="004E5743">
        <w:rPr>
          <w:rFonts w:ascii="Times New Roman" w:hAnsi="Times New Roman" w:cs="Times New Roman"/>
          <w:sz w:val="24"/>
          <w:szCs w:val="24"/>
        </w:rPr>
        <w:t xml:space="preserve"> godine u iznosu od 330.977 k</w:t>
      </w:r>
      <w:r w:rsidRPr="004E5743">
        <w:rPr>
          <w:rFonts w:ascii="Times New Roman" w:hAnsi="Times New Roman" w:cs="Times New Roman"/>
          <w:sz w:val="24"/>
          <w:szCs w:val="24"/>
        </w:rPr>
        <w:t>n,</w:t>
      </w:r>
    </w:p>
    <w:p w14:paraId="3CD1BA59" w14:textId="5A6B2EB1" w:rsidR="00801AE3" w:rsidRPr="004E5743" w:rsidRDefault="00961801" w:rsidP="004E5743">
      <w:pPr>
        <w:pStyle w:val="ListParagraph"/>
        <w:numPr>
          <w:ilvl w:val="0"/>
          <w:numId w:val="2"/>
        </w:numPr>
        <w:spacing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5743">
        <w:rPr>
          <w:rFonts w:ascii="Times New Roman" w:hAnsi="Times New Roman" w:cs="Times New Roman"/>
          <w:sz w:val="24"/>
          <w:szCs w:val="24"/>
        </w:rPr>
        <w:t>z</w:t>
      </w:r>
      <w:r w:rsidR="00177F63" w:rsidRPr="004E5743">
        <w:rPr>
          <w:rFonts w:ascii="Times New Roman" w:hAnsi="Times New Roman" w:cs="Times New Roman"/>
          <w:sz w:val="24"/>
          <w:szCs w:val="24"/>
        </w:rPr>
        <w:t>alog</w:t>
      </w:r>
      <w:r w:rsidR="00801AE3" w:rsidRPr="004E5743">
        <w:rPr>
          <w:rFonts w:ascii="Times New Roman" w:hAnsi="Times New Roman" w:cs="Times New Roman"/>
          <w:sz w:val="24"/>
          <w:szCs w:val="24"/>
        </w:rPr>
        <w:t xml:space="preserve"> na nekretnini u vlasništvu Grada u iznosu od 2.000.000 kn - u korist poslovne banke za potrebe realizacije projekta p</w:t>
      </w:r>
      <w:r w:rsidR="00EB2FC4" w:rsidRPr="004E5743">
        <w:rPr>
          <w:rFonts w:ascii="Times New Roman" w:hAnsi="Times New Roman" w:cs="Times New Roman"/>
          <w:sz w:val="24"/>
          <w:szCs w:val="24"/>
        </w:rPr>
        <w:t>od nazivom „</w:t>
      </w:r>
      <w:proofErr w:type="spellStart"/>
      <w:r w:rsidR="00EB2FC4" w:rsidRPr="004E5743">
        <w:rPr>
          <w:rFonts w:ascii="Times New Roman" w:hAnsi="Times New Roman" w:cs="Times New Roman"/>
          <w:sz w:val="24"/>
          <w:szCs w:val="24"/>
        </w:rPr>
        <w:t>Verudela</w:t>
      </w:r>
      <w:proofErr w:type="spellEnd"/>
      <w:r w:rsidR="00EB2FC4" w:rsidRPr="004E5743">
        <w:rPr>
          <w:rFonts w:ascii="Times New Roman" w:hAnsi="Times New Roman" w:cs="Times New Roman"/>
          <w:sz w:val="24"/>
          <w:szCs w:val="24"/>
        </w:rPr>
        <w:t xml:space="preserve"> Art Park“ -</w:t>
      </w:r>
      <w:r w:rsidR="00801AE3" w:rsidRPr="004E5743">
        <w:rPr>
          <w:rFonts w:ascii="Times New Roman" w:hAnsi="Times New Roman" w:cs="Times New Roman"/>
          <w:sz w:val="24"/>
          <w:szCs w:val="24"/>
        </w:rPr>
        <w:t xml:space="preserve"> Odluka o dozvoli upisa prava zaloga na nekretnini u vlasništvu Gra</w:t>
      </w:r>
      <w:r w:rsidR="0064474D" w:rsidRPr="004E5743">
        <w:rPr>
          <w:rFonts w:ascii="Times New Roman" w:hAnsi="Times New Roman" w:cs="Times New Roman"/>
          <w:sz w:val="24"/>
          <w:szCs w:val="24"/>
        </w:rPr>
        <w:t>da Pule radi osiguranja kredita</w:t>
      </w:r>
      <w:r w:rsidR="00801AE3" w:rsidRPr="004E5743">
        <w:rPr>
          <w:rFonts w:ascii="Times New Roman" w:hAnsi="Times New Roman" w:cs="Times New Roman"/>
          <w:sz w:val="24"/>
          <w:szCs w:val="24"/>
        </w:rPr>
        <w:t xml:space="preserve"> od 30. siječnja </w:t>
      </w:r>
      <w:r w:rsidR="003C20C6" w:rsidRPr="004E5743">
        <w:rPr>
          <w:rFonts w:ascii="Times New Roman" w:hAnsi="Times New Roman" w:cs="Times New Roman"/>
          <w:sz w:val="24"/>
          <w:szCs w:val="24"/>
        </w:rPr>
        <w:t>2019.</w:t>
      </w:r>
      <w:r w:rsidR="00801AE3" w:rsidRPr="004E5743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01EAD779" w14:textId="77777777" w:rsidR="008331C8" w:rsidRDefault="008331C8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1DADDFF5" w14:textId="77777777" w:rsidR="00DD6202" w:rsidRDefault="00DD6202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5F8E06FD" w14:textId="77777777" w:rsidR="00DD6202" w:rsidRDefault="00DD6202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</w:p>
    <w:p w14:paraId="71F68A3E" w14:textId="3275781F" w:rsidR="002D7391" w:rsidRPr="004E5743" w:rsidRDefault="002D7391" w:rsidP="004E5743">
      <w:pPr>
        <w:pStyle w:val="Style20"/>
        <w:widowControl/>
        <w:spacing w:line="276" w:lineRule="auto"/>
        <w:rPr>
          <w:rFonts w:ascii="Times New Roman" w:hAnsi="Times New Roman" w:cs="Times New Roman"/>
          <w:b/>
        </w:rPr>
      </w:pPr>
      <w:r w:rsidRPr="004E5743">
        <w:rPr>
          <w:rFonts w:ascii="Times New Roman" w:hAnsi="Times New Roman" w:cs="Times New Roman"/>
          <w:b/>
        </w:rPr>
        <w:lastRenderedPageBreak/>
        <w:t>BILJEŠKA br.</w:t>
      </w:r>
      <w:r w:rsidR="004F1FF4" w:rsidRPr="004E5743">
        <w:rPr>
          <w:rFonts w:ascii="Times New Roman" w:hAnsi="Times New Roman" w:cs="Times New Roman"/>
          <w:b/>
        </w:rPr>
        <w:t xml:space="preserve"> </w:t>
      </w:r>
      <w:r w:rsidR="00EC66FA">
        <w:rPr>
          <w:rFonts w:ascii="Times New Roman" w:hAnsi="Times New Roman" w:cs="Times New Roman"/>
          <w:b/>
        </w:rPr>
        <w:t>100</w:t>
      </w:r>
    </w:p>
    <w:p w14:paraId="34253F2A" w14:textId="4560F3E0" w:rsidR="00DF1EAF" w:rsidRPr="004E5743" w:rsidRDefault="002D7391" w:rsidP="004E5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743">
        <w:rPr>
          <w:rFonts w:ascii="Times New Roman" w:hAnsi="Times New Roman" w:cs="Times New Roman"/>
          <w:sz w:val="24"/>
          <w:szCs w:val="24"/>
        </w:rPr>
        <w:t xml:space="preserve">Grad u </w:t>
      </w:r>
      <w:proofErr w:type="spellStart"/>
      <w:r w:rsidRPr="004E5743">
        <w:rPr>
          <w:rFonts w:ascii="Times New Roman" w:hAnsi="Times New Roman" w:cs="Times New Roman"/>
          <w:sz w:val="24"/>
          <w:szCs w:val="24"/>
        </w:rPr>
        <w:t>izvanbilančnoj</w:t>
      </w:r>
      <w:proofErr w:type="spellEnd"/>
      <w:r w:rsidRPr="004E5743">
        <w:rPr>
          <w:rFonts w:ascii="Times New Roman" w:hAnsi="Times New Roman" w:cs="Times New Roman"/>
          <w:sz w:val="24"/>
          <w:szCs w:val="24"/>
        </w:rPr>
        <w:t xml:space="preserve"> evidenciji vodi sudske postupke koji </w:t>
      </w:r>
      <w:r w:rsidR="00DF1EAF" w:rsidRPr="004E5743">
        <w:rPr>
          <w:rFonts w:ascii="Times New Roman" w:hAnsi="Times New Roman" w:cs="Times New Roman"/>
          <w:sz w:val="24"/>
          <w:szCs w:val="24"/>
        </w:rPr>
        <w:t>na dan</w:t>
      </w:r>
      <w:r w:rsidRPr="004E5743">
        <w:rPr>
          <w:rFonts w:ascii="Times New Roman" w:hAnsi="Times New Roman" w:cs="Times New Roman"/>
          <w:sz w:val="24"/>
          <w:szCs w:val="24"/>
        </w:rPr>
        <w:t xml:space="preserve"> 31. prosinca </w:t>
      </w:r>
      <w:r w:rsidR="003C20C6" w:rsidRPr="004E5743">
        <w:rPr>
          <w:rFonts w:ascii="Times New Roman" w:hAnsi="Times New Roman" w:cs="Times New Roman"/>
          <w:sz w:val="24"/>
          <w:szCs w:val="24"/>
        </w:rPr>
        <w:t>20</w:t>
      </w:r>
      <w:r w:rsidR="001F4D63" w:rsidRPr="004E5743">
        <w:rPr>
          <w:rFonts w:ascii="Times New Roman" w:hAnsi="Times New Roman" w:cs="Times New Roman"/>
          <w:sz w:val="24"/>
          <w:szCs w:val="24"/>
        </w:rPr>
        <w:t>2</w:t>
      </w:r>
      <w:r w:rsidR="00347312" w:rsidRPr="004E5743">
        <w:rPr>
          <w:rFonts w:ascii="Times New Roman" w:hAnsi="Times New Roman" w:cs="Times New Roman"/>
          <w:sz w:val="24"/>
          <w:szCs w:val="24"/>
        </w:rPr>
        <w:t>1</w:t>
      </w:r>
      <w:r w:rsidR="003C20C6" w:rsidRPr="004E5743">
        <w:rPr>
          <w:rFonts w:ascii="Times New Roman" w:hAnsi="Times New Roman" w:cs="Times New Roman"/>
          <w:sz w:val="24"/>
          <w:szCs w:val="24"/>
        </w:rPr>
        <w:t>.</w:t>
      </w:r>
      <w:r w:rsidRPr="004E5743">
        <w:rPr>
          <w:rFonts w:ascii="Times New Roman" w:hAnsi="Times New Roman" w:cs="Times New Roman"/>
          <w:sz w:val="24"/>
          <w:szCs w:val="24"/>
        </w:rPr>
        <w:t xml:space="preserve"> godine iznose </w:t>
      </w:r>
      <w:r w:rsidR="00347312" w:rsidRPr="004E5743">
        <w:rPr>
          <w:rFonts w:ascii="Times New Roman" w:hAnsi="Times New Roman" w:cs="Times New Roman"/>
          <w:sz w:val="24"/>
          <w:szCs w:val="24"/>
        </w:rPr>
        <w:t>120.933.129</w:t>
      </w:r>
      <w:r w:rsidRPr="004E5743">
        <w:rPr>
          <w:rFonts w:ascii="Times New Roman" w:hAnsi="Times New Roman" w:cs="Times New Roman"/>
          <w:sz w:val="24"/>
          <w:szCs w:val="24"/>
        </w:rPr>
        <w:t xml:space="preserve"> kn i biljež</w:t>
      </w:r>
      <w:r w:rsidR="00C2377A" w:rsidRPr="004E5743">
        <w:rPr>
          <w:rFonts w:ascii="Times New Roman" w:hAnsi="Times New Roman" w:cs="Times New Roman"/>
          <w:sz w:val="24"/>
          <w:szCs w:val="24"/>
        </w:rPr>
        <w:t>i</w:t>
      </w:r>
      <w:r w:rsidRPr="004E5743">
        <w:rPr>
          <w:rFonts w:ascii="Times New Roman" w:hAnsi="Times New Roman" w:cs="Times New Roman"/>
          <w:sz w:val="24"/>
          <w:szCs w:val="24"/>
        </w:rPr>
        <w:t xml:space="preserve"> sveukupno </w:t>
      </w:r>
      <w:r w:rsidR="00347312" w:rsidRPr="004E5743">
        <w:rPr>
          <w:rFonts w:ascii="Times New Roman" w:hAnsi="Times New Roman" w:cs="Times New Roman"/>
          <w:sz w:val="24"/>
          <w:szCs w:val="24"/>
        </w:rPr>
        <w:t>96 parničnih</w:t>
      </w:r>
      <w:r w:rsidRPr="004E5743">
        <w:rPr>
          <w:rFonts w:ascii="Times New Roman" w:hAnsi="Times New Roman" w:cs="Times New Roman"/>
          <w:sz w:val="24"/>
          <w:szCs w:val="24"/>
        </w:rPr>
        <w:t xml:space="preserve"> postupak</w:t>
      </w:r>
      <w:r w:rsidR="00347312" w:rsidRPr="004E5743">
        <w:rPr>
          <w:rFonts w:ascii="Times New Roman" w:hAnsi="Times New Roman" w:cs="Times New Roman"/>
          <w:sz w:val="24"/>
          <w:szCs w:val="24"/>
        </w:rPr>
        <w:t>a</w:t>
      </w:r>
      <w:r w:rsidRPr="004E5743">
        <w:rPr>
          <w:rFonts w:ascii="Times New Roman" w:hAnsi="Times New Roman" w:cs="Times New Roman"/>
          <w:sz w:val="24"/>
          <w:szCs w:val="24"/>
        </w:rPr>
        <w:t xml:space="preserve">. Od navedenog iznosa, Grad je tužitelj u </w:t>
      </w:r>
      <w:r w:rsidR="001F4D63" w:rsidRPr="004E5743">
        <w:rPr>
          <w:rFonts w:ascii="Times New Roman" w:hAnsi="Times New Roman" w:cs="Times New Roman"/>
          <w:sz w:val="24"/>
          <w:szCs w:val="24"/>
        </w:rPr>
        <w:t>3</w:t>
      </w:r>
      <w:r w:rsidR="00347312" w:rsidRPr="004E5743">
        <w:rPr>
          <w:rFonts w:ascii="Times New Roman" w:hAnsi="Times New Roman" w:cs="Times New Roman"/>
          <w:sz w:val="24"/>
          <w:szCs w:val="24"/>
        </w:rPr>
        <w:t>0</w:t>
      </w:r>
      <w:r w:rsidR="001F4D63" w:rsidRPr="004E5743">
        <w:rPr>
          <w:rFonts w:ascii="Times New Roman" w:hAnsi="Times New Roman" w:cs="Times New Roman"/>
          <w:sz w:val="24"/>
          <w:szCs w:val="24"/>
        </w:rPr>
        <w:t xml:space="preserve"> </w:t>
      </w:r>
      <w:r w:rsidRPr="004E5743">
        <w:rPr>
          <w:rFonts w:ascii="Times New Roman" w:hAnsi="Times New Roman" w:cs="Times New Roman"/>
          <w:sz w:val="24"/>
          <w:szCs w:val="24"/>
        </w:rPr>
        <w:t xml:space="preserve">predmeta, za iznos od </w:t>
      </w:r>
      <w:r w:rsidR="001F4D63" w:rsidRPr="004E5743">
        <w:rPr>
          <w:rFonts w:ascii="Times New Roman" w:hAnsi="Times New Roman" w:cs="Times New Roman"/>
          <w:sz w:val="24"/>
          <w:szCs w:val="24"/>
        </w:rPr>
        <w:t>5.</w:t>
      </w:r>
      <w:r w:rsidR="00347312" w:rsidRPr="004E5743">
        <w:rPr>
          <w:rFonts w:ascii="Times New Roman" w:hAnsi="Times New Roman" w:cs="Times New Roman"/>
          <w:sz w:val="24"/>
          <w:szCs w:val="24"/>
        </w:rPr>
        <w:t>379.585</w:t>
      </w:r>
      <w:r w:rsidRPr="004E5743">
        <w:rPr>
          <w:rFonts w:ascii="Times New Roman" w:hAnsi="Times New Roman" w:cs="Times New Roman"/>
          <w:sz w:val="24"/>
          <w:szCs w:val="24"/>
        </w:rPr>
        <w:t xml:space="preserve"> kn</w:t>
      </w:r>
      <w:r w:rsidR="0064474D" w:rsidRPr="004E5743">
        <w:rPr>
          <w:rFonts w:ascii="Times New Roman" w:hAnsi="Times New Roman" w:cs="Times New Roman"/>
          <w:sz w:val="24"/>
          <w:szCs w:val="24"/>
        </w:rPr>
        <w:t>, a</w:t>
      </w:r>
      <w:r w:rsidRPr="004E5743">
        <w:rPr>
          <w:rFonts w:ascii="Times New Roman" w:hAnsi="Times New Roman" w:cs="Times New Roman"/>
          <w:sz w:val="24"/>
          <w:szCs w:val="24"/>
        </w:rPr>
        <w:t xml:space="preserve"> tuženik u </w:t>
      </w:r>
      <w:r w:rsidR="001F4D63" w:rsidRPr="004E5743">
        <w:rPr>
          <w:rFonts w:ascii="Times New Roman" w:hAnsi="Times New Roman" w:cs="Times New Roman"/>
          <w:sz w:val="24"/>
          <w:szCs w:val="24"/>
        </w:rPr>
        <w:t>6</w:t>
      </w:r>
      <w:r w:rsidR="00347312" w:rsidRPr="004E5743">
        <w:rPr>
          <w:rFonts w:ascii="Times New Roman" w:hAnsi="Times New Roman" w:cs="Times New Roman"/>
          <w:sz w:val="24"/>
          <w:szCs w:val="24"/>
        </w:rPr>
        <w:t>6</w:t>
      </w:r>
      <w:r w:rsidRPr="004E5743">
        <w:rPr>
          <w:rFonts w:ascii="Times New Roman" w:hAnsi="Times New Roman" w:cs="Times New Roman"/>
          <w:sz w:val="24"/>
          <w:szCs w:val="24"/>
        </w:rPr>
        <w:t xml:space="preserve"> predmeta u iznosu od </w:t>
      </w:r>
      <w:r w:rsidR="001F4D63" w:rsidRPr="004E5743">
        <w:rPr>
          <w:rFonts w:ascii="Times New Roman" w:hAnsi="Times New Roman" w:cs="Times New Roman"/>
          <w:sz w:val="24"/>
          <w:szCs w:val="24"/>
        </w:rPr>
        <w:t>115.</w:t>
      </w:r>
      <w:r w:rsidR="00347312" w:rsidRPr="004E5743">
        <w:rPr>
          <w:rFonts w:ascii="Times New Roman" w:hAnsi="Times New Roman" w:cs="Times New Roman"/>
          <w:sz w:val="24"/>
          <w:szCs w:val="24"/>
        </w:rPr>
        <w:t>553.544</w:t>
      </w:r>
      <w:r w:rsidR="00DF1EAF" w:rsidRPr="004E5743">
        <w:rPr>
          <w:rFonts w:ascii="Times New Roman" w:hAnsi="Times New Roman" w:cs="Times New Roman"/>
          <w:sz w:val="24"/>
          <w:szCs w:val="24"/>
        </w:rPr>
        <w:t xml:space="preserve"> kn (od toga </w:t>
      </w:r>
      <w:proofErr w:type="spellStart"/>
      <w:r w:rsidR="00DF1EAF" w:rsidRPr="004E5743">
        <w:rPr>
          <w:rFonts w:ascii="Times New Roman" w:hAnsi="Times New Roman" w:cs="Times New Roman"/>
          <w:sz w:val="24"/>
          <w:szCs w:val="24"/>
        </w:rPr>
        <w:t>protutužitelj</w:t>
      </w:r>
      <w:proofErr w:type="spellEnd"/>
      <w:r w:rsidR="00DF1EAF" w:rsidRPr="004E5743">
        <w:rPr>
          <w:rFonts w:ascii="Times New Roman" w:hAnsi="Times New Roman" w:cs="Times New Roman"/>
          <w:sz w:val="24"/>
          <w:szCs w:val="24"/>
        </w:rPr>
        <w:t xml:space="preserve"> u</w:t>
      </w:r>
      <w:r w:rsidR="001F4D63" w:rsidRPr="004E5743">
        <w:rPr>
          <w:rFonts w:ascii="Times New Roman" w:hAnsi="Times New Roman" w:cs="Times New Roman"/>
          <w:sz w:val="24"/>
          <w:szCs w:val="24"/>
        </w:rPr>
        <w:t xml:space="preserve"> 3</w:t>
      </w:r>
      <w:r w:rsidR="00DF1EAF" w:rsidRPr="004E5743">
        <w:rPr>
          <w:rFonts w:ascii="Times New Roman" w:hAnsi="Times New Roman" w:cs="Times New Roman"/>
          <w:sz w:val="24"/>
          <w:szCs w:val="24"/>
        </w:rPr>
        <w:t xml:space="preserve"> parnice i </w:t>
      </w:r>
      <w:proofErr w:type="spellStart"/>
      <w:r w:rsidR="00DF1EAF" w:rsidRPr="004E5743">
        <w:rPr>
          <w:rFonts w:ascii="Times New Roman" w:hAnsi="Times New Roman" w:cs="Times New Roman"/>
          <w:sz w:val="24"/>
          <w:szCs w:val="24"/>
        </w:rPr>
        <w:t>protutuženik</w:t>
      </w:r>
      <w:proofErr w:type="spellEnd"/>
      <w:r w:rsidR="00DF1EAF" w:rsidRPr="004E5743">
        <w:rPr>
          <w:rFonts w:ascii="Times New Roman" w:hAnsi="Times New Roman" w:cs="Times New Roman"/>
          <w:sz w:val="24"/>
          <w:szCs w:val="24"/>
        </w:rPr>
        <w:t xml:space="preserve"> u </w:t>
      </w:r>
      <w:r w:rsidR="00347312" w:rsidRPr="004E5743">
        <w:rPr>
          <w:rFonts w:ascii="Times New Roman" w:hAnsi="Times New Roman" w:cs="Times New Roman"/>
          <w:sz w:val="24"/>
          <w:szCs w:val="24"/>
        </w:rPr>
        <w:t>2</w:t>
      </w:r>
      <w:r w:rsidR="00DF1EAF" w:rsidRPr="004E5743">
        <w:rPr>
          <w:rFonts w:ascii="Times New Roman" w:hAnsi="Times New Roman" w:cs="Times New Roman"/>
          <w:sz w:val="24"/>
          <w:szCs w:val="24"/>
        </w:rPr>
        <w:t xml:space="preserve"> parnic</w:t>
      </w:r>
      <w:r w:rsidR="00347312" w:rsidRPr="004E5743">
        <w:rPr>
          <w:rFonts w:ascii="Times New Roman" w:hAnsi="Times New Roman" w:cs="Times New Roman"/>
          <w:sz w:val="24"/>
          <w:szCs w:val="24"/>
        </w:rPr>
        <w:t>e</w:t>
      </w:r>
      <w:r w:rsidR="00DF1EAF" w:rsidRPr="004E5743">
        <w:rPr>
          <w:rFonts w:ascii="Times New Roman" w:hAnsi="Times New Roman" w:cs="Times New Roman"/>
          <w:sz w:val="24"/>
          <w:szCs w:val="24"/>
        </w:rPr>
        <w:t>).</w:t>
      </w:r>
      <w:r w:rsidRPr="004E5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FFB7A" w14:textId="4373BA3A" w:rsidR="002D7391" w:rsidRDefault="007B1DC6" w:rsidP="00156CD9">
      <w:pPr>
        <w:pStyle w:val="Style20"/>
        <w:widowControl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156CD9">
        <w:rPr>
          <w:rFonts w:ascii="Times New Roman" w:hAnsi="Times New Roman" w:cs="Times New Roman"/>
          <w:bCs/>
        </w:rPr>
        <w:t>Pregled sudskih sporova u tijeku</w:t>
      </w:r>
      <w:r w:rsidR="00B55522" w:rsidRPr="00156CD9">
        <w:rPr>
          <w:rFonts w:ascii="Times New Roman" w:hAnsi="Times New Roman" w:cs="Times New Roman"/>
          <w:bCs/>
        </w:rPr>
        <w:t xml:space="preserve"> -</w:t>
      </w:r>
      <w:r w:rsidR="002D7391" w:rsidRPr="00156CD9">
        <w:rPr>
          <w:rFonts w:ascii="Times New Roman" w:hAnsi="Times New Roman" w:cs="Times New Roman"/>
          <w:bCs/>
        </w:rPr>
        <w:t xml:space="preserve"> </w:t>
      </w:r>
      <w:r w:rsidRPr="00156CD9">
        <w:rPr>
          <w:rFonts w:ascii="Times New Roman" w:hAnsi="Times New Roman" w:cs="Times New Roman"/>
          <w:bCs/>
        </w:rPr>
        <w:t>stanje</w:t>
      </w:r>
      <w:r w:rsidR="002D7391" w:rsidRPr="00156CD9">
        <w:rPr>
          <w:rFonts w:ascii="Times New Roman" w:hAnsi="Times New Roman" w:cs="Times New Roman"/>
          <w:bCs/>
        </w:rPr>
        <w:t xml:space="preserve"> 31.12.</w:t>
      </w:r>
      <w:r w:rsidR="003C20C6" w:rsidRPr="00156CD9">
        <w:rPr>
          <w:rFonts w:ascii="Times New Roman" w:hAnsi="Times New Roman" w:cs="Times New Roman"/>
          <w:bCs/>
        </w:rPr>
        <w:t>20</w:t>
      </w:r>
      <w:r w:rsidR="009668BE" w:rsidRPr="00156CD9">
        <w:rPr>
          <w:rFonts w:ascii="Times New Roman" w:hAnsi="Times New Roman" w:cs="Times New Roman"/>
          <w:bCs/>
        </w:rPr>
        <w:t>2</w:t>
      </w:r>
      <w:r w:rsidR="00DB5F7B" w:rsidRPr="00156CD9">
        <w:rPr>
          <w:rFonts w:ascii="Times New Roman" w:hAnsi="Times New Roman" w:cs="Times New Roman"/>
          <w:bCs/>
        </w:rPr>
        <w:t>1</w:t>
      </w:r>
      <w:r w:rsidR="003C20C6" w:rsidRPr="00156CD9">
        <w:rPr>
          <w:rFonts w:ascii="Times New Roman" w:hAnsi="Times New Roman" w:cs="Times New Roman"/>
          <w:bCs/>
        </w:rPr>
        <w:t>.</w:t>
      </w:r>
      <w:r w:rsidR="002D7391" w:rsidRPr="00156CD9">
        <w:rPr>
          <w:rFonts w:ascii="Times New Roman" w:hAnsi="Times New Roman" w:cs="Times New Roman"/>
          <w:bCs/>
        </w:rPr>
        <w:t xml:space="preserve"> godine</w:t>
      </w:r>
    </w:p>
    <w:p w14:paraId="49BC09CD" w14:textId="6A664EB8" w:rsidR="008331C8" w:rsidRPr="00156CD9" w:rsidRDefault="00DD6202" w:rsidP="00156CD9">
      <w:pPr>
        <w:pStyle w:val="Style20"/>
        <w:widowControl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DD6202">
        <w:drawing>
          <wp:inline distT="0" distB="0" distL="0" distR="0" wp14:anchorId="2C98E98A" wp14:editId="0D6941A3">
            <wp:extent cx="6120130" cy="71647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D7644" w14:textId="3EF105E5" w:rsidR="00F34BD5" w:rsidRPr="00156CD9" w:rsidRDefault="00DD6202" w:rsidP="00156C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6202">
        <w:lastRenderedPageBreak/>
        <w:drawing>
          <wp:inline distT="0" distB="0" distL="0" distR="0" wp14:anchorId="08D2B956" wp14:editId="41539153">
            <wp:extent cx="6120130" cy="89173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1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BD5" w:rsidRPr="00156CD9">
        <w:rPr>
          <w:rFonts w:ascii="Times New Roman" w:hAnsi="Times New Roman" w:cs="Times New Roman"/>
          <w:b/>
        </w:rPr>
        <w:br w:type="page"/>
      </w:r>
    </w:p>
    <w:p w14:paraId="78EF5CB5" w14:textId="6CF30D08" w:rsidR="00EC66FA" w:rsidRPr="008331C8" w:rsidRDefault="00DD6202" w:rsidP="008331C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6202">
        <w:lastRenderedPageBreak/>
        <w:drawing>
          <wp:inline distT="0" distB="0" distL="0" distR="0" wp14:anchorId="4595650B" wp14:editId="60355588">
            <wp:extent cx="6120130" cy="1195705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935D3" w14:textId="77777777" w:rsidR="00810428" w:rsidRDefault="00810428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32BC4599" w14:textId="60D084F4" w:rsidR="00173FDD" w:rsidRPr="00156CD9" w:rsidRDefault="008B4DEF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BILJEŠKA br. </w:t>
      </w:r>
      <w:r w:rsidR="00D72BB2">
        <w:rPr>
          <w:rFonts w:ascii="Times New Roman" w:hAnsi="Times New Roman" w:cs="Times New Roman"/>
          <w:b/>
        </w:rPr>
        <w:t>10</w:t>
      </w:r>
      <w:r w:rsidR="00810428">
        <w:rPr>
          <w:rFonts w:ascii="Times New Roman" w:hAnsi="Times New Roman" w:cs="Times New Roman"/>
          <w:b/>
        </w:rPr>
        <w:t>1</w:t>
      </w:r>
    </w:p>
    <w:p w14:paraId="5909DA8D" w14:textId="2DDB7497" w:rsidR="002D7391" w:rsidRPr="00156CD9" w:rsidRDefault="008B4DEF" w:rsidP="00156CD9">
      <w:pPr>
        <w:pStyle w:val="Style20"/>
        <w:widowControl/>
        <w:spacing w:line="276" w:lineRule="auto"/>
        <w:contextualSpacing/>
        <w:rPr>
          <w:rStyle w:val="FontStyle24"/>
          <w:spacing w:val="0"/>
        </w:rPr>
      </w:pPr>
      <w:r w:rsidRPr="00156CD9">
        <w:rPr>
          <w:rStyle w:val="FontStyle24"/>
          <w:spacing w:val="0"/>
        </w:rPr>
        <w:t xml:space="preserve">Ostali </w:t>
      </w:r>
      <w:proofErr w:type="spellStart"/>
      <w:r w:rsidRPr="00156CD9">
        <w:rPr>
          <w:rStyle w:val="FontStyle24"/>
          <w:spacing w:val="0"/>
        </w:rPr>
        <w:t>izvanbilančni</w:t>
      </w:r>
      <w:proofErr w:type="spellEnd"/>
      <w:r w:rsidRPr="00156CD9">
        <w:rPr>
          <w:rStyle w:val="FontStyle24"/>
          <w:spacing w:val="0"/>
        </w:rPr>
        <w:t xml:space="preserve"> zapisi - dane suglasnosti u iznosu od </w:t>
      </w:r>
      <w:r w:rsidR="008C6951" w:rsidRPr="00156CD9">
        <w:rPr>
          <w:rStyle w:val="FontStyle24"/>
          <w:spacing w:val="0"/>
        </w:rPr>
        <w:t>244.694.446</w:t>
      </w:r>
      <w:r w:rsidRPr="00156CD9">
        <w:rPr>
          <w:rStyle w:val="FontStyle24"/>
          <w:spacing w:val="0"/>
        </w:rPr>
        <w:t xml:space="preserve"> kn prema tablici koja slijedi: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96"/>
        <w:gridCol w:w="5719"/>
        <w:gridCol w:w="743"/>
        <w:gridCol w:w="1700"/>
      </w:tblGrid>
      <w:tr w:rsidR="008C6951" w:rsidRPr="00156CD9" w14:paraId="5C308DB9" w14:textId="77777777" w:rsidTr="00DD6202">
        <w:trPr>
          <w:trHeight w:val="795"/>
        </w:trPr>
        <w:tc>
          <w:tcPr>
            <w:tcW w:w="576" w:type="dxa"/>
            <w:shd w:val="clear" w:color="auto" w:fill="auto"/>
            <w:vAlign w:val="center"/>
            <w:hideMark/>
          </w:tcPr>
          <w:p w14:paraId="406A094C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RED. BR. 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EF386F2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RAČUN 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1F8CBFB1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NAZIV KORISNIKA SUGLASNOSTI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75A2B19B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MB/MF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7D846C02" w14:textId="77777777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GLAVNICA ZA OTPLATU NA DAN 31.12.2021.</w:t>
            </w:r>
          </w:p>
        </w:tc>
      </w:tr>
      <w:tr w:rsidR="008C6951" w:rsidRPr="00156CD9" w14:paraId="63547E2B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4DB9DBEE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6E371E9D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99191013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539E4F1E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-suglasnost-PLINARA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7B4E02E5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1296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AD1F297" w14:textId="4A479830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59.416.66</w:t>
            </w:r>
            <w:r w:rsidR="004E07D1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8C6951" w:rsidRPr="00156CD9" w14:paraId="5950F50D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3B792671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31C48954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99191014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5BD531E8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-suglasnost-VODOVOD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1CE87BAF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1089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DDD995B" w14:textId="37A63C75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3.863.199</w:t>
            </w:r>
          </w:p>
        </w:tc>
      </w:tr>
      <w:tr w:rsidR="008C6951" w:rsidRPr="00156CD9" w14:paraId="3D976C0F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11D5C805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5167288E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99191015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7D8BA706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-suglasnost-PULA SPORT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71939068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1461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517D01B" w14:textId="7F6A383B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10.774.687</w:t>
            </w:r>
          </w:p>
        </w:tc>
      </w:tr>
      <w:tr w:rsidR="008C6951" w:rsidRPr="00156CD9" w14:paraId="1F5EA1E4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75194387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65408834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99191016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77B61DF6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-suglasnost-PULA SPORT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20A855DD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1346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4F2BD8C" w14:textId="6C6081AF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5.360.46</w:t>
            </w:r>
            <w:r w:rsidR="004E07D1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</w:tr>
      <w:tr w:rsidR="008C6951" w:rsidRPr="00156CD9" w14:paraId="3D20CF24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0C756F63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103EEE5A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99191018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594AADD0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-suglasnost-PRAGRANDE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20FAEA78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1572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501B244" w14:textId="5D256D2E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3.930.50</w:t>
            </w:r>
            <w:r w:rsidR="004E07D1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</w:t>
            </w:r>
          </w:p>
        </w:tc>
      </w:tr>
      <w:tr w:rsidR="008C6951" w:rsidRPr="00156CD9" w14:paraId="74B8D064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2EB77C42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5026C432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99191020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7A41924B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-suglasnosti-PLINARA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4096492C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1669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081F59F" w14:textId="7712A5BE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45.602.61</w:t>
            </w:r>
            <w:r w:rsidR="004E07D1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8C6951" w:rsidRPr="00156CD9" w14:paraId="6D36E284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711F814A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60AFE28D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99191022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56932000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-suglasnost-LUKA PULA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653F859A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2131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0F54A79" w14:textId="216D72C5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2.047.783</w:t>
            </w:r>
          </w:p>
        </w:tc>
      </w:tr>
      <w:tr w:rsidR="008C6951" w:rsidRPr="00156CD9" w14:paraId="0968E279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6D9CC4A2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32305D3C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99191023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04758D4F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-suglasnost-PULAPROMET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2CBAC041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2178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36E4C11" w14:textId="3B919651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14.378.</w:t>
            </w:r>
            <w:r w:rsidR="004E07D1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491</w:t>
            </w:r>
          </w:p>
        </w:tc>
      </w:tr>
      <w:tr w:rsidR="008C6951" w:rsidRPr="00156CD9" w14:paraId="29F4C35F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17C4FB93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7AF3F20B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9919124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7B99804F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-suglasnost-PULA SPORT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4ADC61B1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2227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39C9B0C" w14:textId="55975C6C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56.604.166</w:t>
            </w:r>
          </w:p>
        </w:tc>
      </w:tr>
      <w:tr w:rsidR="008C6951" w:rsidRPr="00156CD9" w14:paraId="1A960342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2DF7ED34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1B53A7A1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99191025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735286C1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-suglasnost-MONTE GIRO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40088DF4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2359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33A9C97" w14:textId="16BBEAE9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4.634.1</w:t>
            </w:r>
            <w:r w:rsidR="004E07D1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</w:t>
            </w:r>
          </w:p>
        </w:tc>
      </w:tr>
      <w:tr w:rsidR="008C6951" w:rsidRPr="00156CD9" w14:paraId="4D106692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0807A983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28FEB25A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99191026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4E0CDD2B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-suglasnost-LUKA PULA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5E8D967B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2399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8D2E10B" w14:textId="19CE49E6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240.625</w:t>
            </w:r>
          </w:p>
        </w:tc>
      </w:tr>
      <w:tr w:rsidR="008C6951" w:rsidRPr="00156CD9" w14:paraId="532AEF2D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093BC762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555CB3FF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99191027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60721CB8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-suglasnost-PLINARA 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14C4ABF1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2775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050202" w14:textId="4DE772F8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3.266.66</w:t>
            </w:r>
            <w:r w:rsidR="00163A5F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</w:tr>
      <w:tr w:rsidR="008C6951" w:rsidRPr="00156CD9" w14:paraId="199C2487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31267321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2B1B9467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99191028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5C18FDF8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-suglasnost-KAŠTIJUN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45D40908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3047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26B4DFF" w14:textId="2F793C36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12.719.29</w:t>
            </w:r>
            <w:r w:rsidR="004E07D1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</w:t>
            </w:r>
          </w:p>
        </w:tc>
      </w:tr>
      <w:tr w:rsidR="008C6951" w:rsidRPr="00156CD9" w14:paraId="28680CEC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center"/>
            <w:hideMark/>
          </w:tcPr>
          <w:p w14:paraId="1632104F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9A86232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99191029</w:t>
            </w:r>
          </w:p>
        </w:tc>
        <w:tc>
          <w:tcPr>
            <w:tcW w:w="5719" w:type="dxa"/>
            <w:shd w:val="clear" w:color="auto" w:fill="auto"/>
            <w:vAlign w:val="center"/>
            <w:hideMark/>
          </w:tcPr>
          <w:p w14:paraId="6BCBD42E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-suglasnost-VATROGASNA ZAJEDNICA ISTARSKE ŽUPANIJE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0597D583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2988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CE6AC2D" w14:textId="079D5404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18.040.750</w:t>
            </w:r>
          </w:p>
        </w:tc>
      </w:tr>
      <w:tr w:rsidR="008C6951" w:rsidRPr="00156CD9" w14:paraId="487731F3" w14:textId="77777777" w:rsidTr="00DD6202">
        <w:trPr>
          <w:trHeight w:val="198"/>
        </w:trPr>
        <w:tc>
          <w:tcPr>
            <w:tcW w:w="576" w:type="dxa"/>
            <w:shd w:val="clear" w:color="auto" w:fill="auto"/>
            <w:vAlign w:val="bottom"/>
            <w:hideMark/>
          </w:tcPr>
          <w:p w14:paraId="3AC473A8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896" w:type="dxa"/>
            <w:shd w:val="clear" w:color="auto" w:fill="auto"/>
            <w:vAlign w:val="bottom"/>
            <w:hideMark/>
          </w:tcPr>
          <w:p w14:paraId="1D95B72B" w14:textId="108A8920" w:rsidR="008C6951" w:rsidRPr="00156CD9" w:rsidRDefault="008F6937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99191022</w:t>
            </w:r>
            <w:r w:rsidR="008C6951"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19" w:type="dxa"/>
            <w:shd w:val="clear" w:color="auto" w:fill="auto"/>
            <w:vAlign w:val="bottom"/>
            <w:hideMark/>
          </w:tcPr>
          <w:p w14:paraId="13A0BCDF" w14:textId="77777777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Izvanbilan.zapisi</w:t>
            </w:r>
            <w:proofErr w:type="spellEnd"/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-suglasnost-LUKA PULA d.o.o.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187A7F18" w14:textId="77777777" w:rsidR="008C6951" w:rsidRPr="00156CD9" w:rsidRDefault="008C6951" w:rsidP="001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3089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E6A8B85" w14:textId="2EDD1928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3.814.34</w:t>
            </w:r>
            <w:r w:rsidR="004E07D1"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8C6951" w:rsidRPr="00156CD9" w14:paraId="50B435FF" w14:textId="77777777" w:rsidTr="00DD6202">
        <w:trPr>
          <w:trHeight w:val="198"/>
        </w:trPr>
        <w:tc>
          <w:tcPr>
            <w:tcW w:w="7934" w:type="dxa"/>
            <w:gridSpan w:val="4"/>
            <w:shd w:val="clear" w:color="auto" w:fill="auto"/>
            <w:noWrap/>
            <w:vAlign w:val="center"/>
            <w:hideMark/>
          </w:tcPr>
          <w:p w14:paraId="1FC41FCE" w14:textId="0180B8B2" w:rsidR="008C6951" w:rsidRPr="00156CD9" w:rsidRDefault="008C6951" w:rsidP="001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UKUPNO  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4204E439" w14:textId="0F50D475" w:rsidR="008C6951" w:rsidRPr="00156CD9" w:rsidRDefault="008C6951" w:rsidP="001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56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244.694.44</w:t>
            </w:r>
            <w:r w:rsidR="006A7B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</w:tr>
    </w:tbl>
    <w:p w14:paraId="17E79E89" w14:textId="77777777" w:rsidR="00EB2FC4" w:rsidRPr="00156CD9" w:rsidRDefault="00EB2FC4" w:rsidP="00156CD9">
      <w:pPr>
        <w:spacing w:after="0"/>
        <w:jc w:val="both"/>
        <w:rPr>
          <w:rStyle w:val="FontStyle24"/>
          <w:rFonts w:eastAsia="Times New Roman"/>
          <w:spacing w:val="0"/>
          <w:lang w:eastAsia="hr-HR"/>
        </w:rPr>
      </w:pPr>
    </w:p>
    <w:p w14:paraId="6C8FC05D" w14:textId="77777777" w:rsidR="00434C5B" w:rsidRPr="00156CD9" w:rsidRDefault="000549BB" w:rsidP="00156CD9">
      <w:pPr>
        <w:spacing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56CD9">
        <w:rPr>
          <w:rFonts w:ascii="Times New Roman" w:hAnsi="Times New Roman" w:cs="Times New Roman"/>
          <w:bCs/>
          <w:sz w:val="20"/>
          <w:szCs w:val="20"/>
        </w:rPr>
        <w:t xml:space="preserve">Bilješke sastavila: </w:t>
      </w:r>
      <w:r w:rsidR="00434C5B" w:rsidRPr="00156CD9">
        <w:rPr>
          <w:rFonts w:ascii="Times New Roman" w:hAnsi="Times New Roman" w:cs="Times New Roman"/>
          <w:bCs/>
          <w:sz w:val="20"/>
          <w:szCs w:val="20"/>
        </w:rPr>
        <w:tab/>
      </w:r>
    </w:p>
    <w:p w14:paraId="61D39ADB" w14:textId="77777777" w:rsidR="000549BB" w:rsidRPr="00156CD9" w:rsidRDefault="000549BB" w:rsidP="00156CD9">
      <w:pPr>
        <w:spacing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56CD9">
        <w:rPr>
          <w:rFonts w:ascii="Times New Roman" w:hAnsi="Times New Roman" w:cs="Times New Roman"/>
          <w:bCs/>
          <w:sz w:val="20"/>
          <w:szCs w:val="20"/>
        </w:rPr>
        <w:t>Katja Škopac Koroman</w:t>
      </w:r>
    </w:p>
    <w:p w14:paraId="0DE8B321" w14:textId="77777777" w:rsidR="00434C5B" w:rsidRPr="00156CD9" w:rsidRDefault="00434C5B" w:rsidP="00156CD9">
      <w:pPr>
        <w:spacing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56CD9">
        <w:rPr>
          <w:rFonts w:ascii="Times New Roman" w:hAnsi="Times New Roman" w:cs="Times New Roman"/>
          <w:bCs/>
          <w:sz w:val="20"/>
          <w:szCs w:val="20"/>
        </w:rPr>
        <w:t xml:space="preserve">Voditelj </w:t>
      </w:r>
      <w:proofErr w:type="spellStart"/>
      <w:r w:rsidRPr="00156CD9">
        <w:rPr>
          <w:rFonts w:ascii="Times New Roman" w:hAnsi="Times New Roman" w:cs="Times New Roman"/>
          <w:bCs/>
          <w:sz w:val="20"/>
          <w:szCs w:val="20"/>
        </w:rPr>
        <w:t>pododsjeka</w:t>
      </w:r>
      <w:proofErr w:type="spellEnd"/>
      <w:r w:rsidRPr="00156CD9">
        <w:rPr>
          <w:rFonts w:ascii="Times New Roman" w:hAnsi="Times New Roman" w:cs="Times New Roman"/>
          <w:bCs/>
          <w:sz w:val="20"/>
          <w:szCs w:val="20"/>
        </w:rPr>
        <w:t xml:space="preserve"> za knjigovodstvo</w:t>
      </w:r>
    </w:p>
    <w:p w14:paraId="568A6440" w14:textId="77777777" w:rsidR="00853D5A" w:rsidRPr="00156CD9" w:rsidRDefault="00853D5A" w:rsidP="00156CD9">
      <w:pPr>
        <w:pStyle w:val="Style20"/>
        <w:widowControl/>
        <w:spacing w:line="276" w:lineRule="auto"/>
        <w:contextualSpacing/>
        <w:rPr>
          <w:rFonts w:ascii="Times New Roman" w:hAnsi="Times New Roman" w:cs="Times New Roman"/>
          <w:b/>
        </w:rPr>
      </w:pPr>
    </w:p>
    <w:p w14:paraId="0484D1FC" w14:textId="5ABE69C0" w:rsidR="000549BB" w:rsidRPr="00156CD9" w:rsidRDefault="00173FDD" w:rsidP="00156CD9">
      <w:pPr>
        <w:pStyle w:val="Style20"/>
        <w:widowControl/>
        <w:spacing w:line="276" w:lineRule="auto"/>
        <w:ind w:firstLine="6237"/>
        <w:contextualSpacing/>
        <w:jc w:val="center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>PROČELNICA</w:t>
      </w:r>
    </w:p>
    <w:p w14:paraId="76785F4D" w14:textId="77777777" w:rsidR="000549BB" w:rsidRPr="00526AD1" w:rsidRDefault="000549BB" w:rsidP="00156CD9">
      <w:pPr>
        <w:pStyle w:val="Style20"/>
        <w:widowControl/>
        <w:spacing w:line="276" w:lineRule="auto"/>
        <w:ind w:firstLine="6237"/>
        <w:contextualSpacing/>
        <w:jc w:val="center"/>
        <w:rPr>
          <w:rFonts w:ascii="Times New Roman" w:hAnsi="Times New Roman" w:cs="Times New Roman"/>
          <w:b/>
        </w:rPr>
      </w:pPr>
      <w:r w:rsidRPr="00156CD9">
        <w:rPr>
          <w:rFonts w:ascii="Times New Roman" w:hAnsi="Times New Roman" w:cs="Times New Roman"/>
          <w:b/>
        </w:rPr>
        <w:t xml:space="preserve">Vesna </w:t>
      </w:r>
      <w:proofErr w:type="spellStart"/>
      <w:r w:rsidRPr="00156CD9">
        <w:rPr>
          <w:rFonts w:ascii="Times New Roman" w:hAnsi="Times New Roman" w:cs="Times New Roman"/>
          <w:b/>
        </w:rPr>
        <w:t>Sajić</w:t>
      </w:r>
      <w:proofErr w:type="spellEnd"/>
      <w:r w:rsidRPr="00156CD9">
        <w:rPr>
          <w:rFonts w:ascii="Times New Roman" w:hAnsi="Times New Roman" w:cs="Times New Roman"/>
          <w:b/>
        </w:rPr>
        <w:t xml:space="preserve">, </w:t>
      </w:r>
      <w:proofErr w:type="spellStart"/>
      <w:r w:rsidRPr="00156CD9">
        <w:rPr>
          <w:rFonts w:ascii="Times New Roman" w:hAnsi="Times New Roman" w:cs="Times New Roman"/>
          <w:b/>
        </w:rPr>
        <w:t>mag.oec</w:t>
      </w:r>
      <w:proofErr w:type="spellEnd"/>
    </w:p>
    <w:sectPr w:rsidR="000549BB" w:rsidRPr="00526AD1" w:rsidSect="00030DFC">
      <w:footerReference w:type="defaul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2B29" w14:textId="77777777" w:rsidR="00D2649F" w:rsidRDefault="00D2649F" w:rsidP="00E23CA1">
      <w:pPr>
        <w:spacing w:after="0" w:line="240" w:lineRule="auto"/>
      </w:pPr>
      <w:r>
        <w:separator/>
      </w:r>
    </w:p>
  </w:endnote>
  <w:endnote w:type="continuationSeparator" w:id="0">
    <w:p w14:paraId="359396F3" w14:textId="77777777" w:rsidR="00D2649F" w:rsidRDefault="00D2649F" w:rsidP="00E2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3330"/>
      <w:docPartObj>
        <w:docPartGallery w:val="Page Numbers (Bottom of Page)"/>
        <w:docPartUnique/>
      </w:docPartObj>
    </w:sdtPr>
    <w:sdtEndPr/>
    <w:sdtContent>
      <w:p w14:paraId="455DA30B" w14:textId="77777777" w:rsidR="002B1AE8" w:rsidRDefault="002B1AE8">
        <w:pPr>
          <w:pStyle w:val="Footer"/>
          <w:jc w:val="right"/>
        </w:pPr>
      </w:p>
      <w:p w14:paraId="3444BE07" w14:textId="77777777" w:rsidR="002B1AE8" w:rsidRDefault="002B1AE8">
        <w:pPr>
          <w:pStyle w:val="Footer"/>
          <w:jc w:val="right"/>
        </w:pPr>
      </w:p>
      <w:p w14:paraId="4C3AF500" w14:textId="77777777" w:rsidR="002B1AE8" w:rsidRDefault="002B1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0CD5CE68" w14:textId="77777777" w:rsidR="002B1AE8" w:rsidRDefault="002B1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7238" w14:textId="77777777" w:rsidR="00D2649F" w:rsidRDefault="00D2649F" w:rsidP="00E23CA1">
      <w:pPr>
        <w:spacing w:after="0" w:line="240" w:lineRule="auto"/>
      </w:pPr>
      <w:r>
        <w:separator/>
      </w:r>
    </w:p>
  </w:footnote>
  <w:footnote w:type="continuationSeparator" w:id="0">
    <w:p w14:paraId="43EDC0BE" w14:textId="77777777" w:rsidR="00D2649F" w:rsidRDefault="00D2649F" w:rsidP="00E23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002"/>
    <w:multiLevelType w:val="hybridMultilevel"/>
    <w:tmpl w:val="AA7CC0D4"/>
    <w:lvl w:ilvl="0" w:tplc="987A0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13DD3"/>
    <w:multiLevelType w:val="hybridMultilevel"/>
    <w:tmpl w:val="57A49A2E"/>
    <w:lvl w:ilvl="0" w:tplc="9FA4FD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71D8D"/>
    <w:multiLevelType w:val="hybridMultilevel"/>
    <w:tmpl w:val="AE6CE29A"/>
    <w:lvl w:ilvl="0" w:tplc="8A50A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468F7"/>
    <w:multiLevelType w:val="hybridMultilevel"/>
    <w:tmpl w:val="259E691C"/>
    <w:lvl w:ilvl="0" w:tplc="0B202284">
      <w:start w:val="57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3CB"/>
    <w:multiLevelType w:val="hybridMultilevel"/>
    <w:tmpl w:val="BA3298D0"/>
    <w:lvl w:ilvl="0" w:tplc="0B202284">
      <w:start w:val="57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A17A3"/>
    <w:multiLevelType w:val="hybridMultilevel"/>
    <w:tmpl w:val="9CE6BDDE"/>
    <w:lvl w:ilvl="0" w:tplc="0B202284">
      <w:start w:val="57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15103"/>
    <w:multiLevelType w:val="hybridMultilevel"/>
    <w:tmpl w:val="1E422F08"/>
    <w:lvl w:ilvl="0" w:tplc="51B0424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0623C"/>
    <w:multiLevelType w:val="hybridMultilevel"/>
    <w:tmpl w:val="085C07E2"/>
    <w:lvl w:ilvl="0" w:tplc="FD12209A">
      <w:start w:val="1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BB"/>
    <w:rsid w:val="00000578"/>
    <w:rsid w:val="0000194A"/>
    <w:rsid w:val="000025CD"/>
    <w:rsid w:val="00005D3A"/>
    <w:rsid w:val="00006B6B"/>
    <w:rsid w:val="00006EAD"/>
    <w:rsid w:val="00007163"/>
    <w:rsid w:val="00011F78"/>
    <w:rsid w:val="000171D0"/>
    <w:rsid w:val="00017660"/>
    <w:rsid w:val="000178CC"/>
    <w:rsid w:val="0002235F"/>
    <w:rsid w:val="000228CE"/>
    <w:rsid w:val="00023001"/>
    <w:rsid w:val="0002320C"/>
    <w:rsid w:val="00025EAD"/>
    <w:rsid w:val="00030DFC"/>
    <w:rsid w:val="000322DC"/>
    <w:rsid w:val="00040513"/>
    <w:rsid w:val="000429D8"/>
    <w:rsid w:val="00043B46"/>
    <w:rsid w:val="000455B8"/>
    <w:rsid w:val="0005070F"/>
    <w:rsid w:val="000530DC"/>
    <w:rsid w:val="00053AAD"/>
    <w:rsid w:val="000547C0"/>
    <w:rsid w:val="000549BB"/>
    <w:rsid w:val="000555FA"/>
    <w:rsid w:val="0005683A"/>
    <w:rsid w:val="0006046D"/>
    <w:rsid w:val="00070596"/>
    <w:rsid w:val="00070CED"/>
    <w:rsid w:val="00074038"/>
    <w:rsid w:val="00080737"/>
    <w:rsid w:val="00083BE0"/>
    <w:rsid w:val="00084F75"/>
    <w:rsid w:val="00086593"/>
    <w:rsid w:val="00091621"/>
    <w:rsid w:val="0009763E"/>
    <w:rsid w:val="000A01A7"/>
    <w:rsid w:val="000A06C3"/>
    <w:rsid w:val="000A1889"/>
    <w:rsid w:val="000A34ED"/>
    <w:rsid w:val="000B1C8D"/>
    <w:rsid w:val="000B254E"/>
    <w:rsid w:val="000B285D"/>
    <w:rsid w:val="000B36A4"/>
    <w:rsid w:val="000B3ECF"/>
    <w:rsid w:val="000B7843"/>
    <w:rsid w:val="000B7AEA"/>
    <w:rsid w:val="000C1A01"/>
    <w:rsid w:val="000C1C08"/>
    <w:rsid w:val="000C20C5"/>
    <w:rsid w:val="000C3181"/>
    <w:rsid w:val="000C4C64"/>
    <w:rsid w:val="000D3B42"/>
    <w:rsid w:val="000D44B2"/>
    <w:rsid w:val="000D6B35"/>
    <w:rsid w:val="000E2AFC"/>
    <w:rsid w:val="000E4453"/>
    <w:rsid w:val="000E70EB"/>
    <w:rsid w:val="000F0011"/>
    <w:rsid w:val="000F170C"/>
    <w:rsid w:val="000F1B18"/>
    <w:rsid w:val="000F20BA"/>
    <w:rsid w:val="000F20F9"/>
    <w:rsid w:val="000F2D3C"/>
    <w:rsid w:val="00100FC0"/>
    <w:rsid w:val="00102DDE"/>
    <w:rsid w:val="00102EBA"/>
    <w:rsid w:val="00103949"/>
    <w:rsid w:val="00104166"/>
    <w:rsid w:val="001047FC"/>
    <w:rsid w:val="00106046"/>
    <w:rsid w:val="00111AE0"/>
    <w:rsid w:val="00111B7B"/>
    <w:rsid w:val="001128A3"/>
    <w:rsid w:val="00113E99"/>
    <w:rsid w:val="00122AB0"/>
    <w:rsid w:val="00123470"/>
    <w:rsid w:val="001259CB"/>
    <w:rsid w:val="00125AB2"/>
    <w:rsid w:val="00131530"/>
    <w:rsid w:val="00133388"/>
    <w:rsid w:val="00134F6F"/>
    <w:rsid w:val="001366C8"/>
    <w:rsid w:val="00136983"/>
    <w:rsid w:val="00144253"/>
    <w:rsid w:val="00144F72"/>
    <w:rsid w:val="001512F5"/>
    <w:rsid w:val="001529B9"/>
    <w:rsid w:val="00154763"/>
    <w:rsid w:val="00154B89"/>
    <w:rsid w:val="0015614F"/>
    <w:rsid w:val="00156BC6"/>
    <w:rsid w:val="00156CD9"/>
    <w:rsid w:val="00157DE8"/>
    <w:rsid w:val="001604A8"/>
    <w:rsid w:val="00161CC3"/>
    <w:rsid w:val="00163A5F"/>
    <w:rsid w:val="00163EBB"/>
    <w:rsid w:val="00164792"/>
    <w:rsid w:val="00165BE4"/>
    <w:rsid w:val="00166BA5"/>
    <w:rsid w:val="001674F3"/>
    <w:rsid w:val="00170360"/>
    <w:rsid w:val="001715D7"/>
    <w:rsid w:val="00171C18"/>
    <w:rsid w:val="00173D4E"/>
    <w:rsid w:val="00173FDD"/>
    <w:rsid w:val="001747A6"/>
    <w:rsid w:val="00174DBB"/>
    <w:rsid w:val="00177D6A"/>
    <w:rsid w:val="00177F63"/>
    <w:rsid w:val="00183B3A"/>
    <w:rsid w:val="00184FBC"/>
    <w:rsid w:val="0018557A"/>
    <w:rsid w:val="00185629"/>
    <w:rsid w:val="0019225F"/>
    <w:rsid w:val="001948C7"/>
    <w:rsid w:val="0019498B"/>
    <w:rsid w:val="001A115F"/>
    <w:rsid w:val="001A69B9"/>
    <w:rsid w:val="001A7050"/>
    <w:rsid w:val="001B0A83"/>
    <w:rsid w:val="001B42E1"/>
    <w:rsid w:val="001B65E7"/>
    <w:rsid w:val="001C071A"/>
    <w:rsid w:val="001C1520"/>
    <w:rsid w:val="001C6DC8"/>
    <w:rsid w:val="001D103D"/>
    <w:rsid w:val="001D1E7E"/>
    <w:rsid w:val="001D57BF"/>
    <w:rsid w:val="001E0CF5"/>
    <w:rsid w:val="001E12E2"/>
    <w:rsid w:val="001E2DD6"/>
    <w:rsid w:val="001E552B"/>
    <w:rsid w:val="001E621A"/>
    <w:rsid w:val="001E6C16"/>
    <w:rsid w:val="001E7827"/>
    <w:rsid w:val="001F0F67"/>
    <w:rsid w:val="001F22DE"/>
    <w:rsid w:val="001F268F"/>
    <w:rsid w:val="001F2731"/>
    <w:rsid w:val="001F4D63"/>
    <w:rsid w:val="001F52F2"/>
    <w:rsid w:val="001F5B6E"/>
    <w:rsid w:val="001F6033"/>
    <w:rsid w:val="001F6AEB"/>
    <w:rsid w:val="00201BE5"/>
    <w:rsid w:val="002028B1"/>
    <w:rsid w:val="00202ADA"/>
    <w:rsid w:val="002047CA"/>
    <w:rsid w:val="002067CC"/>
    <w:rsid w:val="00206E78"/>
    <w:rsid w:val="00210D72"/>
    <w:rsid w:val="00215049"/>
    <w:rsid w:val="00217633"/>
    <w:rsid w:val="00220DFB"/>
    <w:rsid w:val="00221600"/>
    <w:rsid w:val="0022283D"/>
    <w:rsid w:val="0023071C"/>
    <w:rsid w:val="002312C1"/>
    <w:rsid w:val="00232423"/>
    <w:rsid w:val="00234282"/>
    <w:rsid w:val="00234DDC"/>
    <w:rsid w:val="002367ED"/>
    <w:rsid w:val="00241DA3"/>
    <w:rsid w:val="00242028"/>
    <w:rsid w:val="002442FF"/>
    <w:rsid w:val="00244CEF"/>
    <w:rsid w:val="00245059"/>
    <w:rsid w:val="00245ACD"/>
    <w:rsid w:val="00245B14"/>
    <w:rsid w:val="00246904"/>
    <w:rsid w:val="00250AD8"/>
    <w:rsid w:val="0025390A"/>
    <w:rsid w:val="00254A2A"/>
    <w:rsid w:val="0025672D"/>
    <w:rsid w:val="00262144"/>
    <w:rsid w:val="00262168"/>
    <w:rsid w:val="00262F6D"/>
    <w:rsid w:val="002655D3"/>
    <w:rsid w:val="00265AE5"/>
    <w:rsid w:val="002674FF"/>
    <w:rsid w:val="00272127"/>
    <w:rsid w:val="00273A0C"/>
    <w:rsid w:val="00280FB0"/>
    <w:rsid w:val="002816E9"/>
    <w:rsid w:val="002820E0"/>
    <w:rsid w:val="002839D7"/>
    <w:rsid w:val="002840B3"/>
    <w:rsid w:val="00286736"/>
    <w:rsid w:val="00293A05"/>
    <w:rsid w:val="00297A04"/>
    <w:rsid w:val="002A0817"/>
    <w:rsid w:val="002A1A75"/>
    <w:rsid w:val="002A39E0"/>
    <w:rsid w:val="002A470D"/>
    <w:rsid w:val="002A5374"/>
    <w:rsid w:val="002A64E4"/>
    <w:rsid w:val="002A7521"/>
    <w:rsid w:val="002B1AE8"/>
    <w:rsid w:val="002B41FD"/>
    <w:rsid w:val="002B62CC"/>
    <w:rsid w:val="002C1612"/>
    <w:rsid w:val="002C182D"/>
    <w:rsid w:val="002C2A95"/>
    <w:rsid w:val="002C335C"/>
    <w:rsid w:val="002C4B12"/>
    <w:rsid w:val="002C4C18"/>
    <w:rsid w:val="002C5FDC"/>
    <w:rsid w:val="002C6BFA"/>
    <w:rsid w:val="002D2E26"/>
    <w:rsid w:val="002D7391"/>
    <w:rsid w:val="002E0202"/>
    <w:rsid w:val="002E05C1"/>
    <w:rsid w:val="002E2106"/>
    <w:rsid w:val="002E619D"/>
    <w:rsid w:val="002E6C4D"/>
    <w:rsid w:val="002E6CCD"/>
    <w:rsid w:val="002F0FAE"/>
    <w:rsid w:val="002F48B9"/>
    <w:rsid w:val="002F49A8"/>
    <w:rsid w:val="002F67D0"/>
    <w:rsid w:val="002F6DC1"/>
    <w:rsid w:val="002F6F95"/>
    <w:rsid w:val="00301F2A"/>
    <w:rsid w:val="00303020"/>
    <w:rsid w:val="00304998"/>
    <w:rsid w:val="00305241"/>
    <w:rsid w:val="00305374"/>
    <w:rsid w:val="003100E4"/>
    <w:rsid w:val="00312088"/>
    <w:rsid w:val="00314217"/>
    <w:rsid w:val="003215AE"/>
    <w:rsid w:val="00323937"/>
    <w:rsid w:val="00326C87"/>
    <w:rsid w:val="003305AE"/>
    <w:rsid w:val="003358B1"/>
    <w:rsid w:val="0033664B"/>
    <w:rsid w:val="0034009D"/>
    <w:rsid w:val="00340D66"/>
    <w:rsid w:val="00342E4E"/>
    <w:rsid w:val="00347312"/>
    <w:rsid w:val="003501D6"/>
    <w:rsid w:val="0035527A"/>
    <w:rsid w:val="003563CB"/>
    <w:rsid w:val="00356704"/>
    <w:rsid w:val="00361568"/>
    <w:rsid w:val="0036164A"/>
    <w:rsid w:val="00365C02"/>
    <w:rsid w:val="0036674A"/>
    <w:rsid w:val="003710F0"/>
    <w:rsid w:val="00374471"/>
    <w:rsid w:val="00375D4A"/>
    <w:rsid w:val="00381D3A"/>
    <w:rsid w:val="003851D7"/>
    <w:rsid w:val="00392A71"/>
    <w:rsid w:val="00392FCD"/>
    <w:rsid w:val="003972D4"/>
    <w:rsid w:val="00397AF6"/>
    <w:rsid w:val="00397DB4"/>
    <w:rsid w:val="003A1188"/>
    <w:rsid w:val="003A1963"/>
    <w:rsid w:val="003A6FC1"/>
    <w:rsid w:val="003A7BA0"/>
    <w:rsid w:val="003A7DF0"/>
    <w:rsid w:val="003A7E83"/>
    <w:rsid w:val="003B535A"/>
    <w:rsid w:val="003C1304"/>
    <w:rsid w:val="003C20C6"/>
    <w:rsid w:val="003C2A07"/>
    <w:rsid w:val="003C50CC"/>
    <w:rsid w:val="003C5B07"/>
    <w:rsid w:val="003C63CE"/>
    <w:rsid w:val="003D1852"/>
    <w:rsid w:val="003D26A0"/>
    <w:rsid w:val="003D473E"/>
    <w:rsid w:val="003D5BF9"/>
    <w:rsid w:val="003E0CAA"/>
    <w:rsid w:val="003E3B6D"/>
    <w:rsid w:val="003E4E15"/>
    <w:rsid w:val="003E54AB"/>
    <w:rsid w:val="003E5EE9"/>
    <w:rsid w:val="003E64C1"/>
    <w:rsid w:val="003E734A"/>
    <w:rsid w:val="003E7630"/>
    <w:rsid w:val="003F01F2"/>
    <w:rsid w:val="003F1B27"/>
    <w:rsid w:val="003F2845"/>
    <w:rsid w:val="00402A62"/>
    <w:rsid w:val="004059A7"/>
    <w:rsid w:val="004064FE"/>
    <w:rsid w:val="00410CB1"/>
    <w:rsid w:val="004135BA"/>
    <w:rsid w:val="00413FC4"/>
    <w:rsid w:val="00413FE1"/>
    <w:rsid w:val="00414976"/>
    <w:rsid w:val="00417594"/>
    <w:rsid w:val="00417BE5"/>
    <w:rsid w:val="00422954"/>
    <w:rsid w:val="00424514"/>
    <w:rsid w:val="00426D9F"/>
    <w:rsid w:val="00426DFE"/>
    <w:rsid w:val="00427233"/>
    <w:rsid w:val="00432C5C"/>
    <w:rsid w:val="00433087"/>
    <w:rsid w:val="00433545"/>
    <w:rsid w:val="00434C5B"/>
    <w:rsid w:val="00435A19"/>
    <w:rsid w:val="004425CD"/>
    <w:rsid w:val="00442E31"/>
    <w:rsid w:val="00443A88"/>
    <w:rsid w:val="00444909"/>
    <w:rsid w:val="00450587"/>
    <w:rsid w:val="004524A0"/>
    <w:rsid w:val="00455238"/>
    <w:rsid w:val="00457047"/>
    <w:rsid w:val="004604F8"/>
    <w:rsid w:val="0046231D"/>
    <w:rsid w:val="004638DD"/>
    <w:rsid w:val="004675A3"/>
    <w:rsid w:val="00467635"/>
    <w:rsid w:val="00470E14"/>
    <w:rsid w:val="00470FCA"/>
    <w:rsid w:val="00473C17"/>
    <w:rsid w:val="0047407A"/>
    <w:rsid w:val="00476292"/>
    <w:rsid w:val="00482DEB"/>
    <w:rsid w:val="0048521E"/>
    <w:rsid w:val="0048681D"/>
    <w:rsid w:val="00491497"/>
    <w:rsid w:val="00492607"/>
    <w:rsid w:val="00494A63"/>
    <w:rsid w:val="00495562"/>
    <w:rsid w:val="00497899"/>
    <w:rsid w:val="004A045E"/>
    <w:rsid w:val="004A1EB9"/>
    <w:rsid w:val="004A2799"/>
    <w:rsid w:val="004A5D38"/>
    <w:rsid w:val="004A5F24"/>
    <w:rsid w:val="004A7908"/>
    <w:rsid w:val="004B02F9"/>
    <w:rsid w:val="004B1B12"/>
    <w:rsid w:val="004B28F6"/>
    <w:rsid w:val="004B2F78"/>
    <w:rsid w:val="004B68A7"/>
    <w:rsid w:val="004C01BF"/>
    <w:rsid w:val="004C073B"/>
    <w:rsid w:val="004C22BC"/>
    <w:rsid w:val="004C3F55"/>
    <w:rsid w:val="004C4188"/>
    <w:rsid w:val="004D09CB"/>
    <w:rsid w:val="004D125B"/>
    <w:rsid w:val="004D1D02"/>
    <w:rsid w:val="004D2E59"/>
    <w:rsid w:val="004D3C94"/>
    <w:rsid w:val="004D4FB2"/>
    <w:rsid w:val="004D5E2A"/>
    <w:rsid w:val="004E0535"/>
    <w:rsid w:val="004E07D1"/>
    <w:rsid w:val="004E119E"/>
    <w:rsid w:val="004E1D4B"/>
    <w:rsid w:val="004E5743"/>
    <w:rsid w:val="004E633F"/>
    <w:rsid w:val="004E7F7C"/>
    <w:rsid w:val="004F144F"/>
    <w:rsid w:val="004F1FF4"/>
    <w:rsid w:val="004F2097"/>
    <w:rsid w:val="004F276D"/>
    <w:rsid w:val="004F4E58"/>
    <w:rsid w:val="004F734D"/>
    <w:rsid w:val="004F735E"/>
    <w:rsid w:val="005070B7"/>
    <w:rsid w:val="00507294"/>
    <w:rsid w:val="005103FB"/>
    <w:rsid w:val="0051344A"/>
    <w:rsid w:val="00514EFF"/>
    <w:rsid w:val="00515457"/>
    <w:rsid w:val="00520016"/>
    <w:rsid w:val="00521461"/>
    <w:rsid w:val="0052185C"/>
    <w:rsid w:val="00522907"/>
    <w:rsid w:val="00522CCA"/>
    <w:rsid w:val="00522FE4"/>
    <w:rsid w:val="005236D1"/>
    <w:rsid w:val="00523F62"/>
    <w:rsid w:val="00525422"/>
    <w:rsid w:val="00525C15"/>
    <w:rsid w:val="00526AD1"/>
    <w:rsid w:val="0053048D"/>
    <w:rsid w:val="005311E1"/>
    <w:rsid w:val="005352F7"/>
    <w:rsid w:val="00541A2F"/>
    <w:rsid w:val="00542AE2"/>
    <w:rsid w:val="00543597"/>
    <w:rsid w:val="00552D62"/>
    <w:rsid w:val="00553BA1"/>
    <w:rsid w:val="00556965"/>
    <w:rsid w:val="005569C7"/>
    <w:rsid w:val="00567A20"/>
    <w:rsid w:val="00567BEC"/>
    <w:rsid w:val="0057130D"/>
    <w:rsid w:val="00576279"/>
    <w:rsid w:val="00576340"/>
    <w:rsid w:val="00576D36"/>
    <w:rsid w:val="0058193A"/>
    <w:rsid w:val="00582E4C"/>
    <w:rsid w:val="005843AE"/>
    <w:rsid w:val="00584D29"/>
    <w:rsid w:val="005856FC"/>
    <w:rsid w:val="005901AC"/>
    <w:rsid w:val="0059121F"/>
    <w:rsid w:val="00594A17"/>
    <w:rsid w:val="00595A9F"/>
    <w:rsid w:val="005977DB"/>
    <w:rsid w:val="005A0A2A"/>
    <w:rsid w:val="005A0C69"/>
    <w:rsid w:val="005A7261"/>
    <w:rsid w:val="005B0180"/>
    <w:rsid w:val="005B050D"/>
    <w:rsid w:val="005B6372"/>
    <w:rsid w:val="005C31FE"/>
    <w:rsid w:val="005C3F39"/>
    <w:rsid w:val="005C42E5"/>
    <w:rsid w:val="005C48BA"/>
    <w:rsid w:val="005C4C66"/>
    <w:rsid w:val="005C5A8C"/>
    <w:rsid w:val="005C69B0"/>
    <w:rsid w:val="005C700A"/>
    <w:rsid w:val="005D4E58"/>
    <w:rsid w:val="005D7DEF"/>
    <w:rsid w:val="005E141C"/>
    <w:rsid w:val="005E29B3"/>
    <w:rsid w:val="005E4362"/>
    <w:rsid w:val="005E5881"/>
    <w:rsid w:val="005E6641"/>
    <w:rsid w:val="005E6CBA"/>
    <w:rsid w:val="005F04B8"/>
    <w:rsid w:val="005F1326"/>
    <w:rsid w:val="0060111E"/>
    <w:rsid w:val="006017E0"/>
    <w:rsid w:val="00602441"/>
    <w:rsid w:val="006075CA"/>
    <w:rsid w:val="006114AE"/>
    <w:rsid w:val="00611C6D"/>
    <w:rsid w:val="00612018"/>
    <w:rsid w:val="006129A4"/>
    <w:rsid w:val="00615836"/>
    <w:rsid w:val="0062083B"/>
    <w:rsid w:val="00623063"/>
    <w:rsid w:val="006242F9"/>
    <w:rsid w:val="006253F9"/>
    <w:rsid w:val="00626A60"/>
    <w:rsid w:val="0063011F"/>
    <w:rsid w:val="00634EF7"/>
    <w:rsid w:val="00635E59"/>
    <w:rsid w:val="0063621C"/>
    <w:rsid w:val="0064474D"/>
    <w:rsid w:val="0065233F"/>
    <w:rsid w:val="0065284A"/>
    <w:rsid w:val="006553BD"/>
    <w:rsid w:val="00657A6C"/>
    <w:rsid w:val="00665346"/>
    <w:rsid w:val="0066624E"/>
    <w:rsid w:val="00667AB8"/>
    <w:rsid w:val="0067292E"/>
    <w:rsid w:val="00675D6A"/>
    <w:rsid w:val="00677245"/>
    <w:rsid w:val="00681BB6"/>
    <w:rsid w:val="0068272D"/>
    <w:rsid w:val="00683E7A"/>
    <w:rsid w:val="00685BE8"/>
    <w:rsid w:val="00685E07"/>
    <w:rsid w:val="00691A15"/>
    <w:rsid w:val="006A3871"/>
    <w:rsid w:val="006A4B95"/>
    <w:rsid w:val="006A577E"/>
    <w:rsid w:val="006A5A9B"/>
    <w:rsid w:val="006A7B17"/>
    <w:rsid w:val="006B0546"/>
    <w:rsid w:val="006B1FA3"/>
    <w:rsid w:val="006B2506"/>
    <w:rsid w:val="006B4094"/>
    <w:rsid w:val="006B53F8"/>
    <w:rsid w:val="006B64AC"/>
    <w:rsid w:val="006B7EC7"/>
    <w:rsid w:val="006C5DCE"/>
    <w:rsid w:val="006D0006"/>
    <w:rsid w:val="006E1443"/>
    <w:rsid w:val="006E39D4"/>
    <w:rsid w:val="006E4B3F"/>
    <w:rsid w:val="006E6931"/>
    <w:rsid w:val="006F0863"/>
    <w:rsid w:val="006F3857"/>
    <w:rsid w:val="006F5791"/>
    <w:rsid w:val="00700C63"/>
    <w:rsid w:val="00712019"/>
    <w:rsid w:val="00712A4C"/>
    <w:rsid w:val="00713B4D"/>
    <w:rsid w:val="00715A4F"/>
    <w:rsid w:val="00721E11"/>
    <w:rsid w:val="00723D54"/>
    <w:rsid w:val="007248F5"/>
    <w:rsid w:val="00726557"/>
    <w:rsid w:val="0072741A"/>
    <w:rsid w:val="007302E2"/>
    <w:rsid w:val="00735A34"/>
    <w:rsid w:val="0074022B"/>
    <w:rsid w:val="00743410"/>
    <w:rsid w:val="0074349D"/>
    <w:rsid w:val="00744C26"/>
    <w:rsid w:val="00747629"/>
    <w:rsid w:val="007520D7"/>
    <w:rsid w:val="007564A8"/>
    <w:rsid w:val="00756F0C"/>
    <w:rsid w:val="007616C2"/>
    <w:rsid w:val="007637D4"/>
    <w:rsid w:val="00765A2A"/>
    <w:rsid w:val="007671CE"/>
    <w:rsid w:val="00772724"/>
    <w:rsid w:val="00774146"/>
    <w:rsid w:val="00774F6F"/>
    <w:rsid w:val="00780FD9"/>
    <w:rsid w:val="00784E86"/>
    <w:rsid w:val="00785CE8"/>
    <w:rsid w:val="007874BB"/>
    <w:rsid w:val="00787798"/>
    <w:rsid w:val="0079190E"/>
    <w:rsid w:val="00792FA9"/>
    <w:rsid w:val="0079453B"/>
    <w:rsid w:val="00795827"/>
    <w:rsid w:val="0079618E"/>
    <w:rsid w:val="0079708F"/>
    <w:rsid w:val="007A06D7"/>
    <w:rsid w:val="007A0AFB"/>
    <w:rsid w:val="007A14A8"/>
    <w:rsid w:val="007A1836"/>
    <w:rsid w:val="007A6BEE"/>
    <w:rsid w:val="007B0197"/>
    <w:rsid w:val="007B1924"/>
    <w:rsid w:val="007B1DC6"/>
    <w:rsid w:val="007B2CC0"/>
    <w:rsid w:val="007B41F5"/>
    <w:rsid w:val="007B6D18"/>
    <w:rsid w:val="007C0199"/>
    <w:rsid w:val="007C07EE"/>
    <w:rsid w:val="007C214F"/>
    <w:rsid w:val="007C2A48"/>
    <w:rsid w:val="007C5EE1"/>
    <w:rsid w:val="007D33DC"/>
    <w:rsid w:val="007D38E4"/>
    <w:rsid w:val="007D4485"/>
    <w:rsid w:val="007D4F80"/>
    <w:rsid w:val="007D66D7"/>
    <w:rsid w:val="007E5C9B"/>
    <w:rsid w:val="007E7716"/>
    <w:rsid w:val="007E7819"/>
    <w:rsid w:val="007F05DC"/>
    <w:rsid w:val="007F0ED1"/>
    <w:rsid w:val="007F31BB"/>
    <w:rsid w:val="007F52F8"/>
    <w:rsid w:val="007F711C"/>
    <w:rsid w:val="00800B52"/>
    <w:rsid w:val="00801AE3"/>
    <w:rsid w:val="0080254F"/>
    <w:rsid w:val="00802B19"/>
    <w:rsid w:val="00803D2E"/>
    <w:rsid w:val="00805E71"/>
    <w:rsid w:val="00806C7B"/>
    <w:rsid w:val="00810428"/>
    <w:rsid w:val="00812D2C"/>
    <w:rsid w:val="00814614"/>
    <w:rsid w:val="008200CA"/>
    <w:rsid w:val="0082031A"/>
    <w:rsid w:val="0082098F"/>
    <w:rsid w:val="00821A12"/>
    <w:rsid w:val="008224CF"/>
    <w:rsid w:val="008233F5"/>
    <w:rsid w:val="008246ED"/>
    <w:rsid w:val="0082477C"/>
    <w:rsid w:val="0082510C"/>
    <w:rsid w:val="00827FDE"/>
    <w:rsid w:val="00832F1A"/>
    <w:rsid w:val="008331C8"/>
    <w:rsid w:val="00834065"/>
    <w:rsid w:val="008345EC"/>
    <w:rsid w:val="00836C99"/>
    <w:rsid w:val="00837542"/>
    <w:rsid w:val="008404E3"/>
    <w:rsid w:val="0084303D"/>
    <w:rsid w:val="00843597"/>
    <w:rsid w:val="00843A85"/>
    <w:rsid w:val="00847A29"/>
    <w:rsid w:val="008527CD"/>
    <w:rsid w:val="0085320D"/>
    <w:rsid w:val="00853D07"/>
    <w:rsid w:val="00853D5A"/>
    <w:rsid w:val="00857050"/>
    <w:rsid w:val="00862993"/>
    <w:rsid w:val="008645A0"/>
    <w:rsid w:val="00864D52"/>
    <w:rsid w:val="00865015"/>
    <w:rsid w:val="008702F1"/>
    <w:rsid w:val="00873B00"/>
    <w:rsid w:val="00883357"/>
    <w:rsid w:val="00884BBB"/>
    <w:rsid w:val="00885419"/>
    <w:rsid w:val="00887D17"/>
    <w:rsid w:val="008902FB"/>
    <w:rsid w:val="00890977"/>
    <w:rsid w:val="00890CD5"/>
    <w:rsid w:val="008911CE"/>
    <w:rsid w:val="00891F84"/>
    <w:rsid w:val="008931E9"/>
    <w:rsid w:val="008A1359"/>
    <w:rsid w:val="008A286A"/>
    <w:rsid w:val="008A3970"/>
    <w:rsid w:val="008A75B0"/>
    <w:rsid w:val="008A7B3E"/>
    <w:rsid w:val="008A7B3F"/>
    <w:rsid w:val="008B0FF2"/>
    <w:rsid w:val="008B182B"/>
    <w:rsid w:val="008B4DEF"/>
    <w:rsid w:val="008B7072"/>
    <w:rsid w:val="008C1355"/>
    <w:rsid w:val="008C15DE"/>
    <w:rsid w:val="008C5303"/>
    <w:rsid w:val="008C6944"/>
    <w:rsid w:val="008C6951"/>
    <w:rsid w:val="008D6DCE"/>
    <w:rsid w:val="008E0FA0"/>
    <w:rsid w:val="008E2329"/>
    <w:rsid w:val="008E34A7"/>
    <w:rsid w:val="008E4C0A"/>
    <w:rsid w:val="008F0708"/>
    <w:rsid w:val="008F12C8"/>
    <w:rsid w:val="008F4D40"/>
    <w:rsid w:val="008F6937"/>
    <w:rsid w:val="00901F9C"/>
    <w:rsid w:val="00902DAE"/>
    <w:rsid w:val="0090300F"/>
    <w:rsid w:val="00904ACD"/>
    <w:rsid w:val="00905C21"/>
    <w:rsid w:val="00905E84"/>
    <w:rsid w:val="0090696A"/>
    <w:rsid w:val="0090774C"/>
    <w:rsid w:val="009114C5"/>
    <w:rsid w:val="009144A5"/>
    <w:rsid w:val="00914E11"/>
    <w:rsid w:val="00915D68"/>
    <w:rsid w:val="00916EB1"/>
    <w:rsid w:val="0092089F"/>
    <w:rsid w:val="00921012"/>
    <w:rsid w:val="00921CFB"/>
    <w:rsid w:val="00926D67"/>
    <w:rsid w:val="00931F84"/>
    <w:rsid w:val="00932C82"/>
    <w:rsid w:val="00934389"/>
    <w:rsid w:val="009421CA"/>
    <w:rsid w:val="0094430F"/>
    <w:rsid w:val="0095249B"/>
    <w:rsid w:val="00953DB7"/>
    <w:rsid w:val="00955E71"/>
    <w:rsid w:val="00957190"/>
    <w:rsid w:val="00961801"/>
    <w:rsid w:val="009650F5"/>
    <w:rsid w:val="009668BE"/>
    <w:rsid w:val="00967321"/>
    <w:rsid w:val="0097219A"/>
    <w:rsid w:val="00974135"/>
    <w:rsid w:val="009848FB"/>
    <w:rsid w:val="00987146"/>
    <w:rsid w:val="00994752"/>
    <w:rsid w:val="009968CB"/>
    <w:rsid w:val="00996C51"/>
    <w:rsid w:val="009A0505"/>
    <w:rsid w:val="009A0539"/>
    <w:rsid w:val="009A30FF"/>
    <w:rsid w:val="009A4246"/>
    <w:rsid w:val="009A4F7F"/>
    <w:rsid w:val="009A766F"/>
    <w:rsid w:val="009B0F04"/>
    <w:rsid w:val="009B210D"/>
    <w:rsid w:val="009B312A"/>
    <w:rsid w:val="009C296F"/>
    <w:rsid w:val="009C334E"/>
    <w:rsid w:val="009C6857"/>
    <w:rsid w:val="009D17E2"/>
    <w:rsid w:val="009D3DC1"/>
    <w:rsid w:val="009D51CC"/>
    <w:rsid w:val="009D5FE6"/>
    <w:rsid w:val="009D69FD"/>
    <w:rsid w:val="009F087E"/>
    <w:rsid w:val="009F0E33"/>
    <w:rsid w:val="009F5F03"/>
    <w:rsid w:val="00A02CC6"/>
    <w:rsid w:val="00A07F67"/>
    <w:rsid w:val="00A12146"/>
    <w:rsid w:val="00A133A9"/>
    <w:rsid w:val="00A15841"/>
    <w:rsid w:val="00A16E29"/>
    <w:rsid w:val="00A16F19"/>
    <w:rsid w:val="00A16FF7"/>
    <w:rsid w:val="00A205DB"/>
    <w:rsid w:val="00A2162C"/>
    <w:rsid w:val="00A21C81"/>
    <w:rsid w:val="00A23AED"/>
    <w:rsid w:val="00A24BDB"/>
    <w:rsid w:val="00A25B8D"/>
    <w:rsid w:val="00A27348"/>
    <w:rsid w:val="00A27384"/>
    <w:rsid w:val="00A3453D"/>
    <w:rsid w:val="00A35435"/>
    <w:rsid w:val="00A3619F"/>
    <w:rsid w:val="00A40386"/>
    <w:rsid w:val="00A40E0B"/>
    <w:rsid w:val="00A414E0"/>
    <w:rsid w:val="00A41B28"/>
    <w:rsid w:val="00A4222A"/>
    <w:rsid w:val="00A42669"/>
    <w:rsid w:val="00A42A89"/>
    <w:rsid w:val="00A47292"/>
    <w:rsid w:val="00A47312"/>
    <w:rsid w:val="00A4766D"/>
    <w:rsid w:val="00A4790B"/>
    <w:rsid w:val="00A518B6"/>
    <w:rsid w:val="00A54779"/>
    <w:rsid w:val="00A557E6"/>
    <w:rsid w:val="00A563BE"/>
    <w:rsid w:val="00A571F6"/>
    <w:rsid w:val="00A615FD"/>
    <w:rsid w:val="00A6263F"/>
    <w:rsid w:val="00A64480"/>
    <w:rsid w:val="00A67B24"/>
    <w:rsid w:val="00A71598"/>
    <w:rsid w:val="00A73369"/>
    <w:rsid w:val="00A73DFA"/>
    <w:rsid w:val="00A7715A"/>
    <w:rsid w:val="00A77665"/>
    <w:rsid w:val="00A800DB"/>
    <w:rsid w:val="00A8029F"/>
    <w:rsid w:val="00A806EF"/>
    <w:rsid w:val="00A82C0E"/>
    <w:rsid w:val="00A82D22"/>
    <w:rsid w:val="00A82ECE"/>
    <w:rsid w:val="00A83F99"/>
    <w:rsid w:val="00A85569"/>
    <w:rsid w:val="00A94443"/>
    <w:rsid w:val="00A94E04"/>
    <w:rsid w:val="00A96917"/>
    <w:rsid w:val="00AA053D"/>
    <w:rsid w:val="00AA23A9"/>
    <w:rsid w:val="00AA2BC3"/>
    <w:rsid w:val="00AA3325"/>
    <w:rsid w:val="00AA4B35"/>
    <w:rsid w:val="00AA672A"/>
    <w:rsid w:val="00AB1AE9"/>
    <w:rsid w:val="00AB2C83"/>
    <w:rsid w:val="00AB2EE7"/>
    <w:rsid w:val="00AB3ABE"/>
    <w:rsid w:val="00AB6BE3"/>
    <w:rsid w:val="00AC048A"/>
    <w:rsid w:val="00AC19F8"/>
    <w:rsid w:val="00AC1DDB"/>
    <w:rsid w:val="00AC2A5D"/>
    <w:rsid w:val="00AC404E"/>
    <w:rsid w:val="00AC59B9"/>
    <w:rsid w:val="00AC751B"/>
    <w:rsid w:val="00AD4724"/>
    <w:rsid w:val="00AD5CFC"/>
    <w:rsid w:val="00AD6369"/>
    <w:rsid w:val="00AD6CD9"/>
    <w:rsid w:val="00AD7CBB"/>
    <w:rsid w:val="00AD7F9F"/>
    <w:rsid w:val="00AE09DB"/>
    <w:rsid w:val="00AE1C62"/>
    <w:rsid w:val="00AE37F0"/>
    <w:rsid w:val="00AE56B1"/>
    <w:rsid w:val="00AE5C38"/>
    <w:rsid w:val="00AE6BD6"/>
    <w:rsid w:val="00AF017A"/>
    <w:rsid w:val="00AF4F5A"/>
    <w:rsid w:val="00AF6455"/>
    <w:rsid w:val="00AF6E2E"/>
    <w:rsid w:val="00B01774"/>
    <w:rsid w:val="00B0506E"/>
    <w:rsid w:val="00B06F19"/>
    <w:rsid w:val="00B071C9"/>
    <w:rsid w:val="00B07729"/>
    <w:rsid w:val="00B110E1"/>
    <w:rsid w:val="00B11D67"/>
    <w:rsid w:val="00B138E2"/>
    <w:rsid w:val="00B15D95"/>
    <w:rsid w:val="00B20005"/>
    <w:rsid w:val="00B22409"/>
    <w:rsid w:val="00B22A12"/>
    <w:rsid w:val="00B22A85"/>
    <w:rsid w:val="00B22B60"/>
    <w:rsid w:val="00B240DB"/>
    <w:rsid w:val="00B25F80"/>
    <w:rsid w:val="00B30B94"/>
    <w:rsid w:val="00B34598"/>
    <w:rsid w:val="00B367E2"/>
    <w:rsid w:val="00B40484"/>
    <w:rsid w:val="00B410E7"/>
    <w:rsid w:val="00B43D54"/>
    <w:rsid w:val="00B46D37"/>
    <w:rsid w:val="00B52178"/>
    <w:rsid w:val="00B55522"/>
    <w:rsid w:val="00B60640"/>
    <w:rsid w:val="00B66A2B"/>
    <w:rsid w:val="00B70C4F"/>
    <w:rsid w:val="00B71B43"/>
    <w:rsid w:val="00B77415"/>
    <w:rsid w:val="00B77796"/>
    <w:rsid w:val="00B80669"/>
    <w:rsid w:val="00B832B8"/>
    <w:rsid w:val="00B93E3E"/>
    <w:rsid w:val="00B9440E"/>
    <w:rsid w:val="00B9496D"/>
    <w:rsid w:val="00B96AB7"/>
    <w:rsid w:val="00B97DBB"/>
    <w:rsid w:val="00BA1103"/>
    <w:rsid w:val="00BA1DAA"/>
    <w:rsid w:val="00BA53C4"/>
    <w:rsid w:val="00BA5DA5"/>
    <w:rsid w:val="00BA7019"/>
    <w:rsid w:val="00BB4848"/>
    <w:rsid w:val="00BB4887"/>
    <w:rsid w:val="00BB799A"/>
    <w:rsid w:val="00BC2739"/>
    <w:rsid w:val="00BC3606"/>
    <w:rsid w:val="00BC3DE2"/>
    <w:rsid w:val="00BC4083"/>
    <w:rsid w:val="00BC58A1"/>
    <w:rsid w:val="00BD0132"/>
    <w:rsid w:val="00BD0631"/>
    <w:rsid w:val="00BD0DBD"/>
    <w:rsid w:val="00BD13E2"/>
    <w:rsid w:val="00BD39DE"/>
    <w:rsid w:val="00BD46CE"/>
    <w:rsid w:val="00BD5712"/>
    <w:rsid w:val="00BD72B4"/>
    <w:rsid w:val="00BE11CF"/>
    <w:rsid w:val="00BE1F67"/>
    <w:rsid w:val="00BE2E27"/>
    <w:rsid w:val="00BE3190"/>
    <w:rsid w:val="00BE5B55"/>
    <w:rsid w:val="00BF0728"/>
    <w:rsid w:val="00BF0A95"/>
    <w:rsid w:val="00BF4942"/>
    <w:rsid w:val="00C016A7"/>
    <w:rsid w:val="00C02624"/>
    <w:rsid w:val="00C03F14"/>
    <w:rsid w:val="00C10F91"/>
    <w:rsid w:val="00C117CA"/>
    <w:rsid w:val="00C1230B"/>
    <w:rsid w:val="00C13250"/>
    <w:rsid w:val="00C155D5"/>
    <w:rsid w:val="00C161BE"/>
    <w:rsid w:val="00C16811"/>
    <w:rsid w:val="00C17002"/>
    <w:rsid w:val="00C17F50"/>
    <w:rsid w:val="00C20872"/>
    <w:rsid w:val="00C21CEF"/>
    <w:rsid w:val="00C2377A"/>
    <w:rsid w:val="00C241CF"/>
    <w:rsid w:val="00C24AF8"/>
    <w:rsid w:val="00C32020"/>
    <w:rsid w:val="00C32A17"/>
    <w:rsid w:val="00C34CE8"/>
    <w:rsid w:val="00C350E5"/>
    <w:rsid w:val="00C35F80"/>
    <w:rsid w:val="00C40974"/>
    <w:rsid w:val="00C414B3"/>
    <w:rsid w:val="00C42BB5"/>
    <w:rsid w:val="00C43333"/>
    <w:rsid w:val="00C43F1F"/>
    <w:rsid w:val="00C45CCD"/>
    <w:rsid w:val="00C50329"/>
    <w:rsid w:val="00C55DF4"/>
    <w:rsid w:val="00C57BF3"/>
    <w:rsid w:val="00C67B4F"/>
    <w:rsid w:val="00C702D5"/>
    <w:rsid w:val="00C72071"/>
    <w:rsid w:val="00C72ABE"/>
    <w:rsid w:val="00C7303C"/>
    <w:rsid w:val="00C74295"/>
    <w:rsid w:val="00C833EF"/>
    <w:rsid w:val="00C84BFD"/>
    <w:rsid w:val="00C92424"/>
    <w:rsid w:val="00C93ED2"/>
    <w:rsid w:val="00CA0556"/>
    <w:rsid w:val="00CA0C87"/>
    <w:rsid w:val="00CA2D78"/>
    <w:rsid w:val="00CA416A"/>
    <w:rsid w:val="00CA4588"/>
    <w:rsid w:val="00CA61D2"/>
    <w:rsid w:val="00CA75D3"/>
    <w:rsid w:val="00CB178D"/>
    <w:rsid w:val="00CB4591"/>
    <w:rsid w:val="00CC172D"/>
    <w:rsid w:val="00CD4136"/>
    <w:rsid w:val="00CE0997"/>
    <w:rsid w:val="00CE384C"/>
    <w:rsid w:val="00CE6C9C"/>
    <w:rsid w:val="00CF57C7"/>
    <w:rsid w:val="00CF6838"/>
    <w:rsid w:val="00CF798F"/>
    <w:rsid w:val="00D013EE"/>
    <w:rsid w:val="00D02026"/>
    <w:rsid w:val="00D026DC"/>
    <w:rsid w:val="00D11D53"/>
    <w:rsid w:val="00D1306D"/>
    <w:rsid w:val="00D13686"/>
    <w:rsid w:val="00D1426A"/>
    <w:rsid w:val="00D14635"/>
    <w:rsid w:val="00D153E2"/>
    <w:rsid w:val="00D16396"/>
    <w:rsid w:val="00D175FB"/>
    <w:rsid w:val="00D17B95"/>
    <w:rsid w:val="00D20A20"/>
    <w:rsid w:val="00D21070"/>
    <w:rsid w:val="00D21C60"/>
    <w:rsid w:val="00D24EDD"/>
    <w:rsid w:val="00D2590A"/>
    <w:rsid w:val="00D25FBF"/>
    <w:rsid w:val="00D2649F"/>
    <w:rsid w:val="00D272A0"/>
    <w:rsid w:val="00D2798C"/>
    <w:rsid w:val="00D31F41"/>
    <w:rsid w:val="00D32A1F"/>
    <w:rsid w:val="00D35160"/>
    <w:rsid w:val="00D352F2"/>
    <w:rsid w:val="00D37827"/>
    <w:rsid w:val="00D41A6F"/>
    <w:rsid w:val="00D44E24"/>
    <w:rsid w:val="00D455C9"/>
    <w:rsid w:val="00D46432"/>
    <w:rsid w:val="00D46BD0"/>
    <w:rsid w:val="00D521E4"/>
    <w:rsid w:val="00D5245F"/>
    <w:rsid w:val="00D5297A"/>
    <w:rsid w:val="00D55537"/>
    <w:rsid w:val="00D60067"/>
    <w:rsid w:val="00D60DE1"/>
    <w:rsid w:val="00D65F79"/>
    <w:rsid w:val="00D67F47"/>
    <w:rsid w:val="00D70501"/>
    <w:rsid w:val="00D71FD2"/>
    <w:rsid w:val="00D724F4"/>
    <w:rsid w:val="00D72BB2"/>
    <w:rsid w:val="00D72DC7"/>
    <w:rsid w:val="00D746BB"/>
    <w:rsid w:val="00D75FF6"/>
    <w:rsid w:val="00D857F3"/>
    <w:rsid w:val="00D865F3"/>
    <w:rsid w:val="00D86F0B"/>
    <w:rsid w:val="00D9020D"/>
    <w:rsid w:val="00D9216A"/>
    <w:rsid w:val="00D93D31"/>
    <w:rsid w:val="00D93DB4"/>
    <w:rsid w:val="00D94D94"/>
    <w:rsid w:val="00D950E3"/>
    <w:rsid w:val="00D96558"/>
    <w:rsid w:val="00DA018C"/>
    <w:rsid w:val="00DA0651"/>
    <w:rsid w:val="00DA1258"/>
    <w:rsid w:val="00DA472C"/>
    <w:rsid w:val="00DA5CA0"/>
    <w:rsid w:val="00DA6D29"/>
    <w:rsid w:val="00DB0111"/>
    <w:rsid w:val="00DB0B4F"/>
    <w:rsid w:val="00DB1818"/>
    <w:rsid w:val="00DB1AE8"/>
    <w:rsid w:val="00DB370B"/>
    <w:rsid w:val="00DB5DD0"/>
    <w:rsid w:val="00DB5F7B"/>
    <w:rsid w:val="00DC0226"/>
    <w:rsid w:val="00DC1248"/>
    <w:rsid w:val="00DC2B58"/>
    <w:rsid w:val="00DC7823"/>
    <w:rsid w:val="00DD3382"/>
    <w:rsid w:val="00DD6202"/>
    <w:rsid w:val="00DE07B1"/>
    <w:rsid w:val="00DE1BFC"/>
    <w:rsid w:val="00DE6381"/>
    <w:rsid w:val="00DE668D"/>
    <w:rsid w:val="00DF1EAF"/>
    <w:rsid w:val="00DF1F5D"/>
    <w:rsid w:val="00DF64B1"/>
    <w:rsid w:val="00E00A1F"/>
    <w:rsid w:val="00E020A6"/>
    <w:rsid w:val="00E02627"/>
    <w:rsid w:val="00E04A36"/>
    <w:rsid w:val="00E04A4A"/>
    <w:rsid w:val="00E06B16"/>
    <w:rsid w:val="00E127BF"/>
    <w:rsid w:val="00E1746C"/>
    <w:rsid w:val="00E21DA5"/>
    <w:rsid w:val="00E21F6F"/>
    <w:rsid w:val="00E236FB"/>
    <w:rsid w:val="00E23CA1"/>
    <w:rsid w:val="00E242EF"/>
    <w:rsid w:val="00E27EE6"/>
    <w:rsid w:val="00E27F55"/>
    <w:rsid w:val="00E32FFE"/>
    <w:rsid w:val="00E34CD3"/>
    <w:rsid w:val="00E36B81"/>
    <w:rsid w:val="00E41D45"/>
    <w:rsid w:val="00E45F67"/>
    <w:rsid w:val="00E521FC"/>
    <w:rsid w:val="00E52947"/>
    <w:rsid w:val="00E53BFC"/>
    <w:rsid w:val="00E5440E"/>
    <w:rsid w:val="00E54791"/>
    <w:rsid w:val="00E5560E"/>
    <w:rsid w:val="00E57D15"/>
    <w:rsid w:val="00E62C30"/>
    <w:rsid w:val="00E637ED"/>
    <w:rsid w:val="00E66354"/>
    <w:rsid w:val="00E664A1"/>
    <w:rsid w:val="00E70FC6"/>
    <w:rsid w:val="00E71069"/>
    <w:rsid w:val="00E7115A"/>
    <w:rsid w:val="00E712C6"/>
    <w:rsid w:val="00E720FA"/>
    <w:rsid w:val="00E72FEF"/>
    <w:rsid w:val="00E73FA8"/>
    <w:rsid w:val="00E74294"/>
    <w:rsid w:val="00E759F1"/>
    <w:rsid w:val="00E764FE"/>
    <w:rsid w:val="00E77A2E"/>
    <w:rsid w:val="00E8255C"/>
    <w:rsid w:val="00E84388"/>
    <w:rsid w:val="00E84A7D"/>
    <w:rsid w:val="00E84D24"/>
    <w:rsid w:val="00E84F5D"/>
    <w:rsid w:val="00E9020E"/>
    <w:rsid w:val="00E9056E"/>
    <w:rsid w:val="00E91BE4"/>
    <w:rsid w:val="00E91ECD"/>
    <w:rsid w:val="00E95A49"/>
    <w:rsid w:val="00E96D4F"/>
    <w:rsid w:val="00EA10C5"/>
    <w:rsid w:val="00EA1110"/>
    <w:rsid w:val="00EA5D79"/>
    <w:rsid w:val="00EB15A3"/>
    <w:rsid w:val="00EB2B53"/>
    <w:rsid w:val="00EB2EFE"/>
    <w:rsid w:val="00EB2FC4"/>
    <w:rsid w:val="00EB597F"/>
    <w:rsid w:val="00EC181E"/>
    <w:rsid w:val="00EC4C5A"/>
    <w:rsid w:val="00EC5DFA"/>
    <w:rsid w:val="00EC66FA"/>
    <w:rsid w:val="00ED0CFE"/>
    <w:rsid w:val="00ED0D6C"/>
    <w:rsid w:val="00ED311D"/>
    <w:rsid w:val="00ED6CD8"/>
    <w:rsid w:val="00EE2745"/>
    <w:rsid w:val="00EE4E0D"/>
    <w:rsid w:val="00EE63BB"/>
    <w:rsid w:val="00EE64C7"/>
    <w:rsid w:val="00EE713B"/>
    <w:rsid w:val="00EF1500"/>
    <w:rsid w:val="00EF65A5"/>
    <w:rsid w:val="00EF7AE2"/>
    <w:rsid w:val="00F02352"/>
    <w:rsid w:val="00F030AF"/>
    <w:rsid w:val="00F052E4"/>
    <w:rsid w:val="00F060E9"/>
    <w:rsid w:val="00F07DD7"/>
    <w:rsid w:val="00F12CD4"/>
    <w:rsid w:val="00F13114"/>
    <w:rsid w:val="00F1402D"/>
    <w:rsid w:val="00F167D5"/>
    <w:rsid w:val="00F1736B"/>
    <w:rsid w:val="00F246BE"/>
    <w:rsid w:val="00F26025"/>
    <w:rsid w:val="00F262BB"/>
    <w:rsid w:val="00F26F66"/>
    <w:rsid w:val="00F3451C"/>
    <w:rsid w:val="00F34BD5"/>
    <w:rsid w:val="00F35445"/>
    <w:rsid w:val="00F40A4A"/>
    <w:rsid w:val="00F411C4"/>
    <w:rsid w:val="00F418AA"/>
    <w:rsid w:val="00F45009"/>
    <w:rsid w:val="00F47FA0"/>
    <w:rsid w:val="00F50CBF"/>
    <w:rsid w:val="00F522EC"/>
    <w:rsid w:val="00F52DDF"/>
    <w:rsid w:val="00F546B9"/>
    <w:rsid w:val="00F54ED4"/>
    <w:rsid w:val="00F616CF"/>
    <w:rsid w:val="00F6411B"/>
    <w:rsid w:val="00F65743"/>
    <w:rsid w:val="00F6680A"/>
    <w:rsid w:val="00F66D21"/>
    <w:rsid w:val="00F67CBC"/>
    <w:rsid w:val="00F730C2"/>
    <w:rsid w:val="00F747DA"/>
    <w:rsid w:val="00F76849"/>
    <w:rsid w:val="00F80ACF"/>
    <w:rsid w:val="00F80E5B"/>
    <w:rsid w:val="00F8390D"/>
    <w:rsid w:val="00F86F5E"/>
    <w:rsid w:val="00F91F1B"/>
    <w:rsid w:val="00F9508C"/>
    <w:rsid w:val="00F96137"/>
    <w:rsid w:val="00FA07ED"/>
    <w:rsid w:val="00FA661C"/>
    <w:rsid w:val="00FB190B"/>
    <w:rsid w:val="00FB6E91"/>
    <w:rsid w:val="00FB7FA3"/>
    <w:rsid w:val="00FC08EF"/>
    <w:rsid w:val="00FC10C3"/>
    <w:rsid w:val="00FC11D2"/>
    <w:rsid w:val="00FC1B41"/>
    <w:rsid w:val="00FC258F"/>
    <w:rsid w:val="00FC342B"/>
    <w:rsid w:val="00FC3F8E"/>
    <w:rsid w:val="00FC4158"/>
    <w:rsid w:val="00FC6162"/>
    <w:rsid w:val="00FD0D90"/>
    <w:rsid w:val="00FD0D9A"/>
    <w:rsid w:val="00FD25C2"/>
    <w:rsid w:val="00FD5E1C"/>
    <w:rsid w:val="00FE0663"/>
    <w:rsid w:val="00FE2153"/>
    <w:rsid w:val="00FF3635"/>
    <w:rsid w:val="00FF485E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DD70"/>
  <w15:docId w15:val="{4DF4DD6F-8CD0-4AB6-8E87-7DB3B1BD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BB"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74DB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E34A7"/>
  </w:style>
  <w:style w:type="paragraph" w:customStyle="1" w:styleId="Style20">
    <w:name w:val="Style20"/>
    <w:basedOn w:val="Normal"/>
    <w:uiPriority w:val="99"/>
    <w:rsid w:val="00174DB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4">
    <w:name w:val="Style4"/>
    <w:basedOn w:val="Normal"/>
    <w:uiPriority w:val="99"/>
    <w:rsid w:val="0022283D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FontStyle24">
    <w:name w:val="Font Style24"/>
    <w:basedOn w:val="DefaultParagraphFont"/>
    <w:uiPriority w:val="99"/>
    <w:rsid w:val="0022283D"/>
    <w:rPr>
      <w:rFonts w:ascii="Times New Roman" w:hAnsi="Times New Roman" w:cs="Times New Roman"/>
      <w:spacing w:val="-10"/>
      <w:sz w:val="24"/>
      <w:szCs w:val="24"/>
    </w:rPr>
  </w:style>
  <w:style w:type="paragraph" w:customStyle="1" w:styleId="t-9-8">
    <w:name w:val="t-9-8"/>
    <w:basedOn w:val="Normal"/>
    <w:uiPriority w:val="99"/>
    <w:semiHidden/>
    <w:rsid w:val="00BC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7C5EE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Style15">
    <w:name w:val="Style15"/>
    <w:basedOn w:val="Normal"/>
    <w:uiPriority w:val="99"/>
    <w:rsid w:val="007C5EE1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FontStyle25">
    <w:name w:val="Font Style25"/>
    <w:basedOn w:val="DefaultParagraphFont"/>
    <w:uiPriority w:val="99"/>
    <w:rsid w:val="007C5EE1"/>
    <w:rPr>
      <w:rFonts w:ascii="Times New Roman" w:hAnsi="Times New Roman" w:cs="Times New Roman"/>
      <w:b/>
      <w:bCs/>
      <w:spacing w:val="-10"/>
      <w:sz w:val="24"/>
      <w:szCs w:val="24"/>
    </w:rPr>
  </w:style>
  <w:style w:type="paragraph" w:styleId="BodyTextIndent2">
    <w:name w:val="Body Text Indent 2"/>
    <w:aliases w:val="  uvlaka 2,uvlaka 2"/>
    <w:basedOn w:val="Normal"/>
    <w:link w:val="BodyTextIndent2Char"/>
    <w:rsid w:val="00BE5B5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customStyle="1" w:styleId="BodyTextIndent2Char">
    <w:name w:val="Body Text Indent 2 Char"/>
    <w:aliases w:val="  uvlaka 2 Char,uvlaka 2 Char"/>
    <w:basedOn w:val="DefaultParagraphFont"/>
    <w:link w:val="BodyTextIndent2"/>
    <w:rsid w:val="00BE5B55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styleId="Header">
    <w:name w:val="header"/>
    <w:basedOn w:val="Normal"/>
    <w:link w:val="HeaderChar"/>
    <w:uiPriority w:val="99"/>
    <w:unhideWhenUsed/>
    <w:rsid w:val="00E2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CA1"/>
  </w:style>
  <w:style w:type="paragraph" w:styleId="Footer">
    <w:name w:val="footer"/>
    <w:basedOn w:val="Normal"/>
    <w:link w:val="FooterChar"/>
    <w:uiPriority w:val="99"/>
    <w:unhideWhenUsed/>
    <w:rsid w:val="00E2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CA1"/>
  </w:style>
  <w:style w:type="paragraph" w:styleId="NoSpacing">
    <w:name w:val="No Spacing"/>
    <w:uiPriority w:val="1"/>
    <w:qFormat/>
    <w:rsid w:val="00D9020D"/>
    <w:pPr>
      <w:spacing w:line="240" w:lineRule="auto"/>
      <w:jc w:val="left"/>
    </w:pPr>
  </w:style>
  <w:style w:type="paragraph" w:customStyle="1" w:styleId="Default">
    <w:name w:val="Default"/>
    <w:rsid w:val="00144F7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al"/>
    <w:uiPriority w:val="99"/>
    <w:rsid w:val="00443A8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5A0A2A"/>
    <w:pPr>
      <w:widowControl w:val="0"/>
      <w:autoSpaceDE w:val="0"/>
      <w:autoSpaceDN w:val="0"/>
      <w:adjustRightInd w:val="0"/>
      <w:spacing w:after="0" w:line="275" w:lineRule="exact"/>
      <w:ind w:hanging="353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B806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669"/>
    <w:rPr>
      <w:color w:val="800080"/>
      <w:u w:val="single"/>
    </w:rPr>
  </w:style>
  <w:style w:type="paragraph" w:customStyle="1" w:styleId="font5">
    <w:name w:val="font5"/>
    <w:basedOn w:val="Normal"/>
    <w:rsid w:val="00B8066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3">
    <w:name w:val="xl63"/>
    <w:basedOn w:val="Normal"/>
    <w:rsid w:val="00B806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4">
    <w:name w:val="xl64"/>
    <w:basedOn w:val="Normal"/>
    <w:rsid w:val="00B806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5">
    <w:name w:val="xl65"/>
    <w:basedOn w:val="Normal"/>
    <w:rsid w:val="00B80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B80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B806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B80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B806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1">
    <w:name w:val="xl71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2">
    <w:name w:val="xl72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3">
    <w:name w:val="xl73"/>
    <w:basedOn w:val="Normal"/>
    <w:rsid w:val="00B806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4">
    <w:name w:val="xl74"/>
    <w:basedOn w:val="Normal"/>
    <w:rsid w:val="00B806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5">
    <w:name w:val="xl75"/>
    <w:basedOn w:val="Normal"/>
    <w:rsid w:val="00B8066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6">
    <w:name w:val="xl76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7">
    <w:name w:val="xl77"/>
    <w:basedOn w:val="Normal"/>
    <w:rsid w:val="00B8066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8">
    <w:name w:val="xl78"/>
    <w:basedOn w:val="Normal"/>
    <w:rsid w:val="00B806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9">
    <w:name w:val="xl79"/>
    <w:basedOn w:val="Normal"/>
    <w:rsid w:val="00B806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0">
    <w:name w:val="xl80"/>
    <w:basedOn w:val="Normal"/>
    <w:rsid w:val="00B806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1">
    <w:name w:val="xl81"/>
    <w:basedOn w:val="Normal"/>
    <w:rsid w:val="00B806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B8066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3">
    <w:name w:val="xl83"/>
    <w:basedOn w:val="Normal"/>
    <w:rsid w:val="00B80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B80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5">
    <w:name w:val="xl85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6">
    <w:name w:val="xl86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7">
    <w:name w:val="xl87"/>
    <w:basedOn w:val="Normal"/>
    <w:rsid w:val="00B806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8">
    <w:name w:val="xl88"/>
    <w:basedOn w:val="Normal"/>
    <w:rsid w:val="00B806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9">
    <w:name w:val="xl89"/>
    <w:basedOn w:val="Normal"/>
    <w:rsid w:val="00B806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0">
    <w:name w:val="xl90"/>
    <w:basedOn w:val="Normal"/>
    <w:rsid w:val="00B80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B806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2">
    <w:name w:val="xl92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3">
    <w:name w:val="xl93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4">
    <w:name w:val="xl94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5">
    <w:name w:val="xl95"/>
    <w:basedOn w:val="Normal"/>
    <w:rsid w:val="00B806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6">
    <w:name w:val="xl96"/>
    <w:basedOn w:val="Normal"/>
    <w:rsid w:val="00B806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7">
    <w:name w:val="xl97"/>
    <w:basedOn w:val="Normal"/>
    <w:rsid w:val="00B806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8">
    <w:name w:val="xl98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9">
    <w:name w:val="xl99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0">
    <w:name w:val="xl100"/>
    <w:basedOn w:val="Normal"/>
    <w:rsid w:val="00B806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1">
    <w:name w:val="xl101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2">
    <w:name w:val="xl102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3">
    <w:name w:val="xl103"/>
    <w:basedOn w:val="Normal"/>
    <w:rsid w:val="00B806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4">
    <w:name w:val="xl104"/>
    <w:basedOn w:val="Normal"/>
    <w:rsid w:val="00B806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5">
    <w:name w:val="xl105"/>
    <w:basedOn w:val="Normal"/>
    <w:rsid w:val="00B806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6">
    <w:name w:val="xl106"/>
    <w:basedOn w:val="Normal"/>
    <w:rsid w:val="00B80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tb-na16">
    <w:name w:val="tb-na16"/>
    <w:basedOn w:val="Normal"/>
    <w:rsid w:val="00DC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3C2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8">
    <w:name w:val="xl108"/>
    <w:basedOn w:val="Normal"/>
    <w:rsid w:val="003C2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9">
    <w:name w:val="xl109"/>
    <w:basedOn w:val="Normal"/>
    <w:rsid w:val="003C20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0">
    <w:name w:val="xl110"/>
    <w:basedOn w:val="Normal"/>
    <w:rsid w:val="003C20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3C20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2">
    <w:name w:val="xl112"/>
    <w:basedOn w:val="Normal"/>
    <w:rsid w:val="003C2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D2E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2E59"/>
  </w:style>
  <w:style w:type="character" w:styleId="Emphasis">
    <w:name w:val="Emphasis"/>
    <w:basedOn w:val="DefaultParagraphFont"/>
    <w:uiPriority w:val="20"/>
    <w:qFormat/>
    <w:rsid w:val="004C01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BCB43-B64E-455F-BC96-E027CFCC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21</Pages>
  <Words>6700</Words>
  <Characters>38194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Škopac Koroman</dc:creator>
  <cp:lastModifiedBy>Škopac Koroman Katja</cp:lastModifiedBy>
  <cp:revision>114</cp:revision>
  <cp:lastPrinted>2022-02-22T07:21:00Z</cp:lastPrinted>
  <dcterms:created xsi:type="dcterms:W3CDTF">2022-02-01T13:48:00Z</dcterms:created>
  <dcterms:modified xsi:type="dcterms:W3CDTF">2022-02-22T10:31:00Z</dcterms:modified>
</cp:coreProperties>
</file>