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51B" w:rsidRPr="00360EBE" w:rsidRDefault="0058351B" w:rsidP="00F742DA">
      <w:pPr>
        <w:pStyle w:val="Caption"/>
        <w:jc w:val="center"/>
        <w:rPr>
          <w:rFonts w:ascii="Arial Narrow" w:hAnsi="Arial Narrow"/>
        </w:rPr>
      </w:pPr>
      <w:bookmarkStart w:id="0" w:name="_Toc468978617"/>
      <w:bookmarkStart w:id="1" w:name="_GoBack"/>
      <w:bookmarkEnd w:id="1"/>
    </w:p>
    <w:p w:rsidR="005B0986" w:rsidRPr="00360EBE" w:rsidRDefault="00504138" w:rsidP="00F742DA">
      <w:pPr>
        <w:pStyle w:val="Caption"/>
        <w:jc w:val="center"/>
        <w:rPr>
          <w:rFonts w:ascii="Arial Narrow" w:hAnsi="Arial Narrow"/>
        </w:rPr>
      </w:pPr>
      <w:r w:rsidRPr="00360EBE">
        <w:rPr>
          <w:rFonts w:ascii="Arial Narrow" w:hAnsi="Arial Narrow"/>
        </w:rPr>
        <w:t xml:space="preserve"> </w:t>
      </w:r>
      <w:r w:rsidR="005B0986" w:rsidRPr="00360EBE">
        <w:rPr>
          <w:rFonts w:ascii="Arial Narrow" w:hAnsi="Arial Narrow"/>
        </w:rPr>
        <w:t>Obrazac Izvješća o savjetovanju s javnošću</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2"/>
        <w:gridCol w:w="9207"/>
      </w:tblGrid>
      <w:tr w:rsidR="00360EBE" w:rsidRPr="00360EBE" w:rsidTr="007A0553">
        <w:trPr>
          <w:trHeight w:val="719"/>
        </w:trPr>
        <w:tc>
          <w:tcPr>
            <w:tcW w:w="13149" w:type="dxa"/>
            <w:gridSpan w:val="2"/>
            <w:tcBorders>
              <w:bottom w:val="single" w:sz="4" w:space="0" w:color="365F91"/>
            </w:tcBorders>
            <w:shd w:val="clear" w:color="auto" w:fill="B8CCE4"/>
            <w:vAlign w:val="center"/>
          </w:tcPr>
          <w:p w:rsidR="0002398B" w:rsidRDefault="0002398B" w:rsidP="00FA0F5B">
            <w:pPr>
              <w:spacing w:after="0" w:line="240" w:lineRule="auto"/>
              <w:jc w:val="center"/>
              <w:rPr>
                <w:rFonts w:ascii="Arial Narrow" w:hAnsi="Arial Narrow" w:cs="Times New Roman"/>
                <w:b/>
                <w:bCs/>
                <w:sz w:val="20"/>
                <w:szCs w:val="20"/>
              </w:rPr>
            </w:pPr>
          </w:p>
          <w:p w:rsidR="005B0986" w:rsidRPr="00360EBE" w:rsidRDefault="005B0986" w:rsidP="00FA0F5B">
            <w:pPr>
              <w:spacing w:after="0" w:line="240" w:lineRule="auto"/>
              <w:jc w:val="center"/>
              <w:rPr>
                <w:rFonts w:ascii="Arial Narrow" w:hAnsi="Arial Narrow" w:cs="Times New Roman"/>
                <w:b/>
                <w:bCs/>
                <w:sz w:val="20"/>
                <w:szCs w:val="20"/>
              </w:rPr>
            </w:pPr>
            <w:r w:rsidRPr="00360EBE">
              <w:rPr>
                <w:rFonts w:ascii="Arial Narrow" w:hAnsi="Arial Narrow" w:cs="Times New Roman"/>
                <w:b/>
                <w:bCs/>
                <w:sz w:val="20"/>
                <w:szCs w:val="20"/>
              </w:rPr>
              <w:t>IZVJEŠĆE O SAVJETOVANJU S JAVNOŠĆU</w:t>
            </w:r>
          </w:p>
          <w:p w:rsidR="0002398B" w:rsidRDefault="005B0986" w:rsidP="00FA0F5B">
            <w:pPr>
              <w:spacing w:after="0" w:line="240" w:lineRule="auto"/>
              <w:jc w:val="center"/>
              <w:rPr>
                <w:rFonts w:ascii="Arial Narrow" w:hAnsi="Arial Narrow" w:cs="Times New Roman"/>
                <w:b/>
                <w:bCs/>
                <w:sz w:val="20"/>
                <w:szCs w:val="20"/>
              </w:rPr>
            </w:pPr>
            <w:r w:rsidRPr="00360EBE">
              <w:rPr>
                <w:rFonts w:ascii="Arial Narrow" w:hAnsi="Arial Narrow" w:cs="Times New Roman"/>
                <w:b/>
                <w:bCs/>
                <w:sz w:val="20"/>
                <w:szCs w:val="20"/>
              </w:rPr>
              <w:t xml:space="preserve">U POSTUPKU DONOŠENJA </w:t>
            </w:r>
          </w:p>
          <w:p w:rsidR="005B0986" w:rsidRPr="0002398B" w:rsidRDefault="0002398B" w:rsidP="00FA0F5B">
            <w:pPr>
              <w:spacing w:after="0" w:line="240" w:lineRule="auto"/>
              <w:jc w:val="center"/>
              <w:rPr>
                <w:rFonts w:ascii="Arial Narrow" w:hAnsi="Arial Narrow" w:cs="Times New Roman"/>
                <w:b/>
                <w:bCs/>
                <w:sz w:val="20"/>
                <w:szCs w:val="20"/>
              </w:rPr>
            </w:pPr>
            <w:r w:rsidRPr="0002398B">
              <w:rPr>
                <w:rFonts w:ascii="Arial Narrow" w:hAnsi="Arial Narrow" w:cs="Times New Roman"/>
                <w:b/>
                <w:bCs/>
                <w:sz w:val="20"/>
                <w:szCs w:val="20"/>
              </w:rPr>
              <w:t xml:space="preserve">ODLUKE </w:t>
            </w:r>
            <w:r w:rsidRPr="0002398B">
              <w:rPr>
                <w:rFonts w:ascii="Arial Narrow" w:hAnsi="Arial Narrow"/>
                <w:b/>
                <w:sz w:val="20"/>
                <w:szCs w:val="20"/>
              </w:rPr>
              <w:t>O DONOŠENJU PLANA DAVANJA KONCESIJA ZA 202</w:t>
            </w:r>
            <w:r w:rsidR="00595B29">
              <w:rPr>
                <w:rFonts w:ascii="Arial Narrow" w:hAnsi="Arial Narrow"/>
                <w:b/>
                <w:sz w:val="20"/>
                <w:szCs w:val="20"/>
              </w:rPr>
              <w:t>1</w:t>
            </w:r>
            <w:r w:rsidRPr="0002398B">
              <w:rPr>
                <w:rFonts w:ascii="Arial Narrow" w:hAnsi="Arial Narrow"/>
                <w:b/>
                <w:sz w:val="20"/>
                <w:szCs w:val="20"/>
              </w:rPr>
              <w:t>. GODIN</w:t>
            </w:r>
            <w:r w:rsidR="00F43B57">
              <w:rPr>
                <w:rFonts w:ascii="Arial Narrow" w:hAnsi="Arial Narrow"/>
                <w:b/>
                <w:sz w:val="20"/>
                <w:szCs w:val="20"/>
              </w:rPr>
              <w:t>U</w:t>
            </w:r>
          </w:p>
          <w:p w:rsidR="0002398B" w:rsidRPr="000F5C2E" w:rsidRDefault="005B0986" w:rsidP="0002398B">
            <w:pPr>
              <w:spacing w:after="0" w:line="240" w:lineRule="auto"/>
              <w:jc w:val="center"/>
              <w:rPr>
                <w:rFonts w:ascii="Arial Narrow" w:hAnsi="Arial Narrow" w:cs="Times New Roman"/>
                <w:b/>
                <w:bCs/>
                <w:noProof/>
                <w:sz w:val="20"/>
                <w:szCs w:val="20"/>
              </w:rPr>
            </w:pPr>
            <w:r w:rsidRPr="00360EBE">
              <w:rPr>
                <w:rFonts w:ascii="Arial Narrow" w:hAnsi="Arial Narrow" w:cs="Times New Roman"/>
                <w:b/>
                <w:bCs/>
                <w:sz w:val="20"/>
                <w:szCs w:val="20"/>
              </w:rPr>
              <w:t xml:space="preserve">Nositelj izrade izvješća: </w:t>
            </w:r>
            <w:r w:rsidR="0002398B" w:rsidRPr="000F5C2E">
              <w:rPr>
                <w:rFonts w:ascii="Arial Narrow" w:hAnsi="Arial Narrow" w:cs="Times New Roman"/>
                <w:b/>
                <w:bCs/>
                <w:noProof/>
                <w:sz w:val="20"/>
                <w:szCs w:val="20"/>
              </w:rPr>
              <w:t>Grad Pula</w:t>
            </w:r>
            <w:r w:rsidR="00195157">
              <w:rPr>
                <w:rFonts w:ascii="Arial Narrow" w:hAnsi="Arial Narrow" w:cs="Times New Roman"/>
                <w:b/>
                <w:bCs/>
                <w:noProof/>
                <w:sz w:val="20"/>
                <w:szCs w:val="20"/>
              </w:rPr>
              <w:t xml:space="preserve"> - Pola</w:t>
            </w:r>
            <w:r w:rsidR="0002398B" w:rsidRPr="000F5C2E">
              <w:rPr>
                <w:rFonts w:ascii="Arial Narrow" w:hAnsi="Arial Narrow" w:cs="Times New Roman"/>
                <w:b/>
                <w:bCs/>
                <w:noProof/>
                <w:sz w:val="20"/>
                <w:szCs w:val="20"/>
              </w:rPr>
              <w:t>, Upravni odjel za prostorno uređenje, komunalni sustav i imovinu</w:t>
            </w:r>
          </w:p>
          <w:p w:rsidR="005B0986" w:rsidRDefault="0002398B" w:rsidP="0002398B">
            <w:pPr>
              <w:spacing w:after="0" w:line="240" w:lineRule="auto"/>
              <w:jc w:val="center"/>
              <w:rPr>
                <w:rFonts w:ascii="Arial Narrow" w:hAnsi="Arial Narrow" w:cs="Times New Roman"/>
                <w:b/>
                <w:bCs/>
                <w:sz w:val="20"/>
                <w:szCs w:val="20"/>
              </w:rPr>
            </w:pPr>
            <w:r w:rsidRPr="000F5C2E">
              <w:rPr>
                <w:rFonts w:ascii="Arial Narrow" w:hAnsi="Arial Narrow" w:cs="Times New Roman"/>
                <w:b/>
                <w:bCs/>
                <w:noProof/>
                <w:sz w:val="20"/>
                <w:szCs w:val="20"/>
              </w:rPr>
              <w:t xml:space="preserve">Pula, </w:t>
            </w:r>
            <w:r w:rsidR="00595B29">
              <w:rPr>
                <w:rFonts w:ascii="Arial Narrow" w:hAnsi="Arial Narrow" w:cs="Times New Roman"/>
                <w:b/>
                <w:bCs/>
                <w:noProof/>
                <w:sz w:val="20"/>
                <w:szCs w:val="20"/>
              </w:rPr>
              <w:t>30</w:t>
            </w:r>
            <w:r w:rsidRPr="00BD7324">
              <w:rPr>
                <w:rFonts w:ascii="Arial Narrow" w:hAnsi="Arial Narrow" w:cs="Times New Roman"/>
                <w:b/>
                <w:bCs/>
                <w:noProof/>
                <w:sz w:val="20"/>
                <w:szCs w:val="20"/>
              </w:rPr>
              <w:t xml:space="preserve">. </w:t>
            </w:r>
            <w:r w:rsidR="00595B29">
              <w:rPr>
                <w:rFonts w:ascii="Arial Narrow" w:hAnsi="Arial Narrow" w:cs="Times New Roman"/>
                <w:b/>
                <w:bCs/>
                <w:noProof/>
                <w:sz w:val="20"/>
                <w:szCs w:val="20"/>
              </w:rPr>
              <w:t>studenog</w:t>
            </w:r>
            <w:r w:rsidRPr="00BD7324">
              <w:rPr>
                <w:rFonts w:ascii="Arial Narrow" w:hAnsi="Arial Narrow" w:cs="Times New Roman"/>
                <w:b/>
                <w:bCs/>
                <w:noProof/>
                <w:sz w:val="20"/>
                <w:szCs w:val="20"/>
              </w:rPr>
              <w:t xml:space="preserve"> 20</w:t>
            </w:r>
            <w:r w:rsidR="00595B29">
              <w:rPr>
                <w:rFonts w:ascii="Arial Narrow" w:hAnsi="Arial Narrow" w:cs="Times New Roman"/>
                <w:b/>
                <w:bCs/>
                <w:noProof/>
                <w:sz w:val="20"/>
                <w:szCs w:val="20"/>
              </w:rPr>
              <w:t>20</w:t>
            </w:r>
            <w:r w:rsidRPr="00BD7324">
              <w:rPr>
                <w:rFonts w:ascii="Arial Narrow" w:hAnsi="Arial Narrow" w:cs="Times New Roman"/>
                <w:b/>
                <w:bCs/>
                <w:noProof/>
                <w:sz w:val="20"/>
                <w:szCs w:val="20"/>
              </w:rPr>
              <w:t xml:space="preserve">. </w:t>
            </w:r>
            <w:r w:rsidR="00542564">
              <w:rPr>
                <w:rFonts w:ascii="Arial Narrow" w:hAnsi="Arial Narrow" w:cs="Times New Roman"/>
                <w:b/>
                <w:bCs/>
                <w:noProof/>
                <w:sz w:val="20"/>
                <w:szCs w:val="20"/>
              </w:rPr>
              <w:t>g</w:t>
            </w:r>
            <w:r w:rsidRPr="00BD7324">
              <w:rPr>
                <w:rFonts w:ascii="Arial Narrow" w:hAnsi="Arial Narrow" w:cs="Times New Roman"/>
                <w:b/>
                <w:bCs/>
                <w:noProof/>
                <w:sz w:val="20"/>
                <w:szCs w:val="20"/>
              </w:rPr>
              <w:t>odine</w:t>
            </w:r>
          </w:p>
          <w:p w:rsidR="0002398B" w:rsidRPr="00360EBE" w:rsidRDefault="0002398B" w:rsidP="0002398B">
            <w:pPr>
              <w:spacing w:after="0" w:line="240" w:lineRule="auto"/>
              <w:jc w:val="center"/>
              <w:rPr>
                <w:rFonts w:ascii="Arial Narrow" w:hAnsi="Arial Narrow" w:cs="Times New Roman"/>
                <w:b/>
                <w:bCs/>
                <w:sz w:val="20"/>
                <w:szCs w:val="20"/>
              </w:rPr>
            </w:pPr>
          </w:p>
        </w:tc>
      </w:tr>
      <w:tr w:rsidR="00360EBE" w:rsidRPr="00360EBE" w:rsidTr="006453BC">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360EBE" w:rsidRDefault="005B0986" w:rsidP="001907B5">
            <w:pPr>
              <w:spacing w:after="120" w:line="240" w:lineRule="auto"/>
              <w:rPr>
                <w:rFonts w:ascii="Arial Narrow" w:hAnsi="Arial Narrow" w:cs="Times New Roman"/>
                <w:b/>
                <w:bCs/>
                <w:sz w:val="20"/>
                <w:szCs w:val="20"/>
              </w:rPr>
            </w:pPr>
            <w:r w:rsidRPr="00360EBE">
              <w:rPr>
                <w:rFonts w:ascii="Arial Narrow" w:hAnsi="Arial Narrow" w:cs="Times New Roman"/>
                <w:b/>
                <w:bCs/>
                <w:sz w:val="20"/>
                <w:szCs w:val="20"/>
              </w:rPr>
              <w:t xml:space="preserve">Naziv akta za koji je provedeno savjetovanje s javnošću </w:t>
            </w:r>
          </w:p>
        </w:tc>
        <w:tc>
          <w:tcPr>
            <w:tcW w:w="9207"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6453BC" w:rsidRDefault="00914074" w:rsidP="00595B29">
            <w:pPr>
              <w:spacing w:after="120" w:line="240" w:lineRule="auto"/>
              <w:jc w:val="both"/>
              <w:rPr>
                <w:rFonts w:ascii="Arial Narrow" w:hAnsi="Arial Narrow"/>
                <w:sz w:val="20"/>
                <w:szCs w:val="20"/>
              </w:rPr>
            </w:pPr>
            <w:r w:rsidRPr="0002398B">
              <w:rPr>
                <w:rFonts w:ascii="Arial Narrow" w:hAnsi="Arial Narrow"/>
                <w:sz w:val="20"/>
                <w:szCs w:val="20"/>
              </w:rPr>
              <w:t>Nacrt prijedloga Odluke o donošenju Plana davanja koncesija za 202</w:t>
            </w:r>
            <w:r w:rsidR="00595B29">
              <w:rPr>
                <w:rFonts w:ascii="Arial Narrow" w:hAnsi="Arial Narrow"/>
                <w:sz w:val="20"/>
                <w:szCs w:val="20"/>
              </w:rPr>
              <w:t>1</w:t>
            </w:r>
            <w:r w:rsidRPr="0002398B">
              <w:rPr>
                <w:rFonts w:ascii="Arial Narrow" w:hAnsi="Arial Narrow"/>
                <w:sz w:val="20"/>
                <w:szCs w:val="20"/>
              </w:rPr>
              <w:t>. godin</w:t>
            </w:r>
            <w:r w:rsidR="00F43B57">
              <w:rPr>
                <w:rFonts w:ascii="Arial Narrow" w:hAnsi="Arial Narrow"/>
                <w:sz w:val="20"/>
                <w:szCs w:val="20"/>
              </w:rPr>
              <w:t>u</w:t>
            </w:r>
          </w:p>
        </w:tc>
      </w:tr>
      <w:tr w:rsidR="00914074" w:rsidRPr="00360EBE" w:rsidTr="007A0553">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rsidR="00914074" w:rsidRPr="00360EBE" w:rsidRDefault="00914074" w:rsidP="00914074">
            <w:pPr>
              <w:spacing w:after="120" w:line="240" w:lineRule="auto"/>
              <w:rPr>
                <w:rFonts w:ascii="Arial Narrow" w:hAnsi="Arial Narrow" w:cs="Times New Roman"/>
                <w:b/>
                <w:bCs/>
                <w:sz w:val="20"/>
                <w:szCs w:val="20"/>
              </w:rPr>
            </w:pPr>
            <w:r w:rsidRPr="00360EBE">
              <w:rPr>
                <w:rFonts w:ascii="Arial Narrow" w:hAnsi="Arial Narrow" w:cs="Times New Roman"/>
                <w:b/>
                <w:bCs/>
                <w:sz w:val="20"/>
                <w:szCs w:val="20"/>
              </w:rPr>
              <w:t xml:space="preserve">Naziv tijela nadležnog za izradu nacrta / provedbu savjetovanja </w:t>
            </w:r>
          </w:p>
        </w:tc>
        <w:tc>
          <w:tcPr>
            <w:tcW w:w="9207" w:type="dxa"/>
            <w:tcBorders>
              <w:top w:val="single" w:sz="4" w:space="0" w:color="365F91"/>
              <w:left w:val="single" w:sz="4" w:space="0" w:color="365F91"/>
              <w:bottom w:val="single" w:sz="4" w:space="0" w:color="365F91"/>
              <w:right w:val="single" w:sz="4" w:space="0" w:color="365F91"/>
            </w:tcBorders>
            <w:shd w:val="clear" w:color="auto" w:fill="auto"/>
            <w:vAlign w:val="center"/>
          </w:tcPr>
          <w:p w:rsidR="00914074" w:rsidRPr="0002398B" w:rsidRDefault="00914074" w:rsidP="00914074">
            <w:pPr>
              <w:spacing w:after="120" w:line="240" w:lineRule="auto"/>
              <w:jc w:val="both"/>
              <w:rPr>
                <w:rFonts w:ascii="Arial Narrow" w:hAnsi="Arial Narrow"/>
                <w:sz w:val="20"/>
                <w:szCs w:val="20"/>
              </w:rPr>
            </w:pPr>
            <w:r w:rsidRPr="00FD6B96">
              <w:rPr>
                <w:rFonts w:ascii="Arial Narrow" w:hAnsi="Arial Narrow"/>
                <w:sz w:val="20"/>
                <w:szCs w:val="20"/>
              </w:rPr>
              <w:t>Upravni odjel za prostorno uređenje, komunalni sustav i imovinu</w:t>
            </w:r>
          </w:p>
        </w:tc>
      </w:tr>
      <w:tr w:rsidR="00914074" w:rsidRPr="00360EBE" w:rsidTr="0002398B">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rsidR="00914074" w:rsidRPr="00360EBE" w:rsidRDefault="00914074" w:rsidP="00914074">
            <w:pPr>
              <w:spacing w:after="120" w:line="240" w:lineRule="auto"/>
              <w:rPr>
                <w:rFonts w:ascii="Arial Narrow" w:hAnsi="Arial Narrow" w:cs="Times New Roman"/>
                <w:b/>
                <w:bCs/>
                <w:sz w:val="20"/>
                <w:szCs w:val="20"/>
              </w:rPr>
            </w:pPr>
            <w:r w:rsidRPr="00360EBE">
              <w:rPr>
                <w:rFonts w:ascii="Arial Narrow" w:hAnsi="Arial Narrow" w:cs="Times New Roman"/>
                <w:b/>
                <w:bCs/>
                <w:sz w:val="20"/>
                <w:szCs w:val="20"/>
              </w:rPr>
              <w:t>Razlozi za donošenje akta i ciljevi koji se njime žele postići uz sažetak ključnih pitanja</w:t>
            </w:r>
          </w:p>
        </w:tc>
        <w:tc>
          <w:tcPr>
            <w:tcW w:w="9207" w:type="dxa"/>
            <w:tcBorders>
              <w:top w:val="single" w:sz="4" w:space="0" w:color="365F91"/>
              <w:left w:val="single" w:sz="4" w:space="0" w:color="365F91"/>
              <w:bottom w:val="single" w:sz="4" w:space="0" w:color="365F91"/>
              <w:right w:val="single" w:sz="4" w:space="0" w:color="365F91"/>
            </w:tcBorders>
            <w:shd w:val="clear" w:color="auto" w:fill="auto"/>
            <w:vAlign w:val="center"/>
          </w:tcPr>
          <w:p w:rsidR="00914074" w:rsidRPr="0002398B" w:rsidRDefault="00290CBE" w:rsidP="0002398B">
            <w:pPr>
              <w:spacing w:after="120" w:line="240" w:lineRule="auto"/>
              <w:rPr>
                <w:rFonts w:ascii="Arial Narrow" w:hAnsi="Arial Narrow"/>
                <w:sz w:val="20"/>
                <w:szCs w:val="20"/>
              </w:rPr>
            </w:pPr>
            <w:r w:rsidRPr="0002398B">
              <w:rPr>
                <w:rFonts w:ascii="Arial Narrow" w:hAnsi="Arial Narrow"/>
                <w:sz w:val="20"/>
                <w:szCs w:val="20"/>
              </w:rPr>
              <w:t>Uključivanje javnosti u donošenju Plana radi što uspješnijeg upravljanja i gospodarenja pomorskim dobrom</w:t>
            </w:r>
          </w:p>
        </w:tc>
      </w:tr>
      <w:tr w:rsidR="00914074" w:rsidRPr="00360EBE" w:rsidTr="007A0553">
        <w:trPr>
          <w:trHeight w:val="525"/>
        </w:trPr>
        <w:tc>
          <w:tcPr>
            <w:tcW w:w="3942" w:type="dxa"/>
            <w:vMerge w:val="restart"/>
            <w:tcBorders>
              <w:top w:val="single" w:sz="4" w:space="0" w:color="365F91"/>
              <w:left w:val="single" w:sz="4" w:space="0" w:color="365F91"/>
              <w:bottom w:val="single" w:sz="4" w:space="0" w:color="365F91"/>
              <w:right w:val="single" w:sz="4" w:space="0" w:color="365F91"/>
            </w:tcBorders>
            <w:shd w:val="clear" w:color="auto" w:fill="auto"/>
            <w:vAlign w:val="center"/>
          </w:tcPr>
          <w:p w:rsidR="00914074" w:rsidRPr="00360EBE" w:rsidRDefault="00914074" w:rsidP="00914074">
            <w:pPr>
              <w:spacing w:after="120" w:line="240" w:lineRule="auto"/>
              <w:rPr>
                <w:rFonts w:ascii="Arial Narrow" w:hAnsi="Arial Narrow" w:cs="Times New Roman"/>
                <w:b/>
                <w:bCs/>
                <w:sz w:val="20"/>
                <w:szCs w:val="20"/>
              </w:rPr>
            </w:pPr>
            <w:r w:rsidRPr="00360EBE">
              <w:rPr>
                <w:rFonts w:ascii="Arial Narrow" w:hAnsi="Arial Narrow" w:cs="Times New Roman"/>
                <w:b/>
                <w:bCs/>
                <w:sz w:val="20"/>
                <w:szCs w:val="20"/>
              </w:rPr>
              <w:t xml:space="preserve">Objava dokumenata za savjetovanje </w:t>
            </w:r>
          </w:p>
          <w:p w:rsidR="00914074" w:rsidRPr="00360EBE" w:rsidRDefault="00914074" w:rsidP="00914074">
            <w:pPr>
              <w:spacing w:after="120" w:line="240" w:lineRule="auto"/>
              <w:rPr>
                <w:rFonts w:ascii="Arial Narrow" w:hAnsi="Arial Narrow" w:cs="Times New Roman"/>
                <w:b/>
                <w:bCs/>
                <w:sz w:val="20"/>
                <w:szCs w:val="20"/>
              </w:rPr>
            </w:pPr>
          </w:p>
          <w:p w:rsidR="00914074" w:rsidRPr="00360EBE" w:rsidRDefault="00914074" w:rsidP="00914074">
            <w:pPr>
              <w:spacing w:after="120" w:line="240" w:lineRule="auto"/>
              <w:rPr>
                <w:rFonts w:ascii="Arial Narrow" w:hAnsi="Arial Narrow" w:cs="Times New Roman"/>
                <w:b/>
                <w:bCs/>
                <w:sz w:val="20"/>
                <w:szCs w:val="20"/>
              </w:rPr>
            </w:pPr>
          </w:p>
          <w:p w:rsidR="00914074" w:rsidRPr="00360EBE" w:rsidRDefault="00914074" w:rsidP="00914074">
            <w:pPr>
              <w:spacing w:after="120" w:line="240" w:lineRule="auto"/>
              <w:rPr>
                <w:rFonts w:ascii="Arial Narrow" w:hAnsi="Arial Narrow" w:cs="Times New Roman"/>
                <w:b/>
                <w:bCs/>
                <w:sz w:val="20"/>
                <w:szCs w:val="20"/>
              </w:rPr>
            </w:pPr>
            <w:r w:rsidRPr="00360EBE">
              <w:rPr>
                <w:rFonts w:ascii="Arial Narrow" w:hAnsi="Arial Narrow" w:cs="Times New Roman"/>
                <w:b/>
                <w:bCs/>
                <w:sz w:val="20"/>
                <w:szCs w:val="20"/>
              </w:rPr>
              <w:t xml:space="preserve">Razdoblje provedbe savjetovanja </w:t>
            </w:r>
          </w:p>
          <w:p w:rsidR="00914074" w:rsidRPr="00360EBE" w:rsidRDefault="00914074" w:rsidP="00914074">
            <w:pPr>
              <w:spacing w:after="120" w:line="240" w:lineRule="auto"/>
              <w:rPr>
                <w:rFonts w:ascii="Arial Narrow" w:hAnsi="Arial Narrow" w:cs="Times New Roman"/>
                <w:b/>
                <w:bCs/>
                <w:sz w:val="20"/>
                <w:szCs w:val="20"/>
              </w:rPr>
            </w:pPr>
          </w:p>
        </w:tc>
        <w:tc>
          <w:tcPr>
            <w:tcW w:w="9207" w:type="dxa"/>
            <w:tcBorders>
              <w:top w:val="single" w:sz="4" w:space="0" w:color="365F91"/>
              <w:left w:val="single" w:sz="4" w:space="0" w:color="365F91"/>
              <w:bottom w:val="single" w:sz="4" w:space="0" w:color="365F91"/>
              <w:right w:val="single" w:sz="4" w:space="0" w:color="365F91"/>
            </w:tcBorders>
            <w:shd w:val="clear" w:color="auto" w:fill="auto"/>
            <w:vAlign w:val="center"/>
          </w:tcPr>
          <w:p w:rsidR="00914074" w:rsidRPr="00360EBE" w:rsidRDefault="00C25FA4" w:rsidP="00B126FC">
            <w:pPr>
              <w:spacing w:after="120" w:line="240" w:lineRule="auto"/>
              <w:rPr>
                <w:rFonts w:ascii="Arial Narrow" w:hAnsi="Arial Narrow" w:cs="Times New Roman"/>
                <w:bCs/>
                <w:sz w:val="20"/>
                <w:szCs w:val="20"/>
              </w:rPr>
            </w:pPr>
            <w:hyperlink r:id="rId6" w:history="1">
              <w:r w:rsidR="00B126FC" w:rsidRPr="00B126FC">
                <w:rPr>
                  <w:rStyle w:val="Hyperlink"/>
                  <w:rFonts w:ascii="Arial Narrow" w:hAnsi="Arial Narrow" w:cs="Times New Roman"/>
                  <w:bCs/>
                  <w:sz w:val="20"/>
                  <w:szCs w:val="20"/>
                </w:rPr>
                <w:t>https://www.pula.hr/hr/eusluge/ekonzultacije/ekonzultacije-u-tijeku/36/nacrt-prijedloga-odluke-o-donosenju-plana-davanja-koncesije-za-2021-godinu/</w:t>
              </w:r>
            </w:hyperlink>
          </w:p>
        </w:tc>
      </w:tr>
      <w:tr w:rsidR="00914074" w:rsidRPr="00360EBE" w:rsidTr="00372263">
        <w:trPr>
          <w:trHeight w:val="1080"/>
        </w:trPr>
        <w:tc>
          <w:tcPr>
            <w:tcW w:w="3942" w:type="dxa"/>
            <w:vMerge/>
            <w:tcBorders>
              <w:top w:val="single" w:sz="4" w:space="0" w:color="365F91"/>
              <w:left w:val="single" w:sz="4" w:space="0" w:color="365F91"/>
              <w:bottom w:val="single" w:sz="4" w:space="0" w:color="365F91"/>
              <w:right w:val="single" w:sz="4" w:space="0" w:color="365F91"/>
            </w:tcBorders>
            <w:shd w:val="clear" w:color="auto" w:fill="auto"/>
            <w:vAlign w:val="center"/>
          </w:tcPr>
          <w:p w:rsidR="00914074" w:rsidRPr="00360EBE" w:rsidRDefault="00914074" w:rsidP="00914074">
            <w:pPr>
              <w:spacing w:after="120" w:line="240" w:lineRule="auto"/>
              <w:rPr>
                <w:rFonts w:ascii="Arial Narrow" w:hAnsi="Arial Narrow" w:cs="Times New Roman"/>
                <w:b/>
                <w:bCs/>
                <w:sz w:val="20"/>
                <w:szCs w:val="20"/>
              </w:rPr>
            </w:pPr>
          </w:p>
        </w:tc>
        <w:tc>
          <w:tcPr>
            <w:tcW w:w="9207" w:type="dxa"/>
            <w:tcBorders>
              <w:top w:val="single" w:sz="4" w:space="0" w:color="365F91"/>
              <w:left w:val="single" w:sz="4" w:space="0" w:color="365F91"/>
              <w:right w:val="single" w:sz="4" w:space="0" w:color="365F91"/>
            </w:tcBorders>
            <w:shd w:val="clear" w:color="auto" w:fill="auto"/>
            <w:vAlign w:val="center"/>
          </w:tcPr>
          <w:p w:rsidR="00914074" w:rsidRPr="00360EBE" w:rsidRDefault="00290CBE" w:rsidP="00B126FC">
            <w:pPr>
              <w:spacing w:after="120" w:line="240" w:lineRule="auto"/>
              <w:rPr>
                <w:rFonts w:ascii="Arial Narrow" w:hAnsi="Arial Narrow" w:cs="Times New Roman"/>
                <w:bCs/>
                <w:sz w:val="20"/>
                <w:szCs w:val="20"/>
              </w:rPr>
            </w:pPr>
            <w:r>
              <w:rPr>
                <w:rFonts w:ascii="Arial Narrow" w:hAnsi="Arial Narrow" w:cs="Arial"/>
                <w:sz w:val="20"/>
                <w:szCs w:val="20"/>
                <w:shd w:val="clear" w:color="auto" w:fill="FFFFFF"/>
              </w:rPr>
              <w:t xml:space="preserve">Internetsko savjetovanje s javnošću </w:t>
            </w:r>
            <w:r w:rsidRPr="00FD6B96">
              <w:rPr>
                <w:rFonts w:ascii="Arial Narrow" w:hAnsi="Arial Narrow" w:cs="Arial"/>
                <w:sz w:val="20"/>
                <w:szCs w:val="20"/>
                <w:shd w:val="clear" w:color="auto" w:fill="FFFFFF"/>
              </w:rPr>
              <w:t>prove</w:t>
            </w:r>
            <w:r>
              <w:rPr>
                <w:rFonts w:ascii="Arial Narrow" w:hAnsi="Arial Narrow" w:cs="Arial"/>
                <w:sz w:val="20"/>
                <w:szCs w:val="20"/>
                <w:shd w:val="clear" w:color="auto" w:fill="FFFFFF"/>
              </w:rPr>
              <w:t>deno j</w:t>
            </w:r>
            <w:r w:rsidRPr="00FD6B96">
              <w:rPr>
                <w:rFonts w:ascii="Arial Narrow" w:hAnsi="Arial Narrow" w:cs="Arial"/>
                <w:sz w:val="20"/>
                <w:szCs w:val="20"/>
                <w:shd w:val="clear" w:color="auto" w:fill="FFFFFF"/>
              </w:rPr>
              <w:t xml:space="preserve">e u razdoblju od </w:t>
            </w:r>
            <w:r w:rsidR="00B126FC">
              <w:rPr>
                <w:rFonts w:ascii="Arial Narrow" w:hAnsi="Arial Narrow" w:cs="Arial"/>
                <w:sz w:val="20"/>
                <w:szCs w:val="20"/>
                <w:shd w:val="clear" w:color="auto" w:fill="FFFFFF"/>
              </w:rPr>
              <w:t>28</w:t>
            </w:r>
            <w:r w:rsidRPr="00FD6B96">
              <w:rPr>
                <w:rFonts w:ascii="Arial Narrow" w:hAnsi="Arial Narrow" w:cs="Arial"/>
                <w:sz w:val="20"/>
                <w:szCs w:val="20"/>
                <w:shd w:val="clear" w:color="auto" w:fill="FFFFFF"/>
              </w:rPr>
              <w:t xml:space="preserve">. </w:t>
            </w:r>
            <w:r w:rsidR="00B126FC">
              <w:rPr>
                <w:rFonts w:ascii="Arial Narrow" w:hAnsi="Arial Narrow" w:cs="Arial"/>
                <w:sz w:val="20"/>
                <w:szCs w:val="20"/>
                <w:shd w:val="clear" w:color="auto" w:fill="FFFFFF"/>
              </w:rPr>
              <w:t>listopada</w:t>
            </w:r>
            <w:r w:rsidRPr="00FD6B96">
              <w:rPr>
                <w:rFonts w:ascii="Arial Narrow" w:hAnsi="Arial Narrow" w:cs="Arial"/>
                <w:sz w:val="20"/>
                <w:szCs w:val="20"/>
                <w:shd w:val="clear" w:color="auto" w:fill="FFFFFF"/>
              </w:rPr>
              <w:t xml:space="preserve"> 20</w:t>
            </w:r>
            <w:r w:rsidR="00B126FC">
              <w:rPr>
                <w:rFonts w:ascii="Arial Narrow" w:hAnsi="Arial Narrow" w:cs="Arial"/>
                <w:sz w:val="20"/>
                <w:szCs w:val="20"/>
                <w:shd w:val="clear" w:color="auto" w:fill="FFFFFF"/>
              </w:rPr>
              <w:t>20</w:t>
            </w:r>
            <w:r w:rsidRPr="00FD6B96">
              <w:rPr>
                <w:rFonts w:ascii="Arial Narrow" w:hAnsi="Arial Narrow" w:cs="Arial"/>
                <w:sz w:val="20"/>
                <w:szCs w:val="20"/>
                <w:shd w:val="clear" w:color="auto" w:fill="FFFFFF"/>
              </w:rPr>
              <w:t xml:space="preserve">. godine do </w:t>
            </w:r>
            <w:r w:rsidR="00B126FC">
              <w:rPr>
                <w:rFonts w:ascii="Arial Narrow" w:hAnsi="Arial Narrow" w:cs="Arial"/>
                <w:sz w:val="20"/>
                <w:szCs w:val="20"/>
                <w:shd w:val="clear" w:color="auto" w:fill="FFFFFF"/>
              </w:rPr>
              <w:t>28</w:t>
            </w:r>
            <w:r w:rsidRPr="00FD6B96">
              <w:rPr>
                <w:rFonts w:ascii="Arial Narrow" w:hAnsi="Arial Narrow" w:cs="Arial"/>
                <w:sz w:val="20"/>
                <w:szCs w:val="20"/>
                <w:shd w:val="clear" w:color="auto" w:fill="FFFFFF"/>
              </w:rPr>
              <w:t xml:space="preserve">. </w:t>
            </w:r>
            <w:r w:rsidR="00B126FC">
              <w:rPr>
                <w:rFonts w:ascii="Arial Narrow" w:hAnsi="Arial Narrow" w:cs="Arial"/>
                <w:sz w:val="20"/>
                <w:szCs w:val="20"/>
                <w:shd w:val="clear" w:color="auto" w:fill="FFFFFF"/>
              </w:rPr>
              <w:t>studenog</w:t>
            </w:r>
            <w:r w:rsidR="00B126FC" w:rsidRPr="00FD6B96">
              <w:rPr>
                <w:rFonts w:ascii="Arial Narrow" w:hAnsi="Arial Narrow" w:cs="Arial"/>
                <w:sz w:val="20"/>
                <w:szCs w:val="20"/>
                <w:shd w:val="clear" w:color="auto" w:fill="FFFFFF"/>
              </w:rPr>
              <w:t xml:space="preserve"> </w:t>
            </w:r>
            <w:r w:rsidRPr="00FD6B96">
              <w:rPr>
                <w:rFonts w:ascii="Arial Narrow" w:hAnsi="Arial Narrow" w:cs="Arial"/>
                <w:sz w:val="20"/>
                <w:szCs w:val="20"/>
                <w:shd w:val="clear" w:color="auto" w:fill="FFFFFF"/>
              </w:rPr>
              <w:t>20</w:t>
            </w:r>
            <w:r w:rsidR="00B126FC">
              <w:rPr>
                <w:rFonts w:ascii="Arial Narrow" w:hAnsi="Arial Narrow" w:cs="Arial"/>
                <w:sz w:val="20"/>
                <w:szCs w:val="20"/>
                <w:shd w:val="clear" w:color="auto" w:fill="FFFFFF"/>
              </w:rPr>
              <w:t>20</w:t>
            </w:r>
            <w:r w:rsidRPr="00FD6B96">
              <w:rPr>
                <w:rFonts w:ascii="Arial Narrow" w:hAnsi="Arial Narrow" w:cs="Arial"/>
                <w:sz w:val="20"/>
                <w:szCs w:val="20"/>
                <w:shd w:val="clear" w:color="auto" w:fill="FFFFFF"/>
              </w:rPr>
              <w:t>. godine </w:t>
            </w:r>
            <w:r w:rsidRPr="00360EBE">
              <w:rPr>
                <w:rFonts w:ascii="Arial Narrow" w:hAnsi="Arial Narrow" w:cs="Times New Roman"/>
                <w:bCs/>
                <w:sz w:val="20"/>
                <w:szCs w:val="20"/>
              </w:rPr>
              <w:t xml:space="preserve"> </w:t>
            </w:r>
          </w:p>
        </w:tc>
      </w:tr>
      <w:tr w:rsidR="00914074" w:rsidRPr="00360EBE" w:rsidTr="007A0553">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rsidR="00914074" w:rsidRPr="00360EBE" w:rsidRDefault="00914074" w:rsidP="00914074">
            <w:pPr>
              <w:spacing w:after="120" w:line="240" w:lineRule="auto"/>
              <w:rPr>
                <w:rFonts w:ascii="Arial Narrow" w:hAnsi="Arial Narrow" w:cs="Times New Roman"/>
                <w:b/>
                <w:bCs/>
                <w:sz w:val="20"/>
                <w:szCs w:val="20"/>
              </w:rPr>
            </w:pPr>
            <w:r w:rsidRPr="00360EBE">
              <w:rPr>
                <w:rFonts w:ascii="Arial Narrow" w:hAnsi="Arial Narrow" w:cs="Times New Roman"/>
                <w:b/>
                <w:bCs/>
                <w:sz w:val="20"/>
                <w:szCs w:val="20"/>
              </w:rPr>
              <w:t xml:space="preserve">Pregled osnovnih pokazatelja  uključenosti savjetovanja s javnošću </w:t>
            </w:r>
          </w:p>
        </w:tc>
        <w:tc>
          <w:tcPr>
            <w:tcW w:w="9207" w:type="dxa"/>
            <w:tcBorders>
              <w:top w:val="single" w:sz="4" w:space="0" w:color="365F91"/>
              <w:left w:val="single" w:sz="4" w:space="0" w:color="365F91"/>
              <w:bottom w:val="single" w:sz="4" w:space="0" w:color="365F91"/>
              <w:right w:val="single" w:sz="4" w:space="0" w:color="365F91"/>
            </w:tcBorders>
            <w:shd w:val="clear" w:color="auto" w:fill="auto"/>
            <w:vAlign w:val="center"/>
          </w:tcPr>
          <w:p w:rsidR="00914074" w:rsidRPr="00FA6A5E" w:rsidRDefault="00604F0A" w:rsidP="007B39E3">
            <w:pPr>
              <w:spacing w:after="120" w:line="240" w:lineRule="auto"/>
              <w:rPr>
                <w:rFonts w:ascii="Arial Narrow" w:hAnsi="Arial Narrow" w:cs="Times New Roman"/>
                <w:bCs/>
                <w:sz w:val="20"/>
                <w:szCs w:val="20"/>
              </w:rPr>
            </w:pPr>
            <w:r w:rsidRPr="00FA6A5E">
              <w:rPr>
                <w:rFonts w:ascii="Arial Narrow" w:hAnsi="Arial Narrow" w:cs="Times New Roman"/>
                <w:bCs/>
                <w:noProof/>
                <w:sz w:val="20"/>
                <w:szCs w:val="20"/>
              </w:rPr>
              <w:t>U</w:t>
            </w:r>
            <w:r w:rsidR="007B39E3">
              <w:rPr>
                <w:rFonts w:ascii="Arial Narrow" w:hAnsi="Arial Narrow" w:cs="Times New Roman"/>
                <w:bCs/>
                <w:noProof/>
                <w:sz w:val="20"/>
                <w:szCs w:val="20"/>
              </w:rPr>
              <w:t xml:space="preserve"> za to propisanom roku pristigle</w:t>
            </w:r>
            <w:r w:rsidRPr="00FA6A5E">
              <w:rPr>
                <w:rFonts w:ascii="Arial Narrow" w:hAnsi="Arial Narrow" w:cs="Times New Roman"/>
                <w:bCs/>
                <w:noProof/>
                <w:sz w:val="20"/>
                <w:szCs w:val="20"/>
              </w:rPr>
              <w:t xml:space="preserve"> </w:t>
            </w:r>
            <w:r w:rsidR="007B39E3">
              <w:rPr>
                <w:rFonts w:ascii="Arial Narrow" w:hAnsi="Arial Narrow" w:cs="Times New Roman"/>
                <w:bCs/>
                <w:noProof/>
                <w:sz w:val="20"/>
                <w:szCs w:val="20"/>
              </w:rPr>
              <w:t>su</w:t>
            </w:r>
            <w:r w:rsidRPr="00FA6A5E">
              <w:rPr>
                <w:rFonts w:ascii="Arial Narrow" w:hAnsi="Arial Narrow" w:cs="Times New Roman"/>
                <w:bCs/>
                <w:noProof/>
                <w:sz w:val="20"/>
                <w:szCs w:val="20"/>
              </w:rPr>
              <w:t xml:space="preserve"> </w:t>
            </w:r>
            <w:r w:rsidR="007B39E3">
              <w:rPr>
                <w:rFonts w:ascii="Arial Narrow" w:hAnsi="Arial Narrow" w:cs="Times New Roman"/>
                <w:bCs/>
                <w:noProof/>
                <w:sz w:val="20"/>
                <w:szCs w:val="20"/>
              </w:rPr>
              <w:t>2</w:t>
            </w:r>
            <w:r w:rsidRPr="00FA6A5E">
              <w:rPr>
                <w:rFonts w:ascii="Arial Narrow" w:hAnsi="Arial Narrow" w:cs="Times New Roman"/>
                <w:bCs/>
                <w:noProof/>
                <w:sz w:val="20"/>
                <w:szCs w:val="20"/>
              </w:rPr>
              <w:t xml:space="preserve"> primjedb</w:t>
            </w:r>
            <w:r w:rsidR="007B39E3">
              <w:rPr>
                <w:rFonts w:ascii="Arial Narrow" w:hAnsi="Arial Narrow" w:cs="Times New Roman"/>
                <w:bCs/>
                <w:noProof/>
                <w:sz w:val="20"/>
                <w:szCs w:val="20"/>
              </w:rPr>
              <w:t>e</w:t>
            </w:r>
            <w:r w:rsidRPr="00FA6A5E">
              <w:rPr>
                <w:rFonts w:ascii="Arial Narrow" w:hAnsi="Arial Narrow" w:cs="Times New Roman"/>
                <w:bCs/>
                <w:noProof/>
                <w:sz w:val="20"/>
                <w:szCs w:val="20"/>
              </w:rPr>
              <w:t xml:space="preserve">/prijedlog/mišljenje podnesene od strane zainteresirane javnosti </w:t>
            </w:r>
            <w:r w:rsidR="00F43B57">
              <w:rPr>
                <w:rFonts w:ascii="Arial Narrow" w:hAnsi="Arial Narrow" w:cs="Times New Roman"/>
                <w:bCs/>
                <w:noProof/>
                <w:sz w:val="20"/>
                <w:szCs w:val="20"/>
              </w:rPr>
              <w:t>.</w:t>
            </w:r>
            <w:r w:rsidRPr="00FA6A5E">
              <w:rPr>
                <w:rFonts w:ascii="Arial Narrow" w:hAnsi="Arial Narrow" w:cs="Times New Roman"/>
                <w:bCs/>
                <w:noProof/>
                <w:sz w:val="20"/>
                <w:szCs w:val="20"/>
              </w:rPr>
              <w:t xml:space="preserve">Od pristiglih primjedbi </w:t>
            </w:r>
            <w:r w:rsidR="00F43B57">
              <w:rPr>
                <w:rFonts w:ascii="Arial Narrow" w:hAnsi="Arial Narrow" w:cs="Times New Roman"/>
                <w:bCs/>
                <w:noProof/>
                <w:sz w:val="20"/>
                <w:szCs w:val="20"/>
              </w:rPr>
              <w:t xml:space="preserve">nije </w:t>
            </w:r>
            <w:r w:rsidRPr="00FA6A5E">
              <w:rPr>
                <w:rFonts w:ascii="Arial Narrow" w:hAnsi="Arial Narrow" w:cs="Times New Roman"/>
                <w:bCs/>
                <w:noProof/>
                <w:sz w:val="20"/>
                <w:szCs w:val="20"/>
              </w:rPr>
              <w:t>prihvaćen</w:t>
            </w:r>
            <w:r w:rsidR="00F43B57">
              <w:rPr>
                <w:rFonts w:ascii="Arial Narrow" w:hAnsi="Arial Narrow" w:cs="Times New Roman"/>
                <w:bCs/>
                <w:noProof/>
                <w:sz w:val="20"/>
                <w:szCs w:val="20"/>
              </w:rPr>
              <w:t>a</w:t>
            </w:r>
            <w:r w:rsidRPr="00FA6A5E">
              <w:rPr>
                <w:rFonts w:ascii="Arial Narrow" w:hAnsi="Arial Narrow" w:cs="Times New Roman"/>
                <w:bCs/>
                <w:noProof/>
                <w:sz w:val="20"/>
                <w:szCs w:val="20"/>
              </w:rPr>
              <w:t xml:space="preserve"> </w:t>
            </w:r>
            <w:r w:rsidR="00F43B57">
              <w:rPr>
                <w:rFonts w:ascii="Arial Narrow" w:hAnsi="Arial Narrow" w:cs="Times New Roman"/>
                <w:bCs/>
                <w:noProof/>
                <w:sz w:val="20"/>
                <w:szCs w:val="20"/>
              </w:rPr>
              <w:t>niti jedna primjedba</w:t>
            </w:r>
            <w:r w:rsidRPr="00FA6A5E">
              <w:rPr>
                <w:rFonts w:ascii="Arial Narrow" w:hAnsi="Arial Narrow" w:cs="Times New Roman"/>
                <w:bCs/>
                <w:noProof/>
                <w:sz w:val="20"/>
                <w:szCs w:val="20"/>
              </w:rPr>
              <w:t>.</w:t>
            </w:r>
          </w:p>
        </w:tc>
      </w:tr>
      <w:tr w:rsidR="00914074" w:rsidRPr="00360EBE" w:rsidTr="007A0553">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rsidR="00914074" w:rsidRPr="00360EBE" w:rsidRDefault="00914074" w:rsidP="00914074">
            <w:pPr>
              <w:spacing w:after="120" w:line="240" w:lineRule="auto"/>
              <w:rPr>
                <w:rFonts w:ascii="Arial Narrow" w:hAnsi="Arial Narrow" w:cs="Times New Roman"/>
                <w:b/>
                <w:bCs/>
                <w:sz w:val="20"/>
                <w:szCs w:val="20"/>
              </w:rPr>
            </w:pPr>
            <w:r w:rsidRPr="00360EBE">
              <w:rPr>
                <w:rFonts w:ascii="Arial Narrow" w:hAnsi="Arial Narrow" w:cs="Times New Roman"/>
                <w:b/>
                <w:bCs/>
                <w:sz w:val="20"/>
                <w:szCs w:val="20"/>
              </w:rPr>
              <w:t xml:space="preserve">Pregled prihvaćenih i neprihvaćenih mišljenja i prijedloga s obrazloženjem razloga za neprihvaćanje </w:t>
            </w:r>
          </w:p>
        </w:tc>
        <w:tc>
          <w:tcPr>
            <w:tcW w:w="9207" w:type="dxa"/>
            <w:tcBorders>
              <w:top w:val="single" w:sz="4" w:space="0" w:color="365F91"/>
              <w:left w:val="single" w:sz="4" w:space="0" w:color="365F91"/>
              <w:bottom w:val="single" w:sz="4" w:space="0" w:color="365F91"/>
              <w:right w:val="single" w:sz="4" w:space="0" w:color="365F91"/>
            </w:tcBorders>
            <w:shd w:val="clear" w:color="auto" w:fill="auto"/>
            <w:vAlign w:val="center"/>
          </w:tcPr>
          <w:p w:rsidR="00914074" w:rsidRPr="00360EBE" w:rsidRDefault="00914074" w:rsidP="00914074">
            <w:pPr>
              <w:spacing w:after="120" w:line="240" w:lineRule="auto"/>
              <w:rPr>
                <w:rFonts w:ascii="Arial Narrow" w:hAnsi="Arial Narrow" w:cs="Times New Roman"/>
                <w:bCs/>
                <w:sz w:val="20"/>
                <w:szCs w:val="20"/>
              </w:rPr>
            </w:pPr>
          </w:p>
          <w:p w:rsidR="00914074" w:rsidRPr="00360EBE" w:rsidRDefault="00F43B57" w:rsidP="00F43B57">
            <w:pPr>
              <w:spacing w:after="120" w:line="240" w:lineRule="auto"/>
              <w:rPr>
                <w:rFonts w:ascii="Arial Narrow" w:hAnsi="Arial Narrow" w:cs="Times New Roman"/>
                <w:bCs/>
                <w:sz w:val="20"/>
                <w:szCs w:val="20"/>
              </w:rPr>
            </w:pPr>
            <w:r>
              <w:rPr>
                <w:rFonts w:ascii="Arial Narrow" w:hAnsi="Arial Narrow" w:cs="Times New Roman"/>
                <w:bCs/>
                <w:sz w:val="20"/>
                <w:szCs w:val="20"/>
              </w:rPr>
              <w:t>Priložena</w:t>
            </w:r>
            <w:r w:rsidR="00914074" w:rsidRPr="00360EBE">
              <w:rPr>
                <w:rFonts w:ascii="Arial Narrow" w:hAnsi="Arial Narrow" w:cs="Times New Roman"/>
                <w:bCs/>
                <w:sz w:val="20"/>
                <w:szCs w:val="20"/>
              </w:rPr>
              <w:t xml:space="preserve"> tablic</w:t>
            </w:r>
            <w:r>
              <w:rPr>
                <w:rFonts w:ascii="Arial Narrow" w:hAnsi="Arial Narrow" w:cs="Times New Roman"/>
                <w:bCs/>
                <w:sz w:val="20"/>
                <w:szCs w:val="20"/>
              </w:rPr>
              <w:t>a</w:t>
            </w:r>
            <w:r w:rsidR="00914074" w:rsidRPr="00360EBE">
              <w:rPr>
                <w:rFonts w:ascii="Arial Narrow" w:hAnsi="Arial Narrow" w:cs="Times New Roman"/>
                <w:bCs/>
                <w:sz w:val="20"/>
                <w:szCs w:val="20"/>
              </w:rPr>
              <w:t xml:space="preserve"> p</w:t>
            </w:r>
            <w:r>
              <w:rPr>
                <w:rFonts w:ascii="Arial Narrow" w:hAnsi="Arial Narrow" w:cs="Times New Roman"/>
                <w:bCs/>
                <w:sz w:val="20"/>
                <w:szCs w:val="20"/>
              </w:rPr>
              <w:t xml:space="preserve">odnesenih </w:t>
            </w:r>
            <w:r w:rsidR="00914074" w:rsidRPr="00360EBE">
              <w:rPr>
                <w:rFonts w:ascii="Arial Narrow" w:hAnsi="Arial Narrow" w:cs="Times New Roman"/>
                <w:bCs/>
                <w:sz w:val="20"/>
                <w:szCs w:val="20"/>
              </w:rPr>
              <w:t>primjedbi –prilog 1.</w:t>
            </w:r>
          </w:p>
        </w:tc>
      </w:tr>
      <w:tr w:rsidR="00914074" w:rsidRPr="00360EBE" w:rsidTr="007A0553">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rsidR="00914074" w:rsidRPr="00360EBE" w:rsidRDefault="00914074" w:rsidP="00914074">
            <w:pPr>
              <w:spacing w:after="120" w:line="240" w:lineRule="auto"/>
              <w:rPr>
                <w:rFonts w:ascii="Arial Narrow" w:hAnsi="Arial Narrow" w:cs="Times New Roman"/>
                <w:b/>
                <w:bCs/>
                <w:sz w:val="20"/>
                <w:szCs w:val="20"/>
              </w:rPr>
            </w:pPr>
            <w:r w:rsidRPr="00360EBE">
              <w:rPr>
                <w:rFonts w:ascii="Arial Narrow" w:hAnsi="Arial Narrow" w:cs="Times New Roman"/>
                <w:b/>
                <w:bCs/>
                <w:sz w:val="20"/>
                <w:szCs w:val="20"/>
              </w:rPr>
              <w:t xml:space="preserve">Ostali oblici savjetovanja s javnošću </w:t>
            </w:r>
          </w:p>
        </w:tc>
        <w:tc>
          <w:tcPr>
            <w:tcW w:w="9207" w:type="dxa"/>
            <w:tcBorders>
              <w:top w:val="single" w:sz="4" w:space="0" w:color="365F91"/>
              <w:left w:val="single" w:sz="4" w:space="0" w:color="365F91"/>
              <w:bottom w:val="single" w:sz="4" w:space="0" w:color="365F91"/>
              <w:right w:val="single" w:sz="4" w:space="0" w:color="365F91"/>
            </w:tcBorders>
            <w:shd w:val="clear" w:color="auto" w:fill="auto"/>
            <w:vAlign w:val="center"/>
          </w:tcPr>
          <w:p w:rsidR="00914074" w:rsidRPr="00360EBE" w:rsidRDefault="00914074" w:rsidP="000D457C">
            <w:pPr>
              <w:spacing w:after="120" w:line="240" w:lineRule="auto"/>
              <w:rPr>
                <w:rFonts w:ascii="Arial Narrow" w:hAnsi="Arial Narrow" w:cs="Times New Roman"/>
                <w:bCs/>
                <w:sz w:val="20"/>
                <w:szCs w:val="20"/>
              </w:rPr>
            </w:pPr>
          </w:p>
        </w:tc>
      </w:tr>
      <w:tr w:rsidR="00914074" w:rsidRPr="00360EBE" w:rsidTr="007A0553">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rsidR="00914074" w:rsidRPr="00360EBE" w:rsidRDefault="00914074" w:rsidP="00914074">
            <w:pPr>
              <w:spacing w:after="120" w:line="240" w:lineRule="auto"/>
              <w:rPr>
                <w:rFonts w:ascii="Arial Narrow" w:hAnsi="Arial Narrow" w:cs="Times New Roman"/>
                <w:b/>
                <w:bCs/>
                <w:sz w:val="20"/>
                <w:szCs w:val="20"/>
              </w:rPr>
            </w:pPr>
            <w:r w:rsidRPr="00360EBE">
              <w:rPr>
                <w:rFonts w:ascii="Arial Narrow" w:hAnsi="Arial Narrow" w:cs="Times New Roman"/>
                <w:b/>
                <w:bCs/>
                <w:sz w:val="20"/>
                <w:szCs w:val="20"/>
              </w:rPr>
              <w:t>Troškovi provedenog savjetovanja</w:t>
            </w:r>
          </w:p>
        </w:tc>
        <w:tc>
          <w:tcPr>
            <w:tcW w:w="9207" w:type="dxa"/>
            <w:tcBorders>
              <w:top w:val="single" w:sz="4" w:space="0" w:color="365F91"/>
              <w:left w:val="single" w:sz="4" w:space="0" w:color="365F91"/>
              <w:bottom w:val="single" w:sz="4" w:space="0" w:color="365F91"/>
              <w:right w:val="single" w:sz="4" w:space="0" w:color="365F91"/>
            </w:tcBorders>
            <w:shd w:val="clear" w:color="auto" w:fill="auto"/>
          </w:tcPr>
          <w:p w:rsidR="00914074" w:rsidRPr="00360EBE" w:rsidRDefault="000D457C" w:rsidP="0002398B">
            <w:pPr>
              <w:spacing w:after="120" w:line="240" w:lineRule="auto"/>
              <w:rPr>
                <w:rFonts w:ascii="Arial Narrow" w:hAnsi="Arial Narrow" w:cs="Times New Roman"/>
                <w:bCs/>
                <w:sz w:val="20"/>
                <w:szCs w:val="20"/>
              </w:rPr>
            </w:pPr>
            <w:r>
              <w:rPr>
                <w:rFonts w:ascii="Arial Narrow" w:hAnsi="Arial Narrow" w:cs="Times New Roman"/>
                <w:bCs/>
                <w:sz w:val="20"/>
                <w:szCs w:val="20"/>
              </w:rPr>
              <w:t>Provedba javnog savjetovanja nije iziskivala dodatne financijske troškove</w:t>
            </w:r>
          </w:p>
        </w:tc>
      </w:tr>
    </w:tbl>
    <w:p w:rsidR="0002398B" w:rsidRDefault="0002398B" w:rsidP="00E738EC">
      <w:pPr>
        <w:rPr>
          <w:rFonts w:ascii="Arial Narrow" w:eastAsia="Calibri" w:hAnsi="Arial Narrow" w:cs="Times New Roman"/>
          <w:b/>
          <w:bCs/>
          <w:sz w:val="20"/>
          <w:szCs w:val="20"/>
          <w:lang w:eastAsia="en-US"/>
        </w:rPr>
      </w:pPr>
      <w:bookmarkStart w:id="2" w:name="_Toc468978618"/>
    </w:p>
    <w:p w:rsidR="00E65474" w:rsidRDefault="00E65474" w:rsidP="00E738EC">
      <w:pPr>
        <w:rPr>
          <w:rFonts w:ascii="Arial Narrow" w:eastAsia="Calibri" w:hAnsi="Arial Narrow" w:cs="Times New Roman"/>
          <w:b/>
          <w:bCs/>
          <w:sz w:val="20"/>
          <w:szCs w:val="20"/>
          <w:lang w:eastAsia="en-US"/>
        </w:rPr>
      </w:pPr>
    </w:p>
    <w:p w:rsidR="00E738EC" w:rsidRPr="00360EBE" w:rsidRDefault="00E738EC" w:rsidP="00E738EC">
      <w:pPr>
        <w:rPr>
          <w:rFonts w:ascii="Arial Narrow" w:eastAsia="Calibri" w:hAnsi="Arial Narrow" w:cs="Times New Roman"/>
          <w:b/>
          <w:bCs/>
          <w:sz w:val="20"/>
          <w:szCs w:val="20"/>
          <w:lang w:eastAsia="en-US"/>
        </w:rPr>
      </w:pPr>
      <w:r w:rsidRPr="00360EBE">
        <w:rPr>
          <w:rFonts w:ascii="Arial Narrow" w:eastAsia="Calibri" w:hAnsi="Arial Narrow" w:cs="Times New Roman"/>
          <w:b/>
          <w:bCs/>
          <w:sz w:val="20"/>
          <w:szCs w:val="20"/>
          <w:lang w:eastAsia="en-US"/>
        </w:rPr>
        <w:lastRenderedPageBreak/>
        <w:t xml:space="preserve">Prilog 1. Pregled </w:t>
      </w:r>
      <w:r w:rsidR="00F43B57">
        <w:rPr>
          <w:rFonts w:ascii="Arial Narrow" w:eastAsia="Calibri" w:hAnsi="Arial Narrow" w:cs="Times New Roman"/>
          <w:b/>
          <w:bCs/>
          <w:sz w:val="20"/>
          <w:szCs w:val="20"/>
          <w:lang w:eastAsia="en-US"/>
        </w:rPr>
        <w:t xml:space="preserve">podnesenih </w:t>
      </w:r>
      <w:r w:rsidRPr="00360EBE">
        <w:rPr>
          <w:rFonts w:ascii="Arial Narrow" w:eastAsia="Calibri" w:hAnsi="Arial Narrow" w:cs="Times New Roman"/>
          <w:b/>
          <w:bCs/>
          <w:sz w:val="20"/>
          <w:szCs w:val="20"/>
          <w:lang w:eastAsia="en-US"/>
        </w:rPr>
        <w:t>primjedbi</w:t>
      </w:r>
      <w:bookmarkEnd w:id="2"/>
    </w:p>
    <w:tbl>
      <w:tblPr>
        <w:tblW w:w="13149"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773"/>
        <w:gridCol w:w="1887"/>
        <w:gridCol w:w="1701"/>
        <w:gridCol w:w="4961"/>
        <w:gridCol w:w="3827"/>
      </w:tblGrid>
      <w:tr w:rsidR="00651323" w:rsidRPr="00360EBE" w:rsidTr="00DA736E">
        <w:tc>
          <w:tcPr>
            <w:tcW w:w="773" w:type="dxa"/>
            <w:vAlign w:val="center"/>
          </w:tcPr>
          <w:p w:rsidR="00651323" w:rsidRPr="00360EBE" w:rsidRDefault="00651323" w:rsidP="00E738EC">
            <w:pPr>
              <w:spacing w:after="120" w:line="240" w:lineRule="auto"/>
              <w:jc w:val="center"/>
              <w:rPr>
                <w:rFonts w:ascii="Arial Narrow" w:hAnsi="Arial Narrow" w:cs="Times New Roman"/>
                <w:b/>
                <w:sz w:val="20"/>
                <w:szCs w:val="20"/>
              </w:rPr>
            </w:pPr>
            <w:r w:rsidRPr="00360EBE">
              <w:rPr>
                <w:rFonts w:ascii="Arial Narrow" w:hAnsi="Arial Narrow" w:cs="Times New Roman"/>
                <w:b/>
                <w:sz w:val="20"/>
                <w:szCs w:val="20"/>
              </w:rPr>
              <w:t>Redni broj</w:t>
            </w:r>
          </w:p>
        </w:tc>
        <w:tc>
          <w:tcPr>
            <w:tcW w:w="1887" w:type="dxa"/>
            <w:vAlign w:val="center"/>
          </w:tcPr>
          <w:p w:rsidR="00651323" w:rsidRPr="00360EBE" w:rsidRDefault="00651323" w:rsidP="00E738EC">
            <w:pPr>
              <w:spacing w:after="120" w:line="240" w:lineRule="auto"/>
              <w:jc w:val="center"/>
              <w:rPr>
                <w:rFonts w:ascii="Arial Narrow" w:hAnsi="Arial Narrow" w:cs="Times New Roman"/>
                <w:b/>
                <w:sz w:val="20"/>
                <w:szCs w:val="20"/>
              </w:rPr>
            </w:pPr>
            <w:r w:rsidRPr="00360EBE">
              <w:rPr>
                <w:rFonts w:ascii="Arial Narrow" w:hAnsi="Arial Narrow" w:cs="Times New Roman"/>
                <w:b/>
                <w:sz w:val="20"/>
                <w:szCs w:val="20"/>
              </w:rPr>
              <w:t>Sudionik savjetovanja (ime i prezime pojedinca, naziv organizacije)</w:t>
            </w:r>
          </w:p>
        </w:tc>
        <w:tc>
          <w:tcPr>
            <w:tcW w:w="1701" w:type="dxa"/>
            <w:vAlign w:val="center"/>
          </w:tcPr>
          <w:p w:rsidR="00651323" w:rsidRPr="00360EBE" w:rsidRDefault="00651323" w:rsidP="00E738EC">
            <w:pPr>
              <w:spacing w:after="120" w:line="240" w:lineRule="auto"/>
              <w:jc w:val="center"/>
              <w:rPr>
                <w:rFonts w:ascii="Arial Narrow" w:hAnsi="Arial Narrow" w:cs="Times New Roman"/>
                <w:b/>
                <w:sz w:val="20"/>
                <w:szCs w:val="20"/>
              </w:rPr>
            </w:pPr>
            <w:r w:rsidRPr="00360EBE">
              <w:rPr>
                <w:rFonts w:ascii="Arial Narrow" w:hAnsi="Arial Narrow" w:cs="Times New Roman"/>
                <w:b/>
                <w:sz w:val="20"/>
                <w:szCs w:val="20"/>
              </w:rPr>
              <w:t>Članak ili drugi dio nacrta na koji se odnosi prijedlog ili mišljenje</w:t>
            </w:r>
          </w:p>
        </w:tc>
        <w:tc>
          <w:tcPr>
            <w:tcW w:w="4961" w:type="dxa"/>
            <w:vAlign w:val="center"/>
          </w:tcPr>
          <w:p w:rsidR="00651323" w:rsidRPr="00360EBE" w:rsidRDefault="00651323" w:rsidP="00E80550">
            <w:pPr>
              <w:spacing w:after="120" w:line="240" w:lineRule="auto"/>
              <w:jc w:val="center"/>
              <w:rPr>
                <w:rFonts w:ascii="Arial Narrow" w:hAnsi="Arial Narrow" w:cs="Times New Roman"/>
                <w:b/>
                <w:sz w:val="20"/>
                <w:szCs w:val="20"/>
              </w:rPr>
            </w:pPr>
            <w:r w:rsidRPr="00360EBE">
              <w:rPr>
                <w:rFonts w:ascii="Arial Narrow" w:hAnsi="Arial Narrow" w:cs="Times New Roman"/>
                <w:b/>
                <w:sz w:val="20"/>
                <w:szCs w:val="20"/>
              </w:rPr>
              <w:t>Tekst zaprimljenog prijedloga ili mišljenja</w:t>
            </w:r>
          </w:p>
        </w:tc>
        <w:tc>
          <w:tcPr>
            <w:tcW w:w="3827" w:type="dxa"/>
            <w:vAlign w:val="center"/>
          </w:tcPr>
          <w:p w:rsidR="00651323" w:rsidRPr="00360EBE" w:rsidRDefault="006453BC" w:rsidP="00047171">
            <w:pPr>
              <w:spacing w:after="120" w:line="240" w:lineRule="auto"/>
              <w:jc w:val="center"/>
              <w:rPr>
                <w:rFonts w:ascii="Arial Narrow" w:hAnsi="Arial Narrow" w:cs="Times New Roman"/>
                <w:b/>
                <w:sz w:val="20"/>
                <w:szCs w:val="20"/>
              </w:rPr>
            </w:pPr>
            <w:r w:rsidRPr="00360EBE">
              <w:rPr>
                <w:rFonts w:ascii="Arial Narrow" w:hAnsi="Arial Narrow" w:cs="Times New Roman"/>
                <w:b/>
                <w:sz w:val="20"/>
                <w:szCs w:val="20"/>
              </w:rPr>
              <w:t>Status prijedloga ili mišljenja (prihvaćanje/neprihvaćanje s  obrazloženjem)</w:t>
            </w:r>
          </w:p>
        </w:tc>
      </w:tr>
      <w:tr w:rsidR="00E80550" w:rsidRPr="00360EBE" w:rsidTr="00DA736E">
        <w:trPr>
          <w:trHeight w:val="567"/>
        </w:trPr>
        <w:tc>
          <w:tcPr>
            <w:tcW w:w="773" w:type="dxa"/>
          </w:tcPr>
          <w:p w:rsidR="00E80550" w:rsidRPr="00360EBE" w:rsidRDefault="00A8427A" w:rsidP="00FA0F5B">
            <w:pPr>
              <w:spacing w:after="120" w:line="240" w:lineRule="auto"/>
              <w:jc w:val="both"/>
              <w:rPr>
                <w:rFonts w:ascii="Arial Narrow" w:hAnsi="Arial Narrow" w:cs="Times New Roman"/>
                <w:sz w:val="20"/>
                <w:szCs w:val="20"/>
              </w:rPr>
            </w:pPr>
            <w:r>
              <w:rPr>
                <w:rFonts w:ascii="Arial Narrow" w:hAnsi="Arial Narrow" w:cs="Times New Roman"/>
                <w:sz w:val="20"/>
                <w:szCs w:val="20"/>
              </w:rPr>
              <w:t>1.</w:t>
            </w:r>
          </w:p>
        </w:tc>
        <w:tc>
          <w:tcPr>
            <w:tcW w:w="1887" w:type="dxa"/>
          </w:tcPr>
          <w:p w:rsidR="00E80550" w:rsidRDefault="00B126FC" w:rsidP="00E65474">
            <w:pPr>
              <w:spacing w:after="0" w:line="240" w:lineRule="auto"/>
              <w:jc w:val="both"/>
              <w:rPr>
                <w:rFonts w:ascii="Arial Narrow" w:eastAsia="Batang" w:hAnsi="Arial Narrow" w:cs="Tms Rmn"/>
                <w:color w:val="000000"/>
                <w:sz w:val="20"/>
                <w:szCs w:val="20"/>
                <w:lang w:eastAsia="ko-KR"/>
              </w:rPr>
            </w:pPr>
            <w:r w:rsidRPr="00B126FC">
              <w:rPr>
                <w:rFonts w:ascii="Arial Narrow" w:eastAsia="Batang" w:hAnsi="Arial Narrow" w:cs="Tms Rmn"/>
                <w:color w:val="000000"/>
                <w:sz w:val="20"/>
                <w:szCs w:val="20"/>
                <w:lang w:eastAsia="ko-KR"/>
              </w:rPr>
              <w:t xml:space="preserve">Loredano </w:t>
            </w:r>
            <w:proofErr w:type="spellStart"/>
            <w:r w:rsidRPr="00B126FC">
              <w:rPr>
                <w:rFonts w:ascii="Arial Narrow" w:eastAsia="Batang" w:hAnsi="Arial Narrow" w:cs="Tms Rmn"/>
                <w:color w:val="000000"/>
                <w:sz w:val="20"/>
                <w:szCs w:val="20"/>
                <w:lang w:eastAsia="ko-KR"/>
              </w:rPr>
              <w:t>Šćević</w:t>
            </w:r>
            <w:proofErr w:type="spellEnd"/>
            <w:r w:rsidRPr="00B126FC">
              <w:rPr>
                <w:rFonts w:ascii="Arial Narrow" w:eastAsia="Batang" w:hAnsi="Arial Narrow" w:cs="Tms Rmn"/>
                <w:color w:val="000000"/>
                <w:sz w:val="20"/>
                <w:szCs w:val="20"/>
                <w:lang w:eastAsia="ko-KR"/>
              </w:rPr>
              <w:t> </w:t>
            </w:r>
          </w:p>
          <w:p w:rsidR="00E65474" w:rsidRPr="00B126FC" w:rsidRDefault="00E65474" w:rsidP="00E65474">
            <w:pPr>
              <w:spacing w:after="0" w:line="240" w:lineRule="auto"/>
              <w:jc w:val="both"/>
              <w:rPr>
                <w:rFonts w:ascii="Arial Narrow" w:hAnsi="Arial Narrow" w:cs="Times New Roman"/>
                <w:sz w:val="20"/>
                <w:szCs w:val="20"/>
              </w:rPr>
            </w:pPr>
            <w:r>
              <w:rPr>
                <w:rFonts w:ascii="Arial Narrow" w:eastAsia="Batang" w:hAnsi="Arial Narrow" w:cs="Tms Rmn"/>
                <w:color w:val="000000"/>
                <w:sz w:val="20"/>
                <w:szCs w:val="20"/>
                <w:lang w:eastAsia="ko-KR"/>
              </w:rPr>
              <w:t>(Fortis transfer)</w:t>
            </w:r>
          </w:p>
        </w:tc>
        <w:tc>
          <w:tcPr>
            <w:tcW w:w="1701" w:type="dxa"/>
          </w:tcPr>
          <w:p w:rsidR="00E80550" w:rsidRPr="00360EBE" w:rsidRDefault="00E80550" w:rsidP="00E738EC">
            <w:pPr>
              <w:spacing w:after="120" w:line="240" w:lineRule="auto"/>
              <w:jc w:val="both"/>
              <w:rPr>
                <w:rFonts w:ascii="Arial Narrow" w:hAnsi="Arial Narrow" w:cs="Times New Roman"/>
                <w:sz w:val="20"/>
                <w:szCs w:val="20"/>
              </w:rPr>
            </w:pPr>
          </w:p>
        </w:tc>
        <w:tc>
          <w:tcPr>
            <w:tcW w:w="4961" w:type="dxa"/>
          </w:tcPr>
          <w:p w:rsidR="00B126FC" w:rsidRPr="00B126FC" w:rsidRDefault="00B126FC" w:rsidP="00B126FC">
            <w:pPr>
              <w:autoSpaceDE w:val="0"/>
              <w:autoSpaceDN w:val="0"/>
              <w:adjustRightInd w:val="0"/>
              <w:spacing w:after="0" w:line="240" w:lineRule="auto"/>
              <w:rPr>
                <w:rFonts w:ascii="Arial Narrow" w:eastAsia="Batang" w:hAnsi="Arial Narrow" w:cs="Tms Rmn"/>
                <w:color w:val="000000"/>
                <w:sz w:val="20"/>
                <w:szCs w:val="20"/>
                <w:lang w:eastAsia="ko-KR"/>
              </w:rPr>
            </w:pPr>
            <w:r w:rsidRPr="00B126FC">
              <w:rPr>
                <w:rFonts w:ascii="Arial Narrow" w:eastAsia="Batang" w:hAnsi="Arial Narrow" w:cs="Tms Rmn"/>
                <w:color w:val="000000"/>
                <w:sz w:val="20"/>
                <w:szCs w:val="20"/>
                <w:lang w:eastAsia="ko-KR"/>
              </w:rPr>
              <w:t>Poštovani, </w:t>
            </w:r>
          </w:p>
          <w:p w:rsidR="00B126FC" w:rsidRPr="00B126FC" w:rsidRDefault="00B126FC" w:rsidP="00B126FC">
            <w:pPr>
              <w:autoSpaceDE w:val="0"/>
              <w:autoSpaceDN w:val="0"/>
              <w:adjustRightInd w:val="0"/>
              <w:spacing w:after="0" w:line="240" w:lineRule="auto"/>
              <w:rPr>
                <w:rFonts w:ascii="Arial Narrow" w:eastAsia="Batang" w:hAnsi="Arial Narrow" w:cs="Tms Rmn"/>
                <w:color w:val="000000"/>
                <w:sz w:val="20"/>
                <w:szCs w:val="20"/>
                <w:lang w:eastAsia="ko-KR"/>
              </w:rPr>
            </w:pPr>
            <w:r w:rsidRPr="00B126FC">
              <w:rPr>
                <w:rFonts w:ascii="Arial Narrow" w:eastAsia="Batang" w:hAnsi="Arial Narrow" w:cs="Tms Rmn"/>
                <w:color w:val="000000"/>
                <w:sz w:val="20"/>
                <w:szCs w:val="20"/>
                <w:lang w:eastAsia="ko-KR"/>
              </w:rPr>
              <w:t>zainteresiran sam za iznajmljivanje sportske opreme (ležaljke i suncobrani) na nekoj od plaža u Gradu Puli u 2021. godini. I interesira me kakva je procedura za dobivanje koncesijskog odobrenja za obavljanje te djelatnosti. Imam obrt koji se bavi iznajmljivanjem i opremu, samo bi mi trebalo koncesijsko odobrenje. </w:t>
            </w:r>
          </w:p>
          <w:p w:rsidR="00E80550" w:rsidRPr="00360EBE" w:rsidRDefault="00B126FC" w:rsidP="00B126FC">
            <w:pPr>
              <w:spacing w:after="0" w:line="240" w:lineRule="auto"/>
              <w:jc w:val="both"/>
              <w:rPr>
                <w:rFonts w:ascii="Arial Narrow" w:hAnsi="Arial Narrow" w:cs="Times New Roman"/>
                <w:sz w:val="20"/>
                <w:szCs w:val="20"/>
              </w:rPr>
            </w:pPr>
            <w:r w:rsidRPr="00B126FC">
              <w:rPr>
                <w:rFonts w:ascii="Arial Narrow" w:eastAsia="Batang" w:hAnsi="Arial Narrow" w:cs="Tms Rmn"/>
                <w:color w:val="000000"/>
                <w:sz w:val="20"/>
                <w:szCs w:val="20"/>
                <w:lang w:eastAsia="ko-KR"/>
              </w:rPr>
              <w:t>Da li sam se javio na pravi mail za ovaj upit? </w:t>
            </w:r>
          </w:p>
        </w:tc>
        <w:tc>
          <w:tcPr>
            <w:tcW w:w="3827" w:type="dxa"/>
          </w:tcPr>
          <w:p w:rsidR="001D4FC2" w:rsidRPr="000F5C2E" w:rsidRDefault="001D4FC2" w:rsidP="001D4FC2">
            <w:pPr>
              <w:spacing w:after="0" w:line="240" w:lineRule="auto"/>
              <w:rPr>
                <w:rFonts w:ascii="Arial Narrow" w:hAnsi="Arial Narrow" w:cs="Times New Roman"/>
                <w:noProof/>
                <w:sz w:val="20"/>
                <w:szCs w:val="20"/>
              </w:rPr>
            </w:pPr>
            <w:r w:rsidRPr="000F5C2E">
              <w:rPr>
                <w:rFonts w:ascii="Arial Narrow" w:hAnsi="Arial Narrow" w:cs="Times New Roman"/>
                <w:noProof/>
                <w:sz w:val="20"/>
                <w:szCs w:val="20"/>
              </w:rPr>
              <w:t>NE PRIHVAĆA SE</w:t>
            </w:r>
          </w:p>
          <w:p w:rsidR="00E80550" w:rsidRDefault="001D4FC2" w:rsidP="00E65474">
            <w:pPr>
              <w:spacing w:after="0" w:line="240" w:lineRule="auto"/>
              <w:jc w:val="both"/>
              <w:rPr>
                <w:rFonts w:ascii="Arial Narrow" w:hAnsi="Arial Narrow" w:cs="Times New Roman"/>
                <w:noProof/>
                <w:sz w:val="20"/>
                <w:szCs w:val="20"/>
              </w:rPr>
            </w:pPr>
            <w:r>
              <w:rPr>
                <w:rFonts w:ascii="Arial Narrow" w:hAnsi="Arial Narrow" w:cs="Times New Roman"/>
                <w:noProof/>
                <w:sz w:val="20"/>
                <w:szCs w:val="20"/>
              </w:rPr>
              <w:t>Primjedba se ne odnosi na p</w:t>
            </w:r>
            <w:r w:rsidRPr="0023537F">
              <w:rPr>
                <w:rFonts w:ascii="Arial Narrow" w:hAnsi="Arial Narrow" w:cs="Times New Roman"/>
                <w:noProof/>
                <w:sz w:val="20"/>
                <w:szCs w:val="20"/>
              </w:rPr>
              <w:t>redmet savjetovanja</w:t>
            </w:r>
            <w:r>
              <w:rPr>
                <w:rFonts w:ascii="Arial Narrow" w:hAnsi="Arial Narrow" w:cs="Times New Roman"/>
                <w:noProof/>
                <w:sz w:val="20"/>
                <w:szCs w:val="20"/>
              </w:rPr>
              <w:t>.</w:t>
            </w:r>
            <w:r w:rsidRPr="0023537F">
              <w:rPr>
                <w:rFonts w:ascii="Arial Narrow" w:hAnsi="Arial Narrow" w:cs="Times New Roman"/>
                <w:noProof/>
                <w:sz w:val="20"/>
                <w:szCs w:val="20"/>
              </w:rPr>
              <w:t xml:space="preserve"> </w:t>
            </w:r>
            <w:r>
              <w:rPr>
                <w:rFonts w:ascii="Arial Narrow" w:hAnsi="Arial Narrow" w:cs="Times New Roman"/>
                <w:noProof/>
                <w:sz w:val="20"/>
                <w:szCs w:val="20"/>
              </w:rPr>
              <w:t>P</w:t>
            </w:r>
            <w:r w:rsidRPr="0023537F">
              <w:rPr>
                <w:rFonts w:ascii="Arial Narrow" w:hAnsi="Arial Narrow" w:cs="Times New Roman"/>
                <w:noProof/>
                <w:sz w:val="20"/>
                <w:szCs w:val="20"/>
              </w:rPr>
              <w:t xml:space="preserve">redmet savjetovanja sa zainteresiranom javnošću od </w:t>
            </w:r>
            <w:r>
              <w:rPr>
                <w:rFonts w:ascii="Arial Narrow" w:hAnsi="Arial Narrow" w:cs="Times New Roman"/>
                <w:noProof/>
                <w:sz w:val="20"/>
                <w:szCs w:val="20"/>
              </w:rPr>
              <w:t>28</w:t>
            </w:r>
            <w:r w:rsidRPr="0023537F">
              <w:rPr>
                <w:rFonts w:ascii="Arial Narrow" w:hAnsi="Arial Narrow" w:cs="Times New Roman"/>
                <w:noProof/>
                <w:sz w:val="20"/>
                <w:szCs w:val="20"/>
              </w:rPr>
              <w:t>.</w:t>
            </w:r>
            <w:r>
              <w:rPr>
                <w:rFonts w:ascii="Arial Narrow" w:hAnsi="Arial Narrow" w:cs="Times New Roman"/>
                <w:noProof/>
                <w:sz w:val="20"/>
                <w:szCs w:val="20"/>
              </w:rPr>
              <w:t xml:space="preserve"> </w:t>
            </w:r>
            <w:r w:rsidRPr="0023537F">
              <w:rPr>
                <w:rFonts w:ascii="Arial Narrow" w:hAnsi="Arial Narrow" w:cs="Times New Roman"/>
                <w:noProof/>
                <w:sz w:val="20"/>
                <w:szCs w:val="20"/>
              </w:rPr>
              <w:t>1</w:t>
            </w:r>
            <w:r>
              <w:rPr>
                <w:rFonts w:ascii="Arial Narrow" w:hAnsi="Arial Narrow" w:cs="Times New Roman"/>
                <w:noProof/>
                <w:sz w:val="20"/>
                <w:szCs w:val="20"/>
              </w:rPr>
              <w:t>0</w:t>
            </w:r>
            <w:r w:rsidRPr="0023537F">
              <w:rPr>
                <w:rFonts w:ascii="Arial Narrow" w:hAnsi="Arial Narrow" w:cs="Times New Roman"/>
                <w:noProof/>
                <w:sz w:val="20"/>
                <w:szCs w:val="20"/>
              </w:rPr>
              <w:t xml:space="preserve">. do </w:t>
            </w:r>
            <w:r>
              <w:rPr>
                <w:rFonts w:ascii="Arial Narrow" w:hAnsi="Arial Narrow" w:cs="Times New Roman"/>
                <w:noProof/>
                <w:sz w:val="20"/>
                <w:szCs w:val="20"/>
              </w:rPr>
              <w:t>28</w:t>
            </w:r>
            <w:r w:rsidRPr="0023537F">
              <w:rPr>
                <w:rFonts w:ascii="Arial Narrow" w:hAnsi="Arial Narrow" w:cs="Times New Roman"/>
                <w:noProof/>
                <w:sz w:val="20"/>
                <w:szCs w:val="20"/>
              </w:rPr>
              <w:t>.</w:t>
            </w:r>
            <w:r>
              <w:rPr>
                <w:rFonts w:ascii="Arial Narrow" w:hAnsi="Arial Narrow" w:cs="Times New Roman"/>
                <w:noProof/>
                <w:sz w:val="20"/>
                <w:szCs w:val="20"/>
              </w:rPr>
              <w:t xml:space="preserve"> 11</w:t>
            </w:r>
            <w:r w:rsidRPr="0023537F">
              <w:rPr>
                <w:rFonts w:ascii="Arial Narrow" w:hAnsi="Arial Narrow" w:cs="Times New Roman"/>
                <w:noProof/>
                <w:sz w:val="20"/>
                <w:szCs w:val="20"/>
              </w:rPr>
              <w:t>.</w:t>
            </w:r>
            <w:r>
              <w:rPr>
                <w:rFonts w:ascii="Arial Narrow" w:hAnsi="Arial Narrow" w:cs="Times New Roman"/>
                <w:noProof/>
                <w:sz w:val="20"/>
                <w:szCs w:val="20"/>
              </w:rPr>
              <w:t xml:space="preserve"> </w:t>
            </w:r>
            <w:r w:rsidRPr="0023537F">
              <w:rPr>
                <w:rFonts w:ascii="Arial Narrow" w:hAnsi="Arial Narrow" w:cs="Times New Roman"/>
                <w:noProof/>
                <w:sz w:val="20"/>
                <w:szCs w:val="20"/>
              </w:rPr>
              <w:t>20</w:t>
            </w:r>
            <w:r>
              <w:rPr>
                <w:rFonts w:ascii="Arial Narrow" w:hAnsi="Arial Narrow" w:cs="Times New Roman"/>
                <w:noProof/>
                <w:sz w:val="20"/>
                <w:szCs w:val="20"/>
              </w:rPr>
              <w:t>20</w:t>
            </w:r>
            <w:r w:rsidRPr="0023537F">
              <w:rPr>
                <w:rFonts w:ascii="Arial Narrow" w:hAnsi="Arial Narrow" w:cs="Times New Roman"/>
                <w:noProof/>
                <w:sz w:val="20"/>
                <w:szCs w:val="20"/>
              </w:rPr>
              <w:t>. bila je Odluka od donošenju Plana</w:t>
            </w:r>
            <w:r w:rsidR="00E65474">
              <w:rPr>
                <w:rFonts w:ascii="Arial Narrow" w:hAnsi="Arial Narrow" w:cs="Times New Roman"/>
                <w:noProof/>
                <w:sz w:val="20"/>
                <w:szCs w:val="20"/>
              </w:rPr>
              <w:t xml:space="preserve"> davanja</w:t>
            </w:r>
            <w:r w:rsidRPr="0023537F">
              <w:rPr>
                <w:rFonts w:ascii="Arial Narrow" w:hAnsi="Arial Narrow" w:cs="Times New Roman"/>
                <w:noProof/>
                <w:sz w:val="20"/>
                <w:szCs w:val="20"/>
              </w:rPr>
              <w:t xml:space="preserve"> koncesija za 202</w:t>
            </w:r>
            <w:r>
              <w:rPr>
                <w:rFonts w:ascii="Arial Narrow" w:hAnsi="Arial Narrow" w:cs="Times New Roman"/>
                <w:noProof/>
                <w:sz w:val="20"/>
                <w:szCs w:val="20"/>
              </w:rPr>
              <w:t>1</w:t>
            </w:r>
            <w:r w:rsidRPr="0023537F">
              <w:rPr>
                <w:rFonts w:ascii="Arial Narrow" w:hAnsi="Arial Narrow" w:cs="Times New Roman"/>
                <w:noProof/>
                <w:sz w:val="20"/>
                <w:szCs w:val="20"/>
              </w:rPr>
              <w:t>. godinu</w:t>
            </w:r>
            <w:r w:rsidR="00E65474">
              <w:rPr>
                <w:rFonts w:ascii="Arial Narrow" w:hAnsi="Arial Narrow" w:cs="Times New Roman"/>
                <w:noProof/>
                <w:sz w:val="20"/>
                <w:szCs w:val="20"/>
              </w:rPr>
              <w:t>, a</w:t>
            </w:r>
            <w:r>
              <w:rPr>
                <w:rFonts w:ascii="Arial Narrow" w:hAnsi="Arial Narrow" w:cs="Times New Roman"/>
                <w:noProof/>
                <w:sz w:val="20"/>
                <w:szCs w:val="20"/>
              </w:rPr>
              <w:t xml:space="preserve"> </w:t>
            </w:r>
            <w:r w:rsidR="00E65474">
              <w:rPr>
                <w:rFonts w:ascii="Arial Narrow" w:hAnsi="Arial Narrow" w:cs="Times New Roman"/>
                <w:noProof/>
                <w:sz w:val="20"/>
                <w:szCs w:val="20"/>
              </w:rPr>
              <w:t>p</w:t>
            </w:r>
            <w:r>
              <w:rPr>
                <w:rFonts w:ascii="Arial Narrow" w:hAnsi="Arial Narrow" w:cs="Times New Roman"/>
                <w:noProof/>
                <w:sz w:val="20"/>
                <w:szCs w:val="20"/>
              </w:rPr>
              <w:t>odnesena primjedba odnosi se na postupak dobivanja koncesijskog odobrenja</w:t>
            </w:r>
            <w:r w:rsidR="00E65474">
              <w:rPr>
                <w:rFonts w:ascii="Arial Narrow" w:hAnsi="Arial Narrow" w:cs="Times New Roman"/>
                <w:noProof/>
                <w:sz w:val="20"/>
                <w:szCs w:val="20"/>
              </w:rPr>
              <w:t xml:space="preserve">. </w:t>
            </w:r>
          </w:p>
          <w:p w:rsidR="004E4210" w:rsidRDefault="004E4210" w:rsidP="00E65474">
            <w:pPr>
              <w:spacing w:after="0" w:line="240" w:lineRule="auto"/>
              <w:jc w:val="both"/>
              <w:rPr>
                <w:rFonts w:ascii="Arial Narrow" w:hAnsi="Arial Narrow" w:cs="Times New Roman"/>
                <w:noProof/>
                <w:sz w:val="20"/>
                <w:szCs w:val="20"/>
              </w:rPr>
            </w:pPr>
          </w:p>
          <w:p w:rsidR="004E4210" w:rsidRPr="00EF38F0" w:rsidRDefault="004E4210" w:rsidP="002E6F98">
            <w:pPr>
              <w:spacing w:after="0" w:line="240" w:lineRule="auto"/>
              <w:jc w:val="both"/>
              <w:rPr>
                <w:rFonts w:ascii="Arial Narrow" w:hAnsi="Arial Narrow" w:cs="Times New Roman"/>
                <w:sz w:val="20"/>
                <w:szCs w:val="20"/>
              </w:rPr>
            </w:pPr>
            <w:r>
              <w:rPr>
                <w:rFonts w:ascii="Arial Narrow" w:hAnsi="Arial Narrow" w:cs="Times New Roman"/>
                <w:noProof/>
                <w:sz w:val="20"/>
                <w:szCs w:val="20"/>
              </w:rPr>
              <w:t>Podnesena primjedba se odnosi na Odluku o donošenju Plana upravljanja pomorskim dobrom</w:t>
            </w:r>
            <w:r w:rsidRPr="00322563">
              <w:rPr>
                <w:rFonts w:ascii="Arial Narrow" w:hAnsi="Arial Narrow" w:cs="Times New Roman"/>
                <w:sz w:val="20"/>
                <w:szCs w:val="20"/>
              </w:rPr>
              <w:t>Grada Pule za 2021.</w:t>
            </w:r>
            <w:r>
              <w:rPr>
                <w:rFonts w:ascii="Arial Narrow" w:hAnsi="Arial Narrow" w:cs="Times New Roman"/>
                <w:sz w:val="20"/>
                <w:szCs w:val="20"/>
              </w:rPr>
              <w:t xml:space="preserve"> godinu, za koj</w:t>
            </w:r>
            <w:r w:rsidR="002E6F98">
              <w:rPr>
                <w:rFonts w:ascii="Arial Narrow" w:hAnsi="Arial Narrow" w:cs="Times New Roman"/>
                <w:sz w:val="20"/>
                <w:szCs w:val="20"/>
              </w:rPr>
              <w:t>u</w:t>
            </w:r>
            <w:r>
              <w:rPr>
                <w:rFonts w:ascii="Arial Narrow" w:hAnsi="Arial Narrow" w:cs="Times New Roman"/>
                <w:sz w:val="20"/>
                <w:szCs w:val="20"/>
              </w:rPr>
              <w:t xml:space="preserve"> je bilo otvoreno posebno i</w:t>
            </w:r>
            <w:r>
              <w:rPr>
                <w:rFonts w:ascii="Arial Narrow" w:hAnsi="Arial Narrow" w:cs="Arial"/>
                <w:sz w:val="20"/>
                <w:szCs w:val="20"/>
                <w:shd w:val="clear" w:color="auto" w:fill="FFFFFF"/>
              </w:rPr>
              <w:t>nternetsko savjetovanje s javnošću, stoga se</w:t>
            </w:r>
            <w:r w:rsidR="002E6F98">
              <w:rPr>
                <w:rFonts w:ascii="Arial Narrow" w:hAnsi="Arial Narrow" w:cs="Arial"/>
                <w:sz w:val="20"/>
                <w:szCs w:val="20"/>
                <w:shd w:val="clear" w:color="auto" w:fill="FFFFFF"/>
              </w:rPr>
              <w:t xml:space="preserve"> ova</w:t>
            </w:r>
            <w:r>
              <w:rPr>
                <w:rFonts w:ascii="Arial Narrow" w:hAnsi="Arial Narrow" w:cs="Arial"/>
                <w:sz w:val="20"/>
                <w:szCs w:val="20"/>
                <w:shd w:val="clear" w:color="auto" w:fill="FFFFFF"/>
              </w:rPr>
              <w:t xml:space="preserve"> primjedba po službenoj dužnosti prenosi u navedeno savjetovanje.</w:t>
            </w:r>
          </w:p>
        </w:tc>
      </w:tr>
      <w:tr w:rsidR="000060B2" w:rsidRPr="00360EBE" w:rsidTr="00DA736E">
        <w:trPr>
          <w:trHeight w:val="567"/>
        </w:trPr>
        <w:tc>
          <w:tcPr>
            <w:tcW w:w="773" w:type="dxa"/>
          </w:tcPr>
          <w:p w:rsidR="000060B2" w:rsidRDefault="000060B2" w:rsidP="00FA0F5B">
            <w:pPr>
              <w:spacing w:after="120" w:line="240" w:lineRule="auto"/>
              <w:jc w:val="both"/>
              <w:rPr>
                <w:rFonts w:ascii="Arial Narrow" w:hAnsi="Arial Narrow" w:cs="Times New Roman"/>
                <w:sz w:val="20"/>
                <w:szCs w:val="20"/>
              </w:rPr>
            </w:pPr>
            <w:r>
              <w:rPr>
                <w:rFonts w:ascii="Arial Narrow" w:hAnsi="Arial Narrow" w:cs="Times New Roman"/>
                <w:sz w:val="20"/>
                <w:szCs w:val="20"/>
              </w:rPr>
              <w:t>2.</w:t>
            </w:r>
          </w:p>
        </w:tc>
        <w:tc>
          <w:tcPr>
            <w:tcW w:w="1887" w:type="dxa"/>
          </w:tcPr>
          <w:p w:rsidR="000060B2" w:rsidRPr="00B126FC" w:rsidRDefault="000060B2" w:rsidP="00E65474">
            <w:pPr>
              <w:spacing w:after="0" w:line="240" w:lineRule="auto"/>
              <w:jc w:val="both"/>
              <w:rPr>
                <w:rFonts w:ascii="Arial Narrow" w:eastAsia="Batang" w:hAnsi="Arial Narrow" w:cs="Tms Rmn"/>
                <w:color w:val="000000"/>
                <w:sz w:val="20"/>
                <w:szCs w:val="20"/>
                <w:lang w:eastAsia="ko-KR"/>
              </w:rPr>
            </w:pPr>
            <w:r>
              <w:rPr>
                <w:rFonts w:ascii="Arial Narrow" w:eastAsia="Batang" w:hAnsi="Arial Narrow" w:cs="Tms Rmn"/>
                <w:color w:val="000000"/>
                <w:sz w:val="20"/>
                <w:szCs w:val="20"/>
                <w:lang w:eastAsia="ko-KR"/>
              </w:rPr>
              <w:t>Udruga Zelena Istra</w:t>
            </w:r>
          </w:p>
        </w:tc>
        <w:tc>
          <w:tcPr>
            <w:tcW w:w="1701" w:type="dxa"/>
          </w:tcPr>
          <w:p w:rsidR="000060B2" w:rsidRPr="00360EBE" w:rsidRDefault="000060B2" w:rsidP="00E738EC">
            <w:pPr>
              <w:spacing w:after="120" w:line="240" w:lineRule="auto"/>
              <w:jc w:val="both"/>
              <w:rPr>
                <w:rFonts w:ascii="Arial Narrow" w:hAnsi="Arial Narrow" w:cs="Times New Roman"/>
                <w:sz w:val="20"/>
                <w:szCs w:val="20"/>
              </w:rPr>
            </w:pPr>
          </w:p>
        </w:tc>
        <w:tc>
          <w:tcPr>
            <w:tcW w:w="4961" w:type="dxa"/>
          </w:tcPr>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Poštovane/i, </w:t>
            </w:r>
          </w:p>
          <w:p w:rsidR="00322563" w:rsidRPr="00322563" w:rsidRDefault="00322563" w:rsidP="00322563">
            <w:pPr>
              <w:spacing w:after="0" w:line="240" w:lineRule="auto"/>
              <w:jc w:val="both"/>
              <w:rPr>
                <w:rFonts w:ascii="Arial Narrow" w:hAnsi="Arial Narrow" w:cs="Times New Roman"/>
                <w:sz w:val="20"/>
                <w:szCs w:val="20"/>
              </w:rPr>
            </w:pP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u propisanom roku, do 28.11.2020., dostavljamo primjedbe Zelene Istre na Nacrt prijedloga </w:t>
            </w: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odluke o donošenju plana davanja koncesija za 2021. </w:t>
            </w:r>
          </w:p>
          <w:p w:rsidR="00322563" w:rsidRPr="00322563" w:rsidRDefault="00322563" w:rsidP="00322563">
            <w:pPr>
              <w:spacing w:after="0" w:line="240" w:lineRule="auto"/>
              <w:jc w:val="both"/>
              <w:rPr>
                <w:rFonts w:ascii="Arial Narrow" w:hAnsi="Arial Narrow" w:cs="Times New Roman"/>
                <w:sz w:val="20"/>
                <w:szCs w:val="20"/>
              </w:rPr>
            </w:pP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Naše se primjedbe ne razlikuju od primjedbi koje smo vam na Planove davanja koncesija dostavljali i tri prethodne godine. Kao što se ne razlikuje ni vaša namjera tihe privatizacije javnih dobara, u ovom slučaju javnih plaža, zadovoljavajući</w:t>
            </w:r>
            <w:r>
              <w:rPr>
                <w:rFonts w:ascii="Arial Narrow" w:hAnsi="Arial Narrow" w:cs="Times New Roman"/>
                <w:sz w:val="20"/>
                <w:szCs w:val="20"/>
              </w:rPr>
              <w:t xml:space="preserve"> </w:t>
            </w:r>
            <w:r w:rsidRPr="00322563">
              <w:rPr>
                <w:rFonts w:ascii="Arial Narrow" w:hAnsi="Arial Narrow" w:cs="Times New Roman"/>
                <w:sz w:val="20"/>
                <w:szCs w:val="20"/>
              </w:rPr>
              <w:t>pojedine privatne</w:t>
            </w:r>
            <w:r>
              <w:rPr>
                <w:rFonts w:ascii="Arial Narrow" w:hAnsi="Arial Narrow" w:cs="Times New Roman"/>
                <w:sz w:val="20"/>
                <w:szCs w:val="20"/>
              </w:rPr>
              <w:t xml:space="preserve"> </w:t>
            </w:r>
            <w:r w:rsidRPr="00322563">
              <w:rPr>
                <w:rFonts w:ascii="Arial Narrow" w:hAnsi="Arial Narrow" w:cs="Times New Roman"/>
                <w:sz w:val="20"/>
                <w:szCs w:val="20"/>
              </w:rPr>
              <w:t>interese</w:t>
            </w:r>
            <w:r>
              <w:rPr>
                <w:rFonts w:ascii="Arial Narrow" w:hAnsi="Arial Narrow" w:cs="Times New Roman"/>
                <w:sz w:val="20"/>
                <w:szCs w:val="20"/>
              </w:rPr>
              <w:t xml:space="preserve"> </w:t>
            </w:r>
            <w:r w:rsidRPr="00322563">
              <w:rPr>
                <w:rFonts w:ascii="Arial Narrow" w:hAnsi="Arial Narrow" w:cs="Times New Roman"/>
                <w:sz w:val="20"/>
                <w:szCs w:val="20"/>
              </w:rPr>
              <w:t xml:space="preserve">nauštrb javnog. Građani su vam javnim prosvjedima jasno pokazali da ne žele koncesije na plaže. S </w:t>
            </w: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kakvim pravom onda ponovo predlažete usvajanje iste odluke? </w:t>
            </w:r>
          </w:p>
          <w:p w:rsidR="00322563" w:rsidRPr="00322563" w:rsidRDefault="00322563" w:rsidP="00322563">
            <w:pPr>
              <w:spacing w:after="0" w:line="240" w:lineRule="auto"/>
              <w:jc w:val="both"/>
              <w:rPr>
                <w:rFonts w:ascii="Arial Narrow" w:hAnsi="Arial Narrow" w:cs="Times New Roman"/>
                <w:sz w:val="20"/>
                <w:szCs w:val="20"/>
              </w:rPr>
            </w:pP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U obrazloženju potrebe davanja dugogodišnjih koncesija na javne pulske javne niste nikada javnost upoznali s potrebom i javnom koristi od njihova </w:t>
            </w:r>
            <w:proofErr w:type="spellStart"/>
            <w:r w:rsidRPr="00322563">
              <w:rPr>
                <w:rFonts w:ascii="Arial Narrow" w:hAnsi="Arial Narrow" w:cs="Times New Roman"/>
                <w:sz w:val="20"/>
                <w:szCs w:val="20"/>
              </w:rPr>
              <w:t>koncesioniranja</w:t>
            </w:r>
            <w:proofErr w:type="spellEnd"/>
            <w:r w:rsidRPr="00322563">
              <w:rPr>
                <w:rFonts w:ascii="Arial Narrow" w:hAnsi="Arial Narrow" w:cs="Times New Roman"/>
                <w:sz w:val="20"/>
                <w:szCs w:val="20"/>
              </w:rPr>
              <w:t xml:space="preserve">. Razlog je jasan -zato </w:t>
            </w: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što javne koristi nema. </w:t>
            </w:r>
          </w:p>
          <w:p w:rsidR="00322563" w:rsidRPr="00322563" w:rsidRDefault="00322563" w:rsidP="00322563">
            <w:pPr>
              <w:spacing w:after="0" w:line="240" w:lineRule="auto"/>
              <w:jc w:val="both"/>
              <w:rPr>
                <w:rFonts w:ascii="Arial Narrow" w:hAnsi="Arial Narrow" w:cs="Times New Roman"/>
                <w:sz w:val="20"/>
                <w:szCs w:val="20"/>
              </w:rPr>
            </w:pP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U vašem obrazloženju potrebe davanja koncesija stoji samo ovo: "Osigurano dugoročno obavljanje djelatnosti djelovalo bi poticajno na investiranje koncesionara u podizanje kvalitete </w:t>
            </w: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pružanja usluga i jednoobrazno uređenje prostora, kao i na održavanje tog istog prostora", te koncesije "sadržajno mogu odgovarati istim onim djelatnostima koje se na tim lokacijama </w:t>
            </w: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obavljaju temeljem koncesijskih odobrenja za obavljanje djelatnosti na pomorskom dobru". </w:t>
            </w: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br w:type="page"/>
            </w: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Dakle, ništa se ne bi promijenilo u odnosu na sadašnje stanje osim što bi se jednoj osobi dalo pravo na iskorištavanje plaže u periodu do 20 godina i to na višestruko isplativiji način: naime ta </w:t>
            </w: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bi osoba za sve gospodarske djelatnosti mogla naplaćivati </w:t>
            </w:r>
            <w:proofErr w:type="spellStart"/>
            <w:r w:rsidRPr="00322563">
              <w:rPr>
                <w:rFonts w:ascii="Arial Narrow" w:hAnsi="Arial Narrow" w:cs="Times New Roman"/>
                <w:sz w:val="20"/>
                <w:szCs w:val="20"/>
              </w:rPr>
              <w:t>potkoncesioniranje</w:t>
            </w:r>
            <w:proofErr w:type="spellEnd"/>
            <w:r w:rsidRPr="00322563">
              <w:rPr>
                <w:rFonts w:ascii="Arial Narrow" w:hAnsi="Arial Narrow" w:cs="Times New Roman"/>
                <w:sz w:val="20"/>
                <w:szCs w:val="20"/>
              </w:rPr>
              <w:t xml:space="preserve"> (danas za sve te djelatnosti različite pravne osobe imaju svoje djelatnosti na istoj plaži putem koncesijskih </w:t>
            </w: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odobrenja i naknadu plaćaju Gradu). </w:t>
            </w:r>
          </w:p>
          <w:p w:rsidR="00322563" w:rsidRPr="00322563" w:rsidRDefault="00322563" w:rsidP="00322563">
            <w:pPr>
              <w:spacing w:after="0" w:line="240" w:lineRule="auto"/>
              <w:jc w:val="both"/>
              <w:rPr>
                <w:rFonts w:ascii="Arial Narrow" w:hAnsi="Arial Narrow" w:cs="Times New Roman"/>
                <w:sz w:val="20"/>
                <w:szCs w:val="20"/>
              </w:rPr>
            </w:pP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Do sada su se na tim plažama za obavljanje svih gospodarskih djelatnosti (za ugostiteljske objekte i različite usluge) izdavala koncesijska odobrenja na do 5 godina. Koncesijska odobrenja ne omogućavaju isključivanje ili ograničavanje javnosti u korištenju pomorskim dobrom, a dužnost održavanja čistoće pomorskog dobra za dio pod koncesijskim odobrenjem postoji već sada. Ta je obaveza uvrštena u sve Planove upravljanja pomorskim dobrom Grada Pule: "Na dijelovima pomorskog dobra za koja je dodijeljena koncesija ili koncesijsko odobrenje za obavljanje određene djelatnosti na morskoj obali, o zaštiti i održavanju pomorskog dobra brine se ovlaštenik koncesije, odnosno korisnik koncesijskog odobrenja." </w:t>
            </w:r>
          </w:p>
          <w:p w:rsidR="00322563" w:rsidRPr="00322563" w:rsidRDefault="00322563" w:rsidP="00322563">
            <w:pPr>
              <w:spacing w:after="0" w:line="240" w:lineRule="auto"/>
              <w:jc w:val="both"/>
              <w:rPr>
                <w:rFonts w:ascii="Arial Narrow" w:hAnsi="Arial Narrow" w:cs="Times New Roman"/>
                <w:sz w:val="20"/>
                <w:szCs w:val="20"/>
              </w:rPr>
            </w:pP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Prihod od koncesijskih odobrenja u cijelosti je prihod Grada Pule. Za razliku od toga, prihod od koncesije se dijeli prema čl. 13. Zakona o pomorskom dobru i morskim lukama na tri dijela: </w:t>
            </w: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trećina naknade ide državi, trećina </w:t>
            </w:r>
            <w:r w:rsidR="00350022">
              <w:rPr>
                <w:rFonts w:ascii="Arial Narrow" w:hAnsi="Arial Narrow" w:cs="Times New Roman"/>
                <w:sz w:val="20"/>
                <w:szCs w:val="20"/>
              </w:rPr>
              <w:t>Ž</w:t>
            </w:r>
            <w:r w:rsidRPr="00322563">
              <w:rPr>
                <w:rFonts w:ascii="Arial Narrow" w:hAnsi="Arial Narrow" w:cs="Arial Narrow"/>
                <w:sz w:val="20"/>
                <w:szCs w:val="20"/>
              </w:rPr>
              <w:t>upaniji i</w:t>
            </w:r>
            <w:r w:rsidRPr="00322563">
              <w:rPr>
                <w:rFonts w:ascii="Arial Narrow" w:hAnsi="Arial Narrow" w:cs="Times New Roman"/>
                <w:sz w:val="20"/>
                <w:szCs w:val="20"/>
              </w:rPr>
              <w:t xml:space="preserve"> trećina Gradu. </w:t>
            </w:r>
          </w:p>
          <w:p w:rsidR="00322563" w:rsidRPr="00322563" w:rsidRDefault="00322563" w:rsidP="00322563">
            <w:pPr>
              <w:spacing w:after="0" w:line="240" w:lineRule="auto"/>
              <w:jc w:val="both"/>
              <w:rPr>
                <w:rFonts w:ascii="Arial Narrow" w:hAnsi="Arial Narrow" w:cs="Times New Roman"/>
                <w:sz w:val="20"/>
                <w:szCs w:val="20"/>
              </w:rPr>
            </w:pP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Procijenjeni godišnji iznos stalnog dijela koncesijske naknade za pojedinu koncesiju, koji je obračunat po pretpostavljenoj površini mogućeg korištenja pomorskog dobra iznosi za sve 4 </w:t>
            </w: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lastRenderedPageBreak/>
              <w:t xml:space="preserve">lokacije svega 30.000,00 kn godišnje, uključujući i nautičku luku </w:t>
            </w:r>
            <w:proofErr w:type="spellStart"/>
            <w:r w:rsidRPr="00322563">
              <w:rPr>
                <w:rFonts w:ascii="Arial Narrow" w:hAnsi="Arial Narrow" w:cs="Times New Roman"/>
                <w:sz w:val="20"/>
                <w:szCs w:val="20"/>
              </w:rPr>
              <w:t>Bunarina</w:t>
            </w:r>
            <w:proofErr w:type="spellEnd"/>
            <w:r w:rsidRPr="00322563">
              <w:rPr>
                <w:rFonts w:ascii="Arial Narrow" w:hAnsi="Arial Narrow" w:cs="Times New Roman"/>
                <w:sz w:val="20"/>
                <w:szCs w:val="20"/>
              </w:rPr>
              <w:t xml:space="preserve"> (!?). Godišnji iznosi fiksnog dijela koncesije su smiješni: 1.000 kn za Ferijalni, 2.500 za </w:t>
            </w:r>
            <w:proofErr w:type="spellStart"/>
            <w:r w:rsidRPr="00322563">
              <w:rPr>
                <w:rFonts w:ascii="Arial Narrow" w:hAnsi="Arial Narrow" w:cs="Times New Roman"/>
                <w:sz w:val="20"/>
                <w:szCs w:val="20"/>
              </w:rPr>
              <w:t>Ambrelu</w:t>
            </w:r>
            <w:proofErr w:type="spellEnd"/>
            <w:r w:rsidRPr="00322563">
              <w:rPr>
                <w:rFonts w:ascii="Arial Narrow" w:hAnsi="Arial Narrow" w:cs="Times New Roman"/>
                <w:sz w:val="20"/>
                <w:szCs w:val="20"/>
              </w:rPr>
              <w:t xml:space="preserve">, 6.500 za </w:t>
            </w:r>
            <w:proofErr w:type="spellStart"/>
            <w:r w:rsidRPr="00322563">
              <w:rPr>
                <w:rFonts w:ascii="Arial Narrow" w:hAnsi="Arial Narrow" w:cs="Times New Roman"/>
                <w:sz w:val="20"/>
                <w:szCs w:val="20"/>
              </w:rPr>
              <w:t>Saccorgianu</w:t>
            </w:r>
            <w:proofErr w:type="spellEnd"/>
            <w:r w:rsidRPr="00322563">
              <w:rPr>
                <w:rFonts w:ascii="Arial Narrow" w:hAnsi="Arial Narrow" w:cs="Times New Roman"/>
                <w:sz w:val="20"/>
                <w:szCs w:val="20"/>
              </w:rPr>
              <w:t xml:space="preserve"> i 20.000 kn za NL </w:t>
            </w:r>
            <w:proofErr w:type="spellStart"/>
            <w:r w:rsidRPr="00322563">
              <w:rPr>
                <w:rFonts w:ascii="Arial Narrow" w:hAnsi="Arial Narrow" w:cs="Times New Roman"/>
                <w:sz w:val="20"/>
                <w:szCs w:val="20"/>
              </w:rPr>
              <w:t>Bunarinu</w:t>
            </w:r>
            <w:proofErr w:type="spellEnd"/>
            <w:r w:rsidRPr="00322563">
              <w:rPr>
                <w:rFonts w:ascii="Arial Narrow" w:hAnsi="Arial Narrow" w:cs="Times New Roman"/>
                <w:sz w:val="20"/>
                <w:szCs w:val="20"/>
              </w:rPr>
              <w:t xml:space="preserve">. Na to ste predvidjeli svega 250.000,00 kn godišnje na ime promjenjivog dijela koncesijske naknade u visini od 3% od ukupno ostvarenih prihoda </w:t>
            </w: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koncesionara. Radi se, zapravo, o godišnjem prihodu Grada Pule od ukupno 83.300,00 kn za sve 4 koncesije jer je samo 1/3 od tog iznosa prihod Grada. </w:t>
            </w:r>
          </w:p>
          <w:p w:rsidR="00322563" w:rsidRPr="00322563" w:rsidRDefault="00322563" w:rsidP="00322563">
            <w:pPr>
              <w:spacing w:after="0" w:line="240" w:lineRule="auto"/>
              <w:jc w:val="both"/>
              <w:rPr>
                <w:rFonts w:ascii="Arial Narrow" w:hAnsi="Arial Narrow" w:cs="Times New Roman"/>
                <w:sz w:val="20"/>
                <w:szCs w:val="20"/>
              </w:rPr>
            </w:pP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Javnost bi trebala moći usporediti dosadašnji godišnji prihod od koncesijskih odobrenja na tim plažama te ga usporediti s planiranom prihodom od koncesija koji pripada Gradu Puli. </w:t>
            </w: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Zanimljivo bi bilo znati i koji je sadašnji godišnji prihod nautičke luke </w:t>
            </w:r>
            <w:proofErr w:type="spellStart"/>
            <w:r w:rsidRPr="00322563">
              <w:rPr>
                <w:rFonts w:ascii="Arial Narrow" w:hAnsi="Arial Narrow" w:cs="Times New Roman"/>
                <w:sz w:val="20"/>
                <w:szCs w:val="20"/>
              </w:rPr>
              <w:t>Bunarina</w:t>
            </w:r>
            <w:proofErr w:type="spellEnd"/>
            <w:r w:rsidRPr="00322563">
              <w:rPr>
                <w:rFonts w:ascii="Arial Narrow" w:hAnsi="Arial Narrow" w:cs="Times New Roman"/>
                <w:sz w:val="20"/>
                <w:szCs w:val="20"/>
              </w:rPr>
              <w:t xml:space="preserve">, pa ga usporediti s planiranim prihodom od koncesije. </w:t>
            </w:r>
          </w:p>
          <w:p w:rsidR="00322563" w:rsidRPr="00322563" w:rsidRDefault="00322563" w:rsidP="00322563">
            <w:pPr>
              <w:spacing w:after="0" w:line="240" w:lineRule="auto"/>
              <w:jc w:val="both"/>
              <w:rPr>
                <w:rFonts w:ascii="Arial Narrow" w:hAnsi="Arial Narrow" w:cs="Times New Roman"/>
                <w:sz w:val="20"/>
                <w:szCs w:val="20"/>
              </w:rPr>
            </w:pP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Osim što za navedene pretpostavljene prihode nema baš nikakvog obrazloženja, zanimljiva je i napomena u vašem obrazloženju da pretpostavljeni prihod koncesionara ne uključuje troškove koje koncesionar ima za obavljanje djelatnosti (nabava i održavanje opreme, troškovi za zaposlene, porezne obveze i ostalo). Koncesionar tako može prikazati prihode na razini </w:t>
            </w: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troškova, pa bi u tom slučaju izostala i naknada Gradu za koncesiju. Pretpostavljamo da neki "bliže vatri" već trljaju ruke za ovu novu mogućnost bogaćenja na javnom dobru. </w:t>
            </w:r>
          </w:p>
          <w:p w:rsidR="00322563" w:rsidRPr="00322563" w:rsidRDefault="00322563" w:rsidP="00322563">
            <w:pPr>
              <w:spacing w:after="0" w:line="240" w:lineRule="auto"/>
              <w:jc w:val="both"/>
              <w:rPr>
                <w:rFonts w:ascii="Arial Narrow" w:hAnsi="Arial Narrow" w:cs="Times New Roman"/>
                <w:sz w:val="20"/>
                <w:szCs w:val="20"/>
              </w:rPr>
            </w:pP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U prilog tome govori izjava dogradonačelnika Pule u više je navrata javno izgovorio da se radi o planu želja davanja koncesija koji se može ili ne mora realizirati, što će ovisiti o tome hoće li se javiti neki investitor s planom ulaganja u neku plažu. Tada će Grad Pula objaviti javni natječaj za</w:t>
            </w:r>
            <w:r w:rsidR="00236470">
              <w:rPr>
                <w:rFonts w:ascii="Arial Narrow" w:hAnsi="Arial Narrow" w:cs="Times New Roman"/>
                <w:sz w:val="20"/>
                <w:szCs w:val="20"/>
              </w:rPr>
              <w:t xml:space="preserve"> </w:t>
            </w:r>
            <w:r w:rsidRPr="00322563">
              <w:rPr>
                <w:rFonts w:ascii="Arial Narrow" w:hAnsi="Arial Narrow" w:cs="Times New Roman"/>
                <w:sz w:val="20"/>
                <w:szCs w:val="20"/>
              </w:rPr>
              <w:t>dodjelu koncesije za plažu za koje je investitor pokazao zanimanje. Natje</w:t>
            </w:r>
            <w:r w:rsidR="00236470">
              <w:rPr>
                <w:rFonts w:ascii="Arial Narrow" w:hAnsi="Arial Narrow" w:cs="Times New Roman"/>
                <w:sz w:val="20"/>
                <w:szCs w:val="20"/>
              </w:rPr>
              <w:t>č</w:t>
            </w:r>
            <w:r w:rsidRPr="00322563">
              <w:rPr>
                <w:rFonts w:ascii="Arial Narrow" w:hAnsi="Arial Narrow" w:cs="Arial Narrow"/>
                <w:sz w:val="20"/>
                <w:szCs w:val="20"/>
              </w:rPr>
              <w:t>aj</w:t>
            </w:r>
            <w:r w:rsidR="00236470">
              <w:rPr>
                <w:rFonts w:ascii="Arial Narrow" w:hAnsi="Arial Narrow" w:cs="Arial Narrow"/>
                <w:sz w:val="20"/>
                <w:szCs w:val="20"/>
              </w:rPr>
              <w:t xml:space="preserve"> </w:t>
            </w:r>
            <w:r w:rsidRPr="00322563">
              <w:rPr>
                <w:rFonts w:ascii="Arial Narrow" w:hAnsi="Arial Narrow" w:cs="Arial Narrow"/>
                <w:sz w:val="20"/>
                <w:szCs w:val="20"/>
              </w:rPr>
              <w:t xml:space="preserve">će tako biti </w:t>
            </w:r>
            <w:r w:rsidRPr="00322563">
              <w:rPr>
                <w:rFonts w:ascii="Arial Narrow" w:hAnsi="Arial Narrow" w:cs="Times New Roman"/>
                <w:sz w:val="20"/>
                <w:szCs w:val="20"/>
              </w:rPr>
              <w:t>namješten za</w:t>
            </w:r>
            <w:r w:rsidR="00236470">
              <w:rPr>
                <w:rFonts w:ascii="Arial Narrow" w:hAnsi="Arial Narrow" w:cs="Times New Roman"/>
                <w:sz w:val="20"/>
                <w:szCs w:val="20"/>
              </w:rPr>
              <w:t xml:space="preserve"> </w:t>
            </w:r>
            <w:r w:rsidRPr="00322563">
              <w:rPr>
                <w:rFonts w:ascii="Arial Narrow" w:hAnsi="Arial Narrow" w:cs="Times New Roman"/>
                <w:sz w:val="20"/>
                <w:szCs w:val="20"/>
              </w:rPr>
              <w:t>tog</w:t>
            </w:r>
            <w:r w:rsidR="00236470">
              <w:rPr>
                <w:rFonts w:ascii="Arial Narrow" w:hAnsi="Arial Narrow" w:cs="Times New Roman"/>
                <w:sz w:val="20"/>
                <w:szCs w:val="20"/>
              </w:rPr>
              <w:t xml:space="preserve"> </w:t>
            </w:r>
            <w:r w:rsidRPr="00322563">
              <w:rPr>
                <w:rFonts w:ascii="Arial Narrow" w:hAnsi="Arial Narrow" w:cs="Times New Roman"/>
                <w:sz w:val="20"/>
                <w:szCs w:val="20"/>
              </w:rPr>
              <w:t>investitora. Grad</w:t>
            </w:r>
            <w:r w:rsidR="00236470">
              <w:rPr>
                <w:rFonts w:ascii="Arial Narrow" w:hAnsi="Arial Narrow" w:cs="Times New Roman"/>
                <w:sz w:val="20"/>
                <w:szCs w:val="20"/>
              </w:rPr>
              <w:t xml:space="preserve"> </w:t>
            </w:r>
            <w:r w:rsidRPr="00322563">
              <w:rPr>
                <w:rFonts w:ascii="Arial Narrow" w:hAnsi="Arial Narrow" w:cs="Times New Roman"/>
                <w:sz w:val="20"/>
                <w:szCs w:val="20"/>
              </w:rPr>
              <w:t>Pula</w:t>
            </w:r>
            <w:r w:rsidR="00236470">
              <w:rPr>
                <w:rFonts w:ascii="Arial Narrow" w:hAnsi="Arial Narrow" w:cs="Times New Roman"/>
                <w:sz w:val="20"/>
                <w:szCs w:val="20"/>
              </w:rPr>
              <w:t xml:space="preserve"> </w:t>
            </w:r>
            <w:r w:rsidRPr="00322563">
              <w:rPr>
                <w:rFonts w:ascii="Arial Narrow" w:hAnsi="Arial Narrow" w:cs="Times New Roman"/>
                <w:sz w:val="20"/>
                <w:szCs w:val="20"/>
              </w:rPr>
              <w:t>je</w:t>
            </w:r>
            <w:r w:rsidR="00236470">
              <w:rPr>
                <w:rFonts w:ascii="Arial Narrow" w:hAnsi="Arial Narrow" w:cs="Times New Roman"/>
                <w:sz w:val="20"/>
                <w:szCs w:val="20"/>
              </w:rPr>
              <w:t xml:space="preserve"> </w:t>
            </w:r>
            <w:r w:rsidRPr="00322563">
              <w:rPr>
                <w:rFonts w:ascii="Arial Narrow" w:hAnsi="Arial Narrow" w:cs="Times New Roman"/>
                <w:sz w:val="20"/>
                <w:szCs w:val="20"/>
              </w:rPr>
              <w:t>u tolikoj mjeri</w:t>
            </w:r>
            <w:r w:rsidR="00236470">
              <w:rPr>
                <w:rFonts w:ascii="Arial Narrow" w:hAnsi="Arial Narrow" w:cs="Times New Roman"/>
                <w:sz w:val="20"/>
                <w:szCs w:val="20"/>
              </w:rPr>
              <w:t xml:space="preserve"> </w:t>
            </w:r>
            <w:r w:rsidRPr="00322563">
              <w:rPr>
                <w:rFonts w:ascii="Arial Narrow" w:hAnsi="Arial Narrow" w:cs="Times New Roman"/>
                <w:sz w:val="20"/>
                <w:szCs w:val="20"/>
              </w:rPr>
              <w:t>usvojio pogodovanje</w:t>
            </w:r>
            <w:r w:rsidR="00236470">
              <w:rPr>
                <w:rFonts w:ascii="Arial Narrow" w:hAnsi="Arial Narrow" w:cs="Times New Roman"/>
                <w:sz w:val="20"/>
                <w:szCs w:val="20"/>
              </w:rPr>
              <w:t xml:space="preserve"> </w:t>
            </w:r>
            <w:r w:rsidRPr="00322563">
              <w:rPr>
                <w:rFonts w:ascii="Arial Narrow" w:hAnsi="Arial Narrow" w:cs="Times New Roman"/>
                <w:sz w:val="20"/>
                <w:szCs w:val="20"/>
              </w:rPr>
              <w:t>pojedincima</w:t>
            </w:r>
            <w:r w:rsidR="00236470">
              <w:rPr>
                <w:rFonts w:ascii="Arial Narrow" w:hAnsi="Arial Narrow" w:cs="Times New Roman"/>
                <w:sz w:val="20"/>
                <w:szCs w:val="20"/>
              </w:rPr>
              <w:t xml:space="preserve"> </w:t>
            </w:r>
            <w:r w:rsidRPr="00322563">
              <w:rPr>
                <w:rFonts w:ascii="Arial Narrow" w:hAnsi="Arial Narrow" w:cs="Times New Roman"/>
                <w:sz w:val="20"/>
                <w:szCs w:val="20"/>
              </w:rPr>
              <w:t>kao na</w:t>
            </w:r>
            <w:r w:rsidR="00236470">
              <w:rPr>
                <w:rFonts w:ascii="Arial Narrow" w:hAnsi="Arial Narrow" w:cs="Times New Roman"/>
                <w:sz w:val="20"/>
                <w:szCs w:val="20"/>
              </w:rPr>
              <w:t>č</w:t>
            </w:r>
            <w:r w:rsidRPr="00322563">
              <w:rPr>
                <w:rFonts w:ascii="Arial Narrow" w:hAnsi="Arial Narrow" w:cs="Arial Narrow"/>
                <w:sz w:val="20"/>
                <w:szCs w:val="20"/>
              </w:rPr>
              <w:t>in djelovanja da</w:t>
            </w:r>
            <w:r w:rsidR="00236470">
              <w:rPr>
                <w:rFonts w:ascii="Arial Narrow" w:hAnsi="Arial Narrow" w:cs="Arial Narrow"/>
                <w:sz w:val="20"/>
                <w:szCs w:val="20"/>
              </w:rPr>
              <w:t xml:space="preserve"> </w:t>
            </w:r>
            <w:r w:rsidRPr="00322563">
              <w:rPr>
                <w:rFonts w:ascii="Arial Narrow" w:hAnsi="Arial Narrow" w:cs="Arial Narrow"/>
                <w:sz w:val="20"/>
                <w:szCs w:val="20"/>
              </w:rPr>
              <w:t>dogradona</w:t>
            </w:r>
            <w:r w:rsidR="00236470">
              <w:rPr>
                <w:rFonts w:ascii="Arial Narrow" w:hAnsi="Arial Narrow" w:cs="Arial Narrow"/>
                <w:sz w:val="20"/>
                <w:szCs w:val="20"/>
              </w:rPr>
              <w:t>č</w:t>
            </w:r>
            <w:r w:rsidRPr="00322563">
              <w:rPr>
                <w:rFonts w:ascii="Arial Narrow" w:hAnsi="Arial Narrow" w:cs="Arial Narrow"/>
                <w:sz w:val="20"/>
                <w:szCs w:val="20"/>
              </w:rPr>
              <w:t>elnik ne</w:t>
            </w:r>
            <w:r w:rsidR="00236470">
              <w:rPr>
                <w:rFonts w:ascii="Arial Narrow" w:hAnsi="Arial Narrow" w:cs="Arial Narrow"/>
                <w:sz w:val="20"/>
                <w:szCs w:val="20"/>
              </w:rPr>
              <w:t xml:space="preserve"> </w:t>
            </w:r>
            <w:r w:rsidRPr="00322563">
              <w:rPr>
                <w:rFonts w:ascii="Arial Narrow" w:hAnsi="Arial Narrow" w:cs="Arial Narrow"/>
                <w:sz w:val="20"/>
                <w:szCs w:val="20"/>
              </w:rPr>
              <w:t>vidi u</w:t>
            </w:r>
            <w:r w:rsidR="00236470">
              <w:rPr>
                <w:rFonts w:ascii="Arial Narrow" w:hAnsi="Arial Narrow" w:cs="Arial Narrow"/>
                <w:sz w:val="20"/>
                <w:szCs w:val="20"/>
              </w:rPr>
              <w:t xml:space="preserve"> </w:t>
            </w:r>
            <w:r w:rsidRPr="00322563">
              <w:rPr>
                <w:rFonts w:ascii="Arial Narrow" w:hAnsi="Arial Narrow" w:cs="Arial Narrow"/>
                <w:sz w:val="20"/>
                <w:szCs w:val="20"/>
              </w:rPr>
              <w:t>tome</w:t>
            </w:r>
            <w:r w:rsidR="00236470">
              <w:rPr>
                <w:rFonts w:ascii="Arial Narrow" w:hAnsi="Arial Narrow" w:cs="Arial Narrow"/>
                <w:sz w:val="20"/>
                <w:szCs w:val="20"/>
              </w:rPr>
              <w:t xml:space="preserve"> </w:t>
            </w:r>
            <w:r w:rsidRPr="00322563">
              <w:rPr>
                <w:rFonts w:ascii="Arial Narrow" w:hAnsi="Arial Narrow" w:cs="Arial Narrow"/>
                <w:sz w:val="20"/>
                <w:szCs w:val="20"/>
              </w:rPr>
              <w:t>ništa loše i</w:t>
            </w:r>
            <w:r w:rsidR="00236470">
              <w:rPr>
                <w:rFonts w:ascii="Arial Narrow" w:hAnsi="Arial Narrow" w:cs="Arial Narrow"/>
                <w:sz w:val="20"/>
                <w:szCs w:val="20"/>
              </w:rPr>
              <w:t xml:space="preserve"> </w:t>
            </w:r>
            <w:r w:rsidRPr="00322563">
              <w:rPr>
                <w:rFonts w:ascii="Arial Narrow" w:hAnsi="Arial Narrow" w:cs="Arial Narrow"/>
                <w:sz w:val="20"/>
                <w:szCs w:val="20"/>
              </w:rPr>
              <w:t>time se</w:t>
            </w:r>
            <w:r w:rsidR="00236470">
              <w:rPr>
                <w:rFonts w:ascii="Arial Narrow" w:hAnsi="Arial Narrow" w:cs="Arial Narrow"/>
                <w:sz w:val="20"/>
                <w:szCs w:val="20"/>
              </w:rPr>
              <w:t xml:space="preserve"> </w:t>
            </w:r>
            <w:r w:rsidRPr="00322563">
              <w:rPr>
                <w:rFonts w:ascii="Arial Narrow" w:hAnsi="Arial Narrow" w:cs="Times New Roman"/>
                <w:sz w:val="20"/>
                <w:szCs w:val="20"/>
              </w:rPr>
              <w:t>javno hvali. Ta</w:t>
            </w:r>
            <w:r w:rsidR="00236470">
              <w:rPr>
                <w:rFonts w:ascii="Arial Narrow" w:hAnsi="Arial Narrow" w:cs="Times New Roman"/>
                <w:sz w:val="20"/>
                <w:szCs w:val="20"/>
              </w:rPr>
              <w:t xml:space="preserve"> </w:t>
            </w:r>
            <w:r w:rsidRPr="00322563">
              <w:rPr>
                <w:rFonts w:ascii="Arial Narrow" w:hAnsi="Arial Narrow" w:cs="Times New Roman"/>
                <w:sz w:val="20"/>
                <w:szCs w:val="20"/>
              </w:rPr>
              <w:t>pojava ima</w:t>
            </w:r>
            <w:r w:rsidR="00236470">
              <w:rPr>
                <w:rFonts w:ascii="Arial Narrow" w:hAnsi="Arial Narrow" w:cs="Times New Roman"/>
                <w:sz w:val="20"/>
                <w:szCs w:val="20"/>
              </w:rPr>
              <w:t xml:space="preserve"> </w:t>
            </w:r>
            <w:r w:rsidRPr="00322563">
              <w:rPr>
                <w:rFonts w:ascii="Arial Narrow" w:hAnsi="Arial Narrow" w:cs="Times New Roman"/>
                <w:sz w:val="20"/>
                <w:szCs w:val="20"/>
              </w:rPr>
              <w:t>ime i</w:t>
            </w:r>
            <w:r w:rsidR="00236470">
              <w:rPr>
                <w:rFonts w:ascii="Arial Narrow" w:hAnsi="Arial Narrow" w:cs="Times New Roman"/>
                <w:sz w:val="20"/>
                <w:szCs w:val="20"/>
              </w:rPr>
              <w:t xml:space="preserve"> </w:t>
            </w:r>
            <w:r w:rsidRPr="00322563">
              <w:rPr>
                <w:rFonts w:ascii="Arial Narrow" w:hAnsi="Arial Narrow" w:cs="Times New Roman"/>
                <w:sz w:val="20"/>
                <w:szCs w:val="20"/>
              </w:rPr>
              <w:t>zove se korupcija. Naime, natječaji bi se trebali oblikovati prema potrebama zajednice, što mi kao grad na nekoj plaži želimo ili trebamo, a ne prema</w:t>
            </w:r>
            <w:r w:rsidR="00236470">
              <w:rPr>
                <w:rFonts w:ascii="Arial Narrow" w:hAnsi="Arial Narrow" w:cs="Times New Roman"/>
                <w:sz w:val="20"/>
                <w:szCs w:val="20"/>
              </w:rPr>
              <w:t xml:space="preserve"> </w:t>
            </w:r>
            <w:r w:rsidRPr="00322563">
              <w:rPr>
                <w:rFonts w:ascii="Arial Narrow" w:hAnsi="Arial Narrow" w:cs="Times New Roman"/>
                <w:sz w:val="20"/>
                <w:szCs w:val="20"/>
              </w:rPr>
              <w:t xml:space="preserve">potrebama pojedinih </w:t>
            </w:r>
            <w:r w:rsidRPr="00322563">
              <w:rPr>
                <w:rFonts w:ascii="Arial Narrow" w:hAnsi="Arial Narrow" w:cs="Times New Roman"/>
                <w:sz w:val="20"/>
                <w:szCs w:val="20"/>
              </w:rPr>
              <w:lastRenderedPageBreak/>
              <w:t xml:space="preserve">investitora. </w:t>
            </w: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br w:type="page"/>
            </w: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Člankom 17. Zakona o pomorskom dobru i morskim lukama utvrđeno je da se koncesija za gospodarsko korištenje pomorskog dobra daje na temelju javnog prikupljanja ponuda. Na </w:t>
            </w: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zahtjev se daju isključivo koncesije za posebnu upotrebu pomorskog dobra (npr. za gradsku</w:t>
            </w:r>
            <w:r w:rsidR="00236470">
              <w:rPr>
                <w:rFonts w:ascii="Arial Narrow" w:hAnsi="Arial Narrow" w:cs="Times New Roman"/>
                <w:sz w:val="20"/>
                <w:szCs w:val="20"/>
              </w:rPr>
              <w:t xml:space="preserve"> </w:t>
            </w:r>
            <w:r w:rsidRPr="00322563">
              <w:rPr>
                <w:rFonts w:ascii="Arial Narrow" w:hAnsi="Arial Narrow" w:cs="Times New Roman"/>
                <w:sz w:val="20"/>
                <w:szCs w:val="20"/>
              </w:rPr>
              <w:t xml:space="preserve">odvodnju i pročišćavanje i slično). </w:t>
            </w:r>
          </w:p>
          <w:p w:rsidR="00322563" w:rsidRPr="00322563" w:rsidRDefault="00322563" w:rsidP="00322563">
            <w:pPr>
              <w:spacing w:after="0" w:line="240" w:lineRule="auto"/>
              <w:jc w:val="both"/>
              <w:rPr>
                <w:rFonts w:ascii="Arial Narrow" w:hAnsi="Arial Narrow" w:cs="Times New Roman"/>
                <w:sz w:val="20"/>
                <w:szCs w:val="20"/>
              </w:rPr>
            </w:pP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Postoji niz alternativnih rješenja kojima se bi ostvario javni interes za uređenim gradskim</w:t>
            </w:r>
            <w:r w:rsidR="00236470">
              <w:rPr>
                <w:rFonts w:ascii="Arial Narrow" w:hAnsi="Arial Narrow" w:cs="Times New Roman"/>
                <w:sz w:val="20"/>
                <w:szCs w:val="20"/>
              </w:rPr>
              <w:t xml:space="preserve"> </w:t>
            </w:r>
            <w:r w:rsidRPr="00322563">
              <w:rPr>
                <w:rFonts w:ascii="Arial Narrow" w:hAnsi="Arial Narrow" w:cs="Times New Roman"/>
                <w:sz w:val="20"/>
                <w:szCs w:val="20"/>
              </w:rPr>
              <w:t xml:space="preserve">plažama, npr. obnova kupališta </w:t>
            </w:r>
            <w:proofErr w:type="spellStart"/>
            <w:r w:rsidRPr="00322563">
              <w:rPr>
                <w:rFonts w:ascii="Arial Narrow" w:hAnsi="Arial Narrow" w:cs="Times New Roman"/>
                <w:sz w:val="20"/>
                <w:szCs w:val="20"/>
              </w:rPr>
              <w:t>Valkane</w:t>
            </w:r>
            <w:proofErr w:type="spellEnd"/>
            <w:r w:rsidRPr="00322563">
              <w:rPr>
                <w:rFonts w:ascii="Arial Narrow" w:hAnsi="Arial Narrow" w:cs="Times New Roman"/>
                <w:sz w:val="20"/>
                <w:szCs w:val="20"/>
              </w:rPr>
              <w:t xml:space="preserve"> javnim ili europskim novcem te zatim, kao i do sada, </w:t>
            </w: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davanje koncesijskih odobrenja za sve gospodarske djelatnosti na uređenoj plaži. Prihodom od</w:t>
            </w:r>
            <w:r w:rsidR="00236470">
              <w:rPr>
                <w:rFonts w:ascii="Arial Narrow" w:hAnsi="Arial Narrow" w:cs="Times New Roman"/>
                <w:sz w:val="20"/>
                <w:szCs w:val="20"/>
              </w:rPr>
              <w:t xml:space="preserve"> </w:t>
            </w:r>
            <w:r w:rsidRPr="00322563">
              <w:rPr>
                <w:rFonts w:ascii="Arial Narrow" w:hAnsi="Arial Narrow" w:cs="Times New Roman"/>
                <w:sz w:val="20"/>
                <w:szCs w:val="20"/>
              </w:rPr>
              <w:t>koncesijskih odobrenja mogla bi se održavati plaža. Davanje</w:t>
            </w:r>
            <w:r w:rsidR="00B458A8">
              <w:rPr>
                <w:rFonts w:ascii="Arial Narrow" w:hAnsi="Arial Narrow" w:cs="Times New Roman"/>
                <w:sz w:val="20"/>
                <w:szCs w:val="20"/>
              </w:rPr>
              <w:t xml:space="preserve"> </w:t>
            </w:r>
            <w:r w:rsidRPr="00322563">
              <w:rPr>
                <w:rFonts w:ascii="Arial Narrow" w:hAnsi="Arial Narrow" w:cs="Times New Roman"/>
                <w:sz w:val="20"/>
                <w:szCs w:val="20"/>
              </w:rPr>
              <w:t>koncesija na</w:t>
            </w:r>
            <w:r w:rsidR="00B458A8">
              <w:rPr>
                <w:rFonts w:ascii="Arial Narrow" w:hAnsi="Arial Narrow" w:cs="Times New Roman"/>
                <w:sz w:val="20"/>
                <w:szCs w:val="20"/>
              </w:rPr>
              <w:t xml:space="preserve"> </w:t>
            </w:r>
            <w:r w:rsidRPr="00322563">
              <w:rPr>
                <w:rFonts w:ascii="Arial Narrow" w:hAnsi="Arial Narrow" w:cs="Times New Roman"/>
                <w:sz w:val="20"/>
                <w:szCs w:val="20"/>
              </w:rPr>
              <w:t>na</w:t>
            </w:r>
            <w:r w:rsidR="00B458A8">
              <w:rPr>
                <w:rFonts w:ascii="Arial Narrow" w:hAnsi="Arial Narrow" w:cs="Times New Roman"/>
                <w:sz w:val="20"/>
                <w:szCs w:val="20"/>
              </w:rPr>
              <w:t>č</w:t>
            </w:r>
            <w:r w:rsidRPr="00322563">
              <w:rPr>
                <w:rFonts w:ascii="Arial Narrow" w:hAnsi="Arial Narrow" w:cs="Arial Narrow"/>
                <w:sz w:val="20"/>
                <w:szCs w:val="20"/>
              </w:rPr>
              <w:t>in</w:t>
            </w:r>
            <w:r w:rsidR="00B458A8">
              <w:rPr>
                <w:rFonts w:ascii="Arial Narrow" w:hAnsi="Arial Narrow" w:cs="Arial Narrow"/>
                <w:sz w:val="20"/>
                <w:szCs w:val="20"/>
              </w:rPr>
              <w:t xml:space="preserve"> </w:t>
            </w:r>
            <w:r w:rsidRPr="00322563">
              <w:rPr>
                <w:rFonts w:ascii="Arial Narrow" w:hAnsi="Arial Narrow" w:cs="Arial Narrow"/>
                <w:sz w:val="20"/>
                <w:szCs w:val="20"/>
              </w:rPr>
              <w:t>na koji se</w:t>
            </w:r>
            <w:r w:rsidR="00B458A8">
              <w:rPr>
                <w:rFonts w:ascii="Arial Narrow" w:hAnsi="Arial Narrow" w:cs="Arial Narrow"/>
                <w:sz w:val="20"/>
                <w:szCs w:val="20"/>
              </w:rPr>
              <w:t xml:space="preserve"> </w:t>
            </w:r>
            <w:r w:rsidRPr="00322563">
              <w:rPr>
                <w:rFonts w:ascii="Arial Narrow" w:hAnsi="Arial Narrow" w:cs="Times New Roman"/>
                <w:sz w:val="20"/>
                <w:szCs w:val="20"/>
              </w:rPr>
              <w:t>predlaže</w:t>
            </w:r>
            <w:r w:rsidR="00B458A8">
              <w:rPr>
                <w:rFonts w:ascii="Arial Narrow" w:hAnsi="Arial Narrow" w:cs="Times New Roman"/>
                <w:sz w:val="20"/>
                <w:szCs w:val="20"/>
              </w:rPr>
              <w:t xml:space="preserve"> </w:t>
            </w:r>
            <w:r w:rsidRPr="00322563">
              <w:rPr>
                <w:rFonts w:ascii="Arial Narrow" w:hAnsi="Arial Narrow" w:cs="Times New Roman"/>
                <w:sz w:val="20"/>
                <w:szCs w:val="20"/>
              </w:rPr>
              <w:t>ovim</w:t>
            </w:r>
            <w:r w:rsidR="00B458A8">
              <w:rPr>
                <w:rFonts w:ascii="Arial Narrow" w:hAnsi="Arial Narrow" w:cs="Times New Roman"/>
                <w:sz w:val="20"/>
                <w:szCs w:val="20"/>
              </w:rPr>
              <w:t xml:space="preserve"> </w:t>
            </w:r>
            <w:r w:rsidRPr="00322563">
              <w:rPr>
                <w:rFonts w:ascii="Arial Narrow" w:hAnsi="Arial Narrow" w:cs="Times New Roman"/>
                <w:sz w:val="20"/>
                <w:szCs w:val="20"/>
              </w:rPr>
              <w:t>Planom neće dovesti</w:t>
            </w:r>
            <w:r w:rsidR="00B458A8">
              <w:rPr>
                <w:rFonts w:ascii="Arial Narrow" w:hAnsi="Arial Narrow" w:cs="Times New Roman"/>
                <w:sz w:val="20"/>
                <w:szCs w:val="20"/>
              </w:rPr>
              <w:t xml:space="preserve"> </w:t>
            </w:r>
            <w:r w:rsidRPr="00322563">
              <w:rPr>
                <w:rFonts w:ascii="Arial Narrow" w:hAnsi="Arial Narrow" w:cs="Times New Roman"/>
                <w:sz w:val="20"/>
                <w:szCs w:val="20"/>
              </w:rPr>
              <w:t>do uređenja</w:t>
            </w:r>
            <w:r w:rsidR="00B458A8">
              <w:rPr>
                <w:rFonts w:ascii="Arial Narrow" w:hAnsi="Arial Narrow" w:cs="Times New Roman"/>
                <w:sz w:val="20"/>
                <w:szCs w:val="20"/>
              </w:rPr>
              <w:t xml:space="preserve"> </w:t>
            </w:r>
            <w:r w:rsidRPr="00322563">
              <w:rPr>
                <w:rFonts w:ascii="Arial Narrow" w:hAnsi="Arial Narrow" w:cs="Times New Roman"/>
                <w:sz w:val="20"/>
                <w:szCs w:val="20"/>
              </w:rPr>
              <w:t>niti</w:t>
            </w:r>
            <w:r w:rsidR="00B458A8">
              <w:rPr>
                <w:rFonts w:ascii="Arial Narrow" w:hAnsi="Arial Narrow" w:cs="Times New Roman"/>
                <w:sz w:val="20"/>
                <w:szCs w:val="20"/>
              </w:rPr>
              <w:t xml:space="preserve"> </w:t>
            </w:r>
            <w:r w:rsidRPr="00322563">
              <w:rPr>
                <w:rFonts w:ascii="Arial Narrow" w:hAnsi="Arial Narrow" w:cs="Times New Roman"/>
                <w:sz w:val="20"/>
                <w:szCs w:val="20"/>
              </w:rPr>
              <w:t xml:space="preserve">jedne gradske plaže. </w:t>
            </w:r>
          </w:p>
          <w:p w:rsidR="00322563" w:rsidRPr="00322563" w:rsidRDefault="00322563" w:rsidP="00322563">
            <w:pPr>
              <w:spacing w:after="0" w:line="240" w:lineRule="auto"/>
              <w:jc w:val="both"/>
              <w:rPr>
                <w:rFonts w:ascii="Arial Narrow" w:hAnsi="Arial Narrow" w:cs="Times New Roman"/>
                <w:sz w:val="20"/>
                <w:szCs w:val="20"/>
              </w:rPr>
            </w:pP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U istom periodu kao i predmetni Plan, na javnom je savjetovanju i Plan upravljanja pomorskim dobrom u kojem se navodi iznos koji se planira za provedbu mjera redovnog upravljanja</w:t>
            </w:r>
            <w:r w:rsidR="00B458A8">
              <w:rPr>
                <w:rFonts w:ascii="Arial Narrow" w:hAnsi="Arial Narrow" w:cs="Times New Roman"/>
                <w:sz w:val="20"/>
                <w:szCs w:val="20"/>
              </w:rPr>
              <w:t xml:space="preserve"> </w:t>
            </w:r>
            <w:r w:rsidRPr="00322563">
              <w:rPr>
                <w:rFonts w:ascii="Arial Narrow" w:hAnsi="Arial Narrow" w:cs="Times New Roman"/>
                <w:sz w:val="20"/>
                <w:szCs w:val="20"/>
              </w:rPr>
              <w:t>pomorskim dobrom -</w:t>
            </w:r>
            <w:r w:rsidR="00B458A8">
              <w:rPr>
                <w:rFonts w:ascii="Arial Narrow" w:hAnsi="Arial Narrow" w:cs="Times New Roman"/>
                <w:sz w:val="20"/>
                <w:szCs w:val="20"/>
              </w:rPr>
              <w:t xml:space="preserve"> </w:t>
            </w:r>
            <w:r w:rsidRPr="00322563">
              <w:rPr>
                <w:rFonts w:ascii="Arial Narrow" w:hAnsi="Arial Narrow" w:cs="Times New Roman"/>
                <w:sz w:val="20"/>
                <w:szCs w:val="20"/>
              </w:rPr>
              <w:t xml:space="preserve">ona se procjenjuju u iznosu od 3.000.000,00 kuna, a osiguravaju se u proračunu Grada Pule iz slijedećih izvora: </w:t>
            </w: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-iz sredstava od naknade za izdana koncesijska odobrenja na pomorskom dobru na području Grada Pule, </w:t>
            </w: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-iz sredstava od naknada za izdane koncesije na pomorskom dobru na području Grada</w:t>
            </w:r>
            <w:r w:rsidR="00B458A8">
              <w:rPr>
                <w:rFonts w:ascii="Arial Narrow" w:hAnsi="Arial Narrow" w:cs="Times New Roman"/>
                <w:sz w:val="20"/>
                <w:szCs w:val="20"/>
              </w:rPr>
              <w:t xml:space="preserve"> </w:t>
            </w:r>
            <w:r w:rsidRPr="00322563">
              <w:rPr>
                <w:rFonts w:ascii="Arial Narrow" w:hAnsi="Arial Narrow" w:cs="Times New Roman"/>
                <w:sz w:val="20"/>
                <w:szCs w:val="20"/>
              </w:rPr>
              <w:t xml:space="preserve">Pule koje pripadaju Gradu Puli </w:t>
            </w: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Javnost bi trebala znati otkud će se prikupiti taj novac s obzirom se od planiranih koncesija na pomorsko dobro očekuje 83.000,00 kn. </w:t>
            </w:r>
          </w:p>
          <w:p w:rsidR="00322563" w:rsidRPr="00322563" w:rsidRDefault="00322563" w:rsidP="00322563">
            <w:pPr>
              <w:spacing w:after="0" w:line="240" w:lineRule="auto"/>
              <w:jc w:val="both"/>
              <w:rPr>
                <w:rFonts w:ascii="Arial Narrow" w:hAnsi="Arial Narrow" w:cs="Times New Roman"/>
                <w:sz w:val="20"/>
                <w:szCs w:val="20"/>
              </w:rPr>
            </w:pP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Skrivanje podataka od javnosti kada su pitanju koncesije i koncesijska odobrenja je očito u usporedbi s npr. Splitsko-dalmatinskom županijom, koja je na webu objavila Registar koncesija i koncesijskih odobrenja s imenima pravnih osoba nositelja odobrenja, vrstama odobrenja i rokom t</w:t>
            </w:r>
            <w:r w:rsidR="00B458A8">
              <w:rPr>
                <w:rFonts w:ascii="Arial Narrow" w:hAnsi="Arial Narrow" w:cs="Times New Roman"/>
                <w:sz w:val="20"/>
                <w:szCs w:val="20"/>
              </w:rPr>
              <w:t xml:space="preserve">rajanja koncesije ili </w:t>
            </w:r>
            <w:r w:rsidRPr="00322563">
              <w:rPr>
                <w:rFonts w:ascii="Arial Narrow" w:hAnsi="Arial Narrow" w:cs="Times New Roman"/>
                <w:sz w:val="20"/>
                <w:szCs w:val="20"/>
              </w:rPr>
              <w:t>odobrenja</w:t>
            </w:r>
            <w:r w:rsidR="00B458A8">
              <w:rPr>
                <w:rFonts w:ascii="Arial Narrow" w:hAnsi="Arial Narrow" w:cs="Times New Roman"/>
                <w:sz w:val="20"/>
                <w:szCs w:val="20"/>
              </w:rPr>
              <w:t xml:space="preserve"> </w:t>
            </w:r>
            <w:r w:rsidRPr="00322563">
              <w:rPr>
                <w:rFonts w:ascii="Arial Narrow" w:hAnsi="Arial Narrow" w:cs="Times New Roman"/>
                <w:sz w:val="20"/>
                <w:szCs w:val="20"/>
              </w:rPr>
              <w:t xml:space="preserve"> https://www.pomorskodobro.dalmacija.hr/Informiraj-se</w:t>
            </w:r>
            <w:r w:rsidR="00B458A8">
              <w:rPr>
                <w:rFonts w:ascii="Arial Narrow" w:hAnsi="Arial Narrow" w:cs="Times New Roman"/>
                <w:sz w:val="20"/>
                <w:szCs w:val="20"/>
              </w:rPr>
              <w:t xml:space="preserve">. </w:t>
            </w:r>
            <w:r w:rsidRPr="00322563">
              <w:rPr>
                <w:rFonts w:ascii="Arial Narrow" w:hAnsi="Arial Narrow" w:cs="Times New Roman"/>
                <w:sz w:val="20"/>
                <w:szCs w:val="20"/>
              </w:rPr>
              <w:t xml:space="preserve">Na istim se stranicama nalazi i obrazac za prijavu </w:t>
            </w:r>
            <w:r w:rsidRPr="00322563">
              <w:rPr>
                <w:rFonts w:ascii="Arial Narrow" w:hAnsi="Arial Narrow" w:cs="Times New Roman"/>
                <w:sz w:val="20"/>
                <w:szCs w:val="20"/>
              </w:rPr>
              <w:lastRenderedPageBreak/>
              <w:t xml:space="preserve">nezakonitosti i devastacije pomorskog dobra. </w:t>
            </w:r>
          </w:p>
          <w:p w:rsidR="00322563" w:rsidRPr="00322563" w:rsidRDefault="00322563" w:rsidP="00322563">
            <w:pPr>
              <w:spacing w:after="0" w:line="240" w:lineRule="auto"/>
              <w:jc w:val="both"/>
              <w:rPr>
                <w:rFonts w:ascii="Arial Narrow" w:hAnsi="Arial Narrow" w:cs="Times New Roman"/>
                <w:sz w:val="20"/>
                <w:szCs w:val="20"/>
              </w:rPr>
            </w:pP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Za razliku od toga, u Planu upravljanja pomorskim dobrom Grada Pule za 2021. ne navodi se jesu li za naveden mikrolokacije već izdana koncesijska odobrenja i kome, te kada ističu. Na taj se način skriva podatak o nositeljima odobrenja, a drugim osobama otežava natjecanje za</w:t>
            </w:r>
            <w:r w:rsidR="00B458A8">
              <w:rPr>
                <w:rFonts w:ascii="Arial Narrow" w:hAnsi="Arial Narrow" w:cs="Times New Roman"/>
                <w:sz w:val="20"/>
                <w:szCs w:val="20"/>
              </w:rPr>
              <w:t xml:space="preserve"> </w:t>
            </w:r>
            <w:r w:rsidRPr="00322563">
              <w:rPr>
                <w:rFonts w:ascii="Arial Narrow" w:hAnsi="Arial Narrow" w:cs="Times New Roman"/>
                <w:sz w:val="20"/>
                <w:szCs w:val="20"/>
              </w:rPr>
              <w:t xml:space="preserve">koncesijska odobrenja. Povlaštenim informacijama pogoduje se širenju </w:t>
            </w:r>
            <w:proofErr w:type="spellStart"/>
            <w:r w:rsidRPr="00322563">
              <w:rPr>
                <w:rFonts w:ascii="Arial Narrow" w:hAnsi="Arial Narrow" w:cs="Times New Roman"/>
                <w:sz w:val="20"/>
                <w:szCs w:val="20"/>
              </w:rPr>
              <w:t>klijentelističke</w:t>
            </w:r>
            <w:proofErr w:type="spellEnd"/>
            <w:r w:rsidRPr="00322563">
              <w:rPr>
                <w:rFonts w:ascii="Arial Narrow" w:hAnsi="Arial Narrow" w:cs="Times New Roman"/>
                <w:sz w:val="20"/>
                <w:szCs w:val="20"/>
              </w:rPr>
              <w:t xml:space="preserve"> mreže poznatom obliku korupcije. Koji bi drugi razlog postojao da se sve informacije o nositeljima i trajanju koncesija i koncesijskih odobrenja ne objavljuju na webu Grada? </w:t>
            </w:r>
          </w:p>
          <w:p w:rsidR="00322563" w:rsidRPr="00322563" w:rsidRDefault="00322563" w:rsidP="00322563">
            <w:pPr>
              <w:spacing w:after="0" w:line="240" w:lineRule="auto"/>
              <w:jc w:val="both"/>
              <w:rPr>
                <w:rFonts w:ascii="Arial Narrow" w:hAnsi="Arial Narrow" w:cs="Times New Roman"/>
                <w:sz w:val="20"/>
                <w:szCs w:val="20"/>
              </w:rPr>
            </w:pP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Popis mikrolokacija za koncesijska odobrenja iz prijedloga Plana upravljanja pomorskim dobrom za 2021. za koje se ne znaju nositelji, jesu li odobrenja već dodijeljena i do kada traju (Grad </w:t>
            </w: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Pula Planovima upravljanja pomorskim dobrom omogućava izdavanje vrlo velikog broja koncesijskih odobrenja. Iznajmljivanje sredstava se daje na rok od 1 ili 4 godine, a za </w:t>
            </w: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ugostiteljstvo i trgovinu rok je od 1 ili 5 godina): </w:t>
            </w:r>
          </w:p>
          <w:p w:rsidR="00322563" w:rsidRPr="00322563" w:rsidRDefault="00322563" w:rsidP="00322563">
            <w:pPr>
              <w:spacing w:after="0" w:line="240" w:lineRule="auto"/>
              <w:jc w:val="both"/>
              <w:rPr>
                <w:rFonts w:ascii="Arial Narrow" w:hAnsi="Arial Narrow" w:cs="Times New Roman"/>
                <w:sz w:val="20"/>
                <w:szCs w:val="20"/>
              </w:rPr>
            </w:pPr>
          </w:p>
          <w:p w:rsidR="00322563" w:rsidRPr="00322563" w:rsidRDefault="00322563" w:rsidP="00322563">
            <w:pPr>
              <w:spacing w:after="0" w:line="240" w:lineRule="auto"/>
              <w:jc w:val="both"/>
              <w:rPr>
                <w:rFonts w:ascii="Arial Narrow" w:hAnsi="Arial Narrow" w:cs="Times New Roman"/>
                <w:sz w:val="20"/>
                <w:szCs w:val="20"/>
              </w:rPr>
            </w:pPr>
            <w:proofErr w:type="spellStart"/>
            <w:r w:rsidRPr="00322563">
              <w:rPr>
                <w:rFonts w:ascii="Arial Narrow" w:hAnsi="Arial Narrow" w:cs="Times New Roman"/>
                <w:sz w:val="20"/>
                <w:szCs w:val="20"/>
              </w:rPr>
              <w:t>Ambrela</w:t>
            </w:r>
            <w:proofErr w:type="spellEnd"/>
            <w:r w:rsidRPr="00322563">
              <w:rPr>
                <w:rFonts w:ascii="Arial Narrow" w:hAnsi="Arial Narrow" w:cs="Times New Roman"/>
                <w:sz w:val="20"/>
                <w:szCs w:val="20"/>
              </w:rPr>
              <w:t xml:space="preserve"> – Havajska </w:t>
            </w:r>
          </w:p>
          <w:p w:rsidR="00B458A8" w:rsidRPr="00322563" w:rsidRDefault="00322563" w:rsidP="00B458A8">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8.8. </w:t>
            </w:r>
            <w:r w:rsidR="00B458A8" w:rsidRPr="00322563">
              <w:rPr>
                <w:rFonts w:ascii="Arial Narrow" w:hAnsi="Arial Narrow" w:cs="Times New Roman"/>
                <w:sz w:val="20"/>
                <w:szCs w:val="20"/>
              </w:rPr>
              <w:t xml:space="preserve">komercijalno-rekreacijski sadržaji -200 ležaljki i suncobrana </w:t>
            </w:r>
          </w:p>
          <w:p w:rsidR="00B458A8" w:rsidRPr="00322563" w:rsidRDefault="00322563" w:rsidP="00B458A8">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8.9. </w:t>
            </w:r>
            <w:r w:rsidR="00B458A8" w:rsidRPr="00322563">
              <w:rPr>
                <w:rFonts w:ascii="Arial Narrow" w:hAnsi="Arial Narrow" w:cs="Times New Roman"/>
                <w:sz w:val="20"/>
                <w:szCs w:val="20"/>
              </w:rPr>
              <w:t>djelatnost iznajmljivanja sredstava -</w:t>
            </w:r>
            <w:proofErr w:type="spellStart"/>
            <w:r w:rsidR="00B458A8" w:rsidRPr="00322563">
              <w:rPr>
                <w:rFonts w:ascii="Arial Narrow" w:hAnsi="Arial Narrow" w:cs="Times New Roman"/>
                <w:sz w:val="20"/>
                <w:szCs w:val="20"/>
              </w:rPr>
              <w:t>pedaline</w:t>
            </w:r>
            <w:proofErr w:type="spellEnd"/>
            <w:r w:rsidR="00B458A8" w:rsidRPr="00322563">
              <w:rPr>
                <w:rFonts w:ascii="Arial Narrow" w:hAnsi="Arial Narrow" w:cs="Times New Roman"/>
                <w:sz w:val="20"/>
                <w:szCs w:val="20"/>
              </w:rPr>
              <w:t xml:space="preserve"> – 6 komada </w:t>
            </w:r>
          </w:p>
          <w:p w:rsidR="00B458A8" w:rsidRPr="00322563" w:rsidRDefault="00322563" w:rsidP="00B458A8">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8.10. </w:t>
            </w:r>
            <w:r w:rsidR="00B458A8" w:rsidRPr="00322563">
              <w:rPr>
                <w:rFonts w:ascii="Arial Narrow" w:hAnsi="Arial Narrow" w:cs="Times New Roman"/>
                <w:sz w:val="20"/>
                <w:szCs w:val="20"/>
              </w:rPr>
              <w:t>komercijalno-rekreacijski sadržaji -</w:t>
            </w:r>
            <w:proofErr w:type="spellStart"/>
            <w:r w:rsidR="00B458A8" w:rsidRPr="00322563">
              <w:rPr>
                <w:rFonts w:ascii="Arial Narrow" w:hAnsi="Arial Narrow" w:cs="Times New Roman"/>
                <w:sz w:val="20"/>
                <w:szCs w:val="20"/>
              </w:rPr>
              <w:t>aqua</w:t>
            </w:r>
            <w:proofErr w:type="spellEnd"/>
            <w:r w:rsidR="00B458A8" w:rsidRPr="00322563">
              <w:rPr>
                <w:rFonts w:ascii="Arial Narrow" w:hAnsi="Arial Narrow" w:cs="Times New Roman"/>
                <w:sz w:val="20"/>
                <w:szCs w:val="20"/>
              </w:rPr>
              <w:t xml:space="preserve"> park i drugi morski sadržaji </w:t>
            </w: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8.11. komercijalno-rekreacijski sadržaji – zabavni sadržaji (šator za masažu) -1 komad </w:t>
            </w:r>
            <w:r w:rsidRPr="00322563">
              <w:rPr>
                <w:rFonts w:ascii="Arial Narrow" w:hAnsi="Arial Narrow" w:cs="Times New Roman"/>
                <w:sz w:val="20"/>
                <w:szCs w:val="20"/>
              </w:rPr>
              <w:br w:type="page"/>
            </w: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8.12. djelatnost ugostiteljstvo i trgovina – kiosk do 12 m2 </w:t>
            </w: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8.12.1. djelatnost ugostiteljstvo i trgovina -terasa </w:t>
            </w: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8.14. komercijalno-rekreacijski sadržaji – slikanje, fotografiranje </w:t>
            </w: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8.15. komercijalno-rekreacijski sadržaji – slikanje, fotografiranje </w:t>
            </w: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8.16. komercijalno-rekreacijski sadržaji -kulturne, komercijalne, zabavne, športske priredbe </w:t>
            </w:r>
          </w:p>
          <w:p w:rsid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8.17. djelatnost iznajmljivanja sredstava – SUP (yoga) – 5 komada </w:t>
            </w:r>
          </w:p>
          <w:p w:rsidR="00B458A8" w:rsidRPr="00322563" w:rsidRDefault="00B458A8" w:rsidP="00322563">
            <w:pPr>
              <w:spacing w:after="0" w:line="240" w:lineRule="auto"/>
              <w:jc w:val="both"/>
              <w:rPr>
                <w:rFonts w:ascii="Arial Narrow" w:hAnsi="Arial Narrow" w:cs="Times New Roman"/>
                <w:sz w:val="20"/>
                <w:szCs w:val="20"/>
              </w:rPr>
            </w:pPr>
          </w:p>
          <w:p w:rsidR="00322563" w:rsidRPr="00322563" w:rsidRDefault="00322563" w:rsidP="00322563">
            <w:pPr>
              <w:spacing w:after="0" w:line="240" w:lineRule="auto"/>
              <w:jc w:val="both"/>
              <w:rPr>
                <w:rFonts w:ascii="Arial Narrow" w:hAnsi="Arial Narrow" w:cs="Times New Roman"/>
                <w:sz w:val="20"/>
                <w:szCs w:val="20"/>
              </w:rPr>
            </w:pPr>
            <w:proofErr w:type="spellStart"/>
            <w:r w:rsidRPr="00322563">
              <w:rPr>
                <w:rFonts w:ascii="Arial Narrow" w:hAnsi="Arial Narrow" w:cs="Times New Roman"/>
                <w:sz w:val="20"/>
                <w:szCs w:val="20"/>
              </w:rPr>
              <w:t>Saccorgiana</w:t>
            </w:r>
            <w:proofErr w:type="spellEnd"/>
            <w:r w:rsidRPr="00322563">
              <w:rPr>
                <w:rFonts w:ascii="Arial Narrow" w:hAnsi="Arial Narrow" w:cs="Times New Roman"/>
                <w:sz w:val="20"/>
                <w:szCs w:val="20"/>
              </w:rPr>
              <w:t xml:space="preserve"> </w:t>
            </w:r>
          </w:p>
          <w:p w:rsidR="00322563" w:rsidRPr="00322563" w:rsidRDefault="00322563" w:rsidP="00322563">
            <w:pPr>
              <w:spacing w:after="0" w:line="240" w:lineRule="auto"/>
              <w:jc w:val="both"/>
              <w:rPr>
                <w:rFonts w:ascii="Arial Narrow" w:hAnsi="Arial Narrow" w:cs="Times New Roman"/>
                <w:sz w:val="20"/>
                <w:szCs w:val="20"/>
              </w:rPr>
            </w:pP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9.1. komercijalno-rekreacijski sadržaji – ležaljke i suncobrani – </w:t>
            </w:r>
            <w:r w:rsidRPr="00322563">
              <w:rPr>
                <w:rFonts w:ascii="Arial Narrow" w:hAnsi="Arial Narrow" w:cs="Times New Roman"/>
                <w:sz w:val="20"/>
                <w:szCs w:val="20"/>
              </w:rPr>
              <w:lastRenderedPageBreak/>
              <w:t xml:space="preserve">70 komada </w:t>
            </w: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9.2. djelatnost ugostiteljstvo i trgovina – kiosk 12 m2 </w:t>
            </w: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9.2.1. djelatnost ugostiteljstvo i trgovina – terasa ugostiteljskog objekta </w:t>
            </w: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9.2.2. komercijalno-rekreacijski sadržaji -kulturne, komercijalne, zabavne, športske priredbe </w:t>
            </w: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9.3. djelatnost ugostiteljstvo i trgovina – terasa ugostiteljskog objekta </w:t>
            </w: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9.4. komercijalno-rekreacijski sadržaji – zabavni sadržaji (mali nogomet -montažno</w:t>
            </w:r>
            <w:r w:rsidR="00B458A8">
              <w:rPr>
                <w:rFonts w:ascii="Arial Narrow" w:hAnsi="Arial Narrow" w:cs="Times New Roman"/>
                <w:sz w:val="20"/>
                <w:szCs w:val="20"/>
              </w:rPr>
              <w:t xml:space="preserve"> </w:t>
            </w:r>
            <w:r w:rsidRPr="00322563">
              <w:rPr>
                <w:rFonts w:ascii="Arial Narrow" w:hAnsi="Arial Narrow" w:cs="Times New Roman"/>
                <w:sz w:val="20"/>
                <w:szCs w:val="20"/>
              </w:rPr>
              <w:t xml:space="preserve">igralište) – 1 komad </w:t>
            </w: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9.5. djelatnost iznajmljivanja sredstava-brodice na vesla – 3 komada </w:t>
            </w: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9.6. komercijalno-rekreacijski sadržaji – zabavni sadržaj (igralo za djecu) – 1 komad </w:t>
            </w: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9.7. komercijalno-rekreacijski sadržaji -</w:t>
            </w:r>
            <w:proofErr w:type="spellStart"/>
            <w:r w:rsidRPr="00322563">
              <w:rPr>
                <w:rFonts w:ascii="Arial Narrow" w:hAnsi="Arial Narrow" w:cs="Times New Roman"/>
                <w:sz w:val="20"/>
                <w:szCs w:val="20"/>
              </w:rPr>
              <w:t>aqua</w:t>
            </w:r>
            <w:proofErr w:type="spellEnd"/>
            <w:r w:rsidRPr="00322563">
              <w:rPr>
                <w:rFonts w:ascii="Arial Narrow" w:hAnsi="Arial Narrow" w:cs="Times New Roman"/>
                <w:sz w:val="20"/>
                <w:szCs w:val="20"/>
              </w:rPr>
              <w:t xml:space="preserve"> park i drugi morski sadržaji </w:t>
            </w: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9.8. djelatnost iznajmljivanja sredstava -3 </w:t>
            </w:r>
            <w:proofErr w:type="spellStart"/>
            <w:r w:rsidRPr="00322563">
              <w:rPr>
                <w:rFonts w:ascii="Arial Narrow" w:hAnsi="Arial Narrow" w:cs="Times New Roman"/>
                <w:sz w:val="20"/>
                <w:szCs w:val="20"/>
              </w:rPr>
              <w:t>pedaline</w:t>
            </w:r>
            <w:proofErr w:type="spellEnd"/>
            <w:r w:rsidRPr="00322563">
              <w:rPr>
                <w:rFonts w:ascii="Arial Narrow" w:hAnsi="Arial Narrow" w:cs="Times New Roman"/>
                <w:sz w:val="20"/>
                <w:szCs w:val="20"/>
              </w:rPr>
              <w:t xml:space="preserve"> </w:t>
            </w: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9.9. djelatnost iznajmljivanja sredstava -sredstvo za vuču s opremom – 1 komad </w:t>
            </w: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9.10. djelatnost iznajmljivanja sredstava -skuter – 2 komada </w:t>
            </w: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9.12. djelatnost ugostiteljstvo i trgovina – kiosk do 12 m2 </w:t>
            </w: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9.12.1. djelatnost ugostiteljstvo i trgovina – terasa ugostiteljskog objekta </w:t>
            </w: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9.13. djelatnost ugostiteljstvo i trgovina – kiosk do 12 m2 </w:t>
            </w:r>
          </w:p>
          <w:p w:rsid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9.13.1. djelatnost ugostiteljstvo i trgovina – terasa ugostiteljskog objekta </w:t>
            </w:r>
          </w:p>
          <w:p w:rsidR="00B458A8" w:rsidRPr="00322563" w:rsidRDefault="00B458A8" w:rsidP="00322563">
            <w:pPr>
              <w:spacing w:after="0" w:line="240" w:lineRule="auto"/>
              <w:jc w:val="both"/>
              <w:rPr>
                <w:rFonts w:ascii="Arial Narrow" w:hAnsi="Arial Narrow" w:cs="Times New Roman"/>
                <w:sz w:val="20"/>
                <w:szCs w:val="20"/>
              </w:rPr>
            </w:pP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Za plažu "Ferijalni" nema niti jednog planiranog koncesijskog odobrenja. </w:t>
            </w:r>
          </w:p>
          <w:p w:rsidR="00322563" w:rsidRPr="00322563" w:rsidRDefault="00322563" w:rsidP="00322563">
            <w:pPr>
              <w:spacing w:after="0" w:line="240" w:lineRule="auto"/>
              <w:jc w:val="both"/>
              <w:rPr>
                <w:rFonts w:ascii="Arial Narrow" w:hAnsi="Arial Narrow" w:cs="Times New Roman"/>
                <w:sz w:val="20"/>
                <w:szCs w:val="20"/>
              </w:rPr>
            </w:pP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INFORMACIJE</w:t>
            </w:r>
            <w:r w:rsidR="00B458A8">
              <w:rPr>
                <w:rFonts w:ascii="Arial Narrow" w:hAnsi="Arial Narrow" w:cs="Times New Roman"/>
                <w:sz w:val="20"/>
                <w:szCs w:val="20"/>
              </w:rPr>
              <w:t xml:space="preserve"> </w:t>
            </w:r>
            <w:r w:rsidRPr="00322563">
              <w:rPr>
                <w:rFonts w:ascii="Arial Narrow" w:hAnsi="Arial Narrow" w:cs="Times New Roman"/>
                <w:sz w:val="20"/>
                <w:szCs w:val="20"/>
              </w:rPr>
              <w:t>SADR</w:t>
            </w:r>
            <w:r w:rsidR="00B458A8">
              <w:rPr>
                <w:rFonts w:ascii="Arial Narrow" w:hAnsi="Arial Narrow" w:cs="Times New Roman"/>
                <w:sz w:val="20"/>
                <w:szCs w:val="20"/>
              </w:rPr>
              <w:t>Ž</w:t>
            </w:r>
            <w:r w:rsidRPr="00322563">
              <w:rPr>
                <w:rFonts w:ascii="Arial Narrow" w:hAnsi="Arial Narrow" w:cs="Arial Narrow"/>
                <w:sz w:val="20"/>
                <w:szCs w:val="20"/>
              </w:rPr>
              <w:t>ANE</w:t>
            </w:r>
            <w:r w:rsidR="00B458A8">
              <w:rPr>
                <w:rFonts w:ascii="Arial Narrow" w:hAnsi="Arial Narrow" w:cs="Arial Narrow"/>
                <w:sz w:val="20"/>
                <w:szCs w:val="20"/>
              </w:rPr>
              <w:t xml:space="preserve"> </w:t>
            </w:r>
            <w:r w:rsidRPr="00322563">
              <w:rPr>
                <w:rFonts w:ascii="Arial Narrow" w:hAnsi="Arial Narrow" w:cs="Arial Narrow"/>
                <w:sz w:val="20"/>
                <w:szCs w:val="20"/>
              </w:rPr>
              <w:t>U</w:t>
            </w:r>
            <w:r w:rsidR="00B458A8">
              <w:rPr>
                <w:rFonts w:ascii="Arial Narrow" w:hAnsi="Arial Narrow" w:cs="Arial Narrow"/>
                <w:sz w:val="20"/>
                <w:szCs w:val="20"/>
              </w:rPr>
              <w:t xml:space="preserve"> </w:t>
            </w:r>
            <w:r w:rsidRPr="00322563">
              <w:rPr>
                <w:rFonts w:ascii="Arial Narrow" w:hAnsi="Arial Narrow" w:cs="Arial Narrow"/>
                <w:sz w:val="20"/>
                <w:szCs w:val="20"/>
              </w:rPr>
              <w:t>PLANU</w:t>
            </w:r>
            <w:r w:rsidR="00B458A8">
              <w:rPr>
                <w:rFonts w:ascii="Arial Narrow" w:hAnsi="Arial Narrow" w:cs="Arial Narrow"/>
                <w:sz w:val="20"/>
                <w:szCs w:val="20"/>
              </w:rPr>
              <w:t xml:space="preserve"> </w:t>
            </w:r>
            <w:r w:rsidRPr="00322563">
              <w:rPr>
                <w:rFonts w:ascii="Arial Narrow" w:hAnsi="Arial Narrow" w:cs="Arial Narrow"/>
                <w:sz w:val="20"/>
                <w:szCs w:val="20"/>
              </w:rPr>
              <w:t>DAVANJA</w:t>
            </w:r>
            <w:r w:rsidR="00B458A8">
              <w:rPr>
                <w:rFonts w:ascii="Arial Narrow" w:hAnsi="Arial Narrow" w:cs="Arial Narrow"/>
                <w:sz w:val="20"/>
                <w:szCs w:val="20"/>
              </w:rPr>
              <w:t xml:space="preserve"> </w:t>
            </w:r>
            <w:r w:rsidRPr="00322563">
              <w:rPr>
                <w:rFonts w:ascii="Arial Narrow" w:hAnsi="Arial Narrow" w:cs="Arial Narrow"/>
                <w:sz w:val="20"/>
                <w:szCs w:val="20"/>
              </w:rPr>
              <w:t>KONCESIJA</w:t>
            </w:r>
            <w:r w:rsidR="00B458A8">
              <w:rPr>
                <w:rFonts w:ascii="Arial Narrow" w:hAnsi="Arial Narrow" w:cs="Arial Narrow"/>
                <w:sz w:val="20"/>
                <w:szCs w:val="20"/>
              </w:rPr>
              <w:t xml:space="preserve"> </w:t>
            </w:r>
            <w:r w:rsidRPr="00322563">
              <w:rPr>
                <w:rFonts w:ascii="Arial Narrow" w:hAnsi="Arial Narrow" w:cs="Arial Narrow"/>
                <w:sz w:val="20"/>
                <w:szCs w:val="20"/>
              </w:rPr>
              <w:t>NEDOVOLJNE</w:t>
            </w:r>
            <w:r w:rsidR="00B458A8">
              <w:rPr>
                <w:rFonts w:ascii="Arial Narrow" w:hAnsi="Arial Narrow" w:cs="Arial Narrow"/>
                <w:sz w:val="20"/>
                <w:szCs w:val="20"/>
              </w:rPr>
              <w:t xml:space="preserve"> </w:t>
            </w:r>
            <w:r w:rsidRPr="00322563">
              <w:rPr>
                <w:rFonts w:ascii="Arial Narrow" w:hAnsi="Arial Narrow" w:cs="Arial Narrow"/>
                <w:sz w:val="20"/>
                <w:szCs w:val="20"/>
              </w:rPr>
              <w:t xml:space="preserve">ZA </w:t>
            </w:r>
            <w:r w:rsidRPr="00322563">
              <w:rPr>
                <w:rFonts w:ascii="Arial Narrow" w:hAnsi="Arial Narrow" w:cs="Times New Roman"/>
                <w:sz w:val="20"/>
                <w:szCs w:val="20"/>
              </w:rPr>
              <w:t>ODLU</w:t>
            </w:r>
            <w:r w:rsidR="00B458A8">
              <w:rPr>
                <w:rFonts w:ascii="Arial Narrow" w:hAnsi="Arial Narrow" w:cs="Times New Roman"/>
                <w:sz w:val="20"/>
                <w:szCs w:val="20"/>
              </w:rPr>
              <w:t>Č</w:t>
            </w:r>
            <w:r w:rsidRPr="00322563">
              <w:rPr>
                <w:rFonts w:ascii="Arial Narrow" w:hAnsi="Arial Narrow" w:cs="Times New Roman"/>
                <w:sz w:val="20"/>
                <w:szCs w:val="20"/>
              </w:rPr>
              <w:t xml:space="preserve">IVANJE </w:t>
            </w:r>
          </w:p>
          <w:p w:rsidR="00322563" w:rsidRPr="00322563" w:rsidRDefault="00322563" w:rsidP="00322563">
            <w:pPr>
              <w:spacing w:after="0" w:line="240" w:lineRule="auto"/>
              <w:jc w:val="both"/>
              <w:rPr>
                <w:rFonts w:ascii="Arial Narrow" w:hAnsi="Arial Narrow" w:cs="Times New Roman"/>
                <w:sz w:val="20"/>
                <w:szCs w:val="20"/>
              </w:rPr>
            </w:pP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U predmetnom Planu su plaže koje se planiraju dati u koncesiju navedene samo imenom. Zar ne bi bio razumni </w:t>
            </w:r>
            <w:proofErr w:type="spellStart"/>
            <w:r w:rsidRPr="00322563">
              <w:rPr>
                <w:rFonts w:ascii="Arial Narrow" w:hAnsi="Arial Narrow" w:cs="Times New Roman"/>
                <w:sz w:val="20"/>
                <w:szCs w:val="20"/>
              </w:rPr>
              <w:t>minumum</w:t>
            </w:r>
            <w:proofErr w:type="spellEnd"/>
            <w:r w:rsidRPr="00322563">
              <w:rPr>
                <w:rFonts w:ascii="Arial Narrow" w:hAnsi="Arial Narrow" w:cs="Times New Roman"/>
                <w:sz w:val="20"/>
                <w:szCs w:val="20"/>
              </w:rPr>
              <w:t xml:space="preserve"> za donošenje razumne odluke da je područje koje se planira dati u </w:t>
            </w: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koncesiju prikazano na kopiji katastarskog plana s ucrtanim zemljišno-knjižnim brojevima</w:t>
            </w:r>
            <w:r w:rsidR="00B458A8">
              <w:rPr>
                <w:rFonts w:ascii="Arial Narrow" w:hAnsi="Arial Narrow" w:cs="Times New Roman"/>
                <w:sz w:val="20"/>
                <w:szCs w:val="20"/>
              </w:rPr>
              <w:t xml:space="preserve"> </w:t>
            </w:r>
            <w:r w:rsidRPr="00322563">
              <w:rPr>
                <w:rFonts w:ascii="Arial Narrow" w:hAnsi="Arial Narrow" w:cs="Times New Roman"/>
                <w:sz w:val="20"/>
                <w:szCs w:val="20"/>
              </w:rPr>
              <w:t xml:space="preserve">čestica? Zar ne bi bilo razumno da se navede ukupna površina koja se planira dati u koncesiju </w:t>
            </w: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lastRenderedPageBreak/>
              <w:t>te površina svake plaže zasebno? Bilo bi, naravno, razumno i da se odredi koji se dio površine</w:t>
            </w:r>
            <w:r w:rsidR="00B458A8">
              <w:rPr>
                <w:rFonts w:ascii="Arial Narrow" w:hAnsi="Arial Narrow" w:cs="Times New Roman"/>
                <w:sz w:val="20"/>
                <w:szCs w:val="20"/>
              </w:rPr>
              <w:t xml:space="preserve"> </w:t>
            </w:r>
            <w:r w:rsidRPr="00322563">
              <w:rPr>
                <w:rFonts w:ascii="Arial Narrow" w:hAnsi="Arial Narrow" w:cs="Times New Roman"/>
                <w:sz w:val="20"/>
                <w:szCs w:val="20"/>
              </w:rPr>
              <w:t xml:space="preserve">odnosi na kopno, a koji na more jer koncesija na pomorsko dobro obuhvaća i morski dio. </w:t>
            </w: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Bilo bi normalno i da se navede zašto se navedene plaže planiraju dati u koncesiju, odnosno koju infrastrukturu koncesionar mora izgraditi, kako bi se shvatilo postoji li bilo kakav javni interes u tome ili se ipak, kao što izgleda, radi o pogodovanju privatnim interesima. </w:t>
            </w:r>
          </w:p>
          <w:p w:rsidR="00322563" w:rsidRPr="00322563" w:rsidRDefault="00322563" w:rsidP="00322563">
            <w:pPr>
              <w:spacing w:after="0" w:line="240" w:lineRule="auto"/>
              <w:jc w:val="both"/>
              <w:rPr>
                <w:rFonts w:ascii="Arial Narrow" w:hAnsi="Arial Narrow" w:cs="Times New Roman"/>
                <w:sz w:val="20"/>
                <w:szCs w:val="20"/>
              </w:rPr>
            </w:pP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Već treću godinu zaredom javnost prosvjeduje protiv tog paušalnog načina raspolaganja javnim dobrom i Grad je davno mogao odgovoriti na sve slične primjedbe koje smo dostavljali i mi veliki broj sugrađana prethodnih godina tijekom javnih savjetovanja. </w:t>
            </w:r>
          </w:p>
          <w:p w:rsidR="00322563" w:rsidRPr="00322563" w:rsidRDefault="00322563" w:rsidP="00322563">
            <w:pPr>
              <w:spacing w:after="0" w:line="240" w:lineRule="auto"/>
              <w:jc w:val="both"/>
              <w:rPr>
                <w:rFonts w:ascii="Arial Narrow" w:hAnsi="Arial Narrow" w:cs="Times New Roman"/>
                <w:sz w:val="20"/>
                <w:szCs w:val="20"/>
              </w:rPr>
            </w:pP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Dajemo primjer uvjetovanja dodjele koncesija: Uređenje i izgradnja plaže odnosi se na: izgradnja kamenih potpornih zidova za zaštitu od erozije, uređenje pristupa i rampi za osobe s </w:t>
            </w: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posebnim potrebama, oblaganje sunčališta kamenim pločama, izgradnja infrastrukture, uređenje pješačkih površina, sportskih igrališta i bazena, parkovno uređenje i uređenje dječjih</w:t>
            </w:r>
            <w:r w:rsidR="002565EA">
              <w:rPr>
                <w:rFonts w:ascii="Arial Narrow" w:hAnsi="Arial Narrow" w:cs="Times New Roman"/>
                <w:sz w:val="20"/>
                <w:szCs w:val="20"/>
              </w:rPr>
              <w:t xml:space="preserve"> </w:t>
            </w:r>
            <w:r w:rsidRPr="00322563">
              <w:rPr>
                <w:rFonts w:ascii="Arial Narrow" w:hAnsi="Arial Narrow" w:cs="Times New Roman"/>
                <w:sz w:val="20"/>
                <w:szCs w:val="20"/>
              </w:rPr>
              <w:t xml:space="preserve">igrališta, postavljanje sanitarnih blokova, tuševa, kabina i osmatračnica, postavljanje montažne komunalne opreme, postavljanje pontona za kupače i signalizacije u moru. </w:t>
            </w:r>
          </w:p>
          <w:p w:rsidR="00322563" w:rsidRPr="00322563" w:rsidRDefault="00322563" w:rsidP="00322563">
            <w:pPr>
              <w:spacing w:after="0" w:line="240" w:lineRule="auto"/>
              <w:jc w:val="both"/>
              <w:rPr>
                <w:rFonts w:ascii="Arial Narrow" w:hAnsi="Arial Narrow" w:cs="Times New Roman"/>
                <w:sz w:val="20"/>
                <w:szCs w:val="20"/>
              </w:rPr>
            </w:pP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U obrazloženju potrebe davanja koncesija koje je na dostupno i na javnom savjetovanju nema opisa društvenog i gospodarskog učinka koji se želi postići i zašto je koncesija na plaže dobar alat za postizanje tih učinaka. </w:t>
            </w:r>
          </w:p>
          <w:p w:rsidR="00322563" w:rsidRPr="00322563" w:rsidRDefault="00322563" w:rsidP="00322563">
            <w:pPr>
              <w:spacing w:after="0" w:line="240" w:lineRule="auto"/>
              <w:jc w:val="both"/>
              <w:rPr>
                <w:rFonts w:ascii="Arial Narrow" w:hAnsi="Arial Narrow" w:cs="Times New Roman"/>
                <w:sz w:val="20"/>
                <w:szCs w:val="20"/>
              </w:rPr>
            </w:pP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MOGUĆNOST</w:t>
            </w:r>
            <w:r w:rsidR="002565EA">
              <w:rPr>
                <w:rFonts w:ascii="Arial Narrow" w:hAnsi="Arial Narrow" w:cs="Times New Roman"/>
                <w:sz w:val="20"/>
                <w:szCs w:val="20"/>
              </w:rPr>
              <w:t xml:space="preserve"> </w:t>
            </w:r>
            <w:r w:rsidRPr="00322563">
              <w:rPr>
                <w:rFonts w:ascii="Arial Narrow" w:hAnsi="Arial Narrow" w:cs="Times New Roman"/>
                <w:sz w:val="20"/>
                <w:szCs w:val="20"/>
              </w:rPr>
              <w:t>NAPLATE</w:t>
            </w:r>
            <w:r w:rsidR="002565EA">
              <w:rPr>
                <w:rFonts w:ascii="Arial Narrow" w:hAnsi="Arial Narrow" w:cs="Times New Roman"/>
                <w:sz w:val="20"/>
                <w:szCs w:val="20"/>
              </w:rPr>
              <w:t xml:space="preserve"> </w:t>
            </w:r>
            <w:r w:rsidRPr="00322563">
              <w:rPr>
                <w:rFonts w:ascii="Arial Narrow" w:hAnsi="Arial Narrow" w:cs="Times New Roman"/>
                <w:sz w:val="20"/>
                <w:szCs w:val="20"/>
              </w:rPr>
              <w:t>PLA</w:t>
            </w:r>
            <w:r w:rsidR="002565EA">
              <w:rPr>
                <w:rFonts w:ascii="Arial Narrow" w:hAnsi="Arial Narrow" w:cs="Times New Roman"/>
                <w:sz w:val="20"/>
                <w:szCs w:val="20"/>
              </w:rPr>
              <w:t>Ž</w:t>
            </w:r>
            <w:r w:rsidRPr="00322563">
              <w:rPr>
                <w:rFonts w:ascii="Arial Narrow" w:hAnsi="Arial Narrow" w:cs="Arial Narrow"/>
                <w:sz w:val="20"/>
                <w:szCs w:val="20"/>
              </w:rPr>
              <w:t>E</w:t>
            </w:r>
            <w:r w:rsidR="002565EA">
              <w:rPr>
                <w:rFonts w:ascii="Arial Narrow" w:hAnsi="Arial Narrow" w:cs="Arial Narrow"/>
                <w:sz w:val="20"/>
                <w:szCs w:val="20"/>
              </w:rPr>
              <w:t xml:space="preserve"> </w:t>
            </w:r>
            <w:r w:rsidRPr="00322563">
              <w:rPr>
                <w:rFonts w:ascii="Arial Narrow" w:hAnsi="Arial Narrow" w:cs="Arial Narrow"/>
                <w:sz w:val="20"/>
                <w:szCs w:val="20"/>
              </w:rPr>
              <w:t>UZ</w:t>
            </w:r>
            <w:r w:rsidR="002565EA">
              <w:rPr>
                <w:rFonts w:ascii="Arial Narrow" w:hAnsi="Arial Narrow" w:cs="Arial Narrow"/>
                <w:sz w:val="20"/>
                <w:szCs w:val="20"/>
              </w:rPr>
              <w:t xml:space="preserve"> </w:t>
            </w:r>
            <w:r w:rsidRPr="00322563">
              <w:rPr>
                <w:rFonts w:ascii="Arial Narrow" w:hAnsi="Arial Narrow" w:cs="Arial Narrow"/>
                <w:sz w:val="20"/>
                <w:szCs w:val="20"/>
              </w:rPr>
              <w:t>IZGOVOR</w:t>
            </w:r>
            <w:r w:rsidR="002565EA">
              <w:rPr>
                <w:rFonts w:ascii="Arial Narrow" w:hAnsi="Arial Narrow" w:cs="Arial Narrow"/>
                <w:sz w:val="20"/>
                <w:szCs w:val="20"/>
              </w:rPr>
              <w:t xml:space="preserve"> </w:t>
            </w:r>
            <w:r w:rsidRPr="00322563">
              <w:rPr>
                <w:rFonts w:ascii="Arial Narrow" w:hAnsi="Arial Narrow" w:cs="Arial Narrow"/>
                <w:sz w:val="20"/>
                <w:szCs w:val="20"/>
              </w:rPr>
              <w:t>NAPLATE</w:t>
            </w:r>
            <w:r w:rsidR="002565EA">
              <w:rPr>
                <w:rFonts w:ascii="Arial Narrow" w:hAnsi="Arial Narrow" w:cs="Arial Narrow"/>
                <w:sz w:val="20"/>
                <w:szCs w:val="20"/>
              </w:rPr>
              <w:t xml:space="preserve"> </w:t>
            </w:r>
            <w:r w:rsidRPr="00322563">
              <w:rPr>
                <w:rFonts w:ascii="Arial Narrow" w:hAnsi="Arial Narrow" w:cs="Arial Narrow"/>
                <w:sz w:val="20"/>
                <w:szCs w:val="20"/>
              </w:rPr>
              <w:t>IZGRAĐENE</w:t>
            </w:r>
            <w:r w:rsidR="002565EA">
              <w:rPr>
                <w:rFonts w:ascii="Arial Narrow" w:hAnsi="Arial Narrow" w:cs="Arial Narrow"/>
                <w:sz w:val="20"/>
                <w:szCs w:val="20"/>
              </w:rPr>
              <w:t xml:space="preserve"> </w:t>
            </w:r>
            <w:r w:rsidRPr="00322563">
              <w:rPr>
                <w:rFonts w:ascii="Arial Narrow" w:hAnsi="Arial Narrow" w:cs="Arial Narrow"/>
                <w:sz w:val="20"/>
                <w:szCs w:val="20"/>
              </w:rPr>
              <w:t>INFRASTRUKTURE</w:t>
            </w:r>
            <w:r w:rsidR="002565EA">
              <w:rPr>
                <w:rFonts w:ascii="Arial Narrow" w:hAnsi="Arial Narrow" w:cs="Arial Narrow"/>
                <w:sz w:val="20"/>
                <w:szCs w:val="20"/>
              </w:rPr>
              <w:t xml:space="preserve"> </w:t>
            </w:r>
            <w:r w:rsidRPr="00322563">
              <w:rPr>
                <w:rFonts w:ascii="Arial Narrow" w:hAnsi="Arial Narrow" w:cs="Times New Roman"/>
                <w:sz w:val="20"/>
                <w:szCs w:val="20"/>
              </w:rPr>
              <w:t>NA</w:t>
            </w:r>
            <w:r w:rsidR="002565EA">
              <w:rPr>
                <w:rFonts w:ascii="Arial Narrow" w:hAnsi="Arial Narrow" w:cs="Times New Roman"/>
                <w:sz w:val="20"/>
                <w:szCs w:val="20"/>
              </w:rPr>
              <w:t xml:space="preserve"> </w:t>
            </w:r>
            <w:r w:rsidRPr="00322563">
              <w:rPr>
                <w:rFonts w:ascii="Arial Narrow" w:hAnsi="Arial Narrow" w:cs="Times New Roman"/>
                <w:sz w:val="20"/>
                <w:szCs w:val="20"/>
              </w:rPr>
              <w:t>PLA</w:t>
            </w:r>
            <w:r w:rsidR="002565EA">
              <w:rPr>
                <w:rFonts w:ascii="Arial Narrow" w:hAnsi="Arial Narrow" w:cs="Times New Roman"/>
                <w:sz w:val="20"/>
                <w:szCs w:val="20"/>
              </w:rPr>
              <w:t>Ž</w:t>
            </w:r>
            <w:r w:rsidRPr="00322563">
              <w:rPr>
                <w:rFonts w:ascii="Arial Narrow" w:hAnsi="Arial Narrow" w:cs="Arial Narrow"/>
                <w:sz w:val="20"/>
                <w:szCs w:val="20"/>
              </w:rPr>
              <w:t>AMA</w:t>
            </w:r>
            <w:r w:rsidR="002565EA">
              <w:rPr>
                <w:rFonts w:ascii="Arial Narrow" w:hAnsi="Arial Narrow" w:cs="Arial Narrow"/>
                <w:sz w:val="20"/>
                <w:szCs w:val="20"/>
              </w:rPr>
              <w:t xml:space="preserve"> </w:t>
            </w:r>
            <w:r w:rsidRPr="00322563">
              <w:rPr>
                <w:rFonts w:ascii="Arial Narrow" w:hAnsi="Arial Narrow" w:cs="Arial Narrow"/>
                <w:sz w:val="20"/>
                <w:szCs w:val="20"/>
              </w:rPr>
              <w:t>POD</w:t>
            </w:r>
            <w:r w:rsidR="002565EA">
              <w:rPr>
                <w:rFonts w:ascii="Arial Narrow" w:hAnsi="Arial Narrow" w:cs="Arial Narrow"/>
                <w:sz w:val="20"/>
                <w:szCs w:val="20"/>
              </w:rPr>
              <w:t xml:space="preserve"> </w:t>
            </w:r>
            <w:r w:rsidRPr="00322563">
              <w:rPr>
                <w:rFonts w:ascii="Arial Narrow" w:hAnsi="Arial Narrow" w:cs="Arial Narrow"/>
                <w:sz w:val="20"/>
                <w:szCs w:val="20"/>
              </w:rPr>
              <w:t xml:space="preserve">KONCESIJOM </w:t>
            </w:r>
          </w:p>
          <w:p w:rsidR="00322563" w:rsidRPr="00322563" w:rsidRDefault="00322563" w:rsidP="00322563">
            <w:pPr>
              <w:spacing w:after="0" w:line="240" w:lineRule="auto"/>
              <w:jc w:val="both"/>
              <w:rPr>
                <w:rFonts w:ascii="Arial Narrow" w:hAnsi="Arial Narrow" w:cs="Times New Roman"/>
                <w:sz w:val="20"/>
                <w:szCs w:val="20"/>
              </w:rPr>
            </w:pP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U prijedlogu Odluke stoji: "Građevne čestice pomorskog dobra ne smiju se ograđivati. Cjelokupno pomorsko dobro, s pojasom priobalnih površina rekreativne namjene, kako je to propisano i Generalnim urbanističkim planom Grada Pule, ne smije se ograđivati, te se na njega mora omogućiti javni pristup građana, </w:t>
            </w:r>
            <w:r w:rsidRPr="00322563">
              <w:rPr>
                <w:rFonts w:ascii="Arial Narrow" w:hAnsi="Arial Narrow" w:cs="Times New Roman"/>
                <w:sz w:val="20"/>
                <w:szCs w:val="20"/>
              </w:rPr>
              <w:lastRenderedPageBreak/>
              <w:t xml:space="preserve">ukoliko to nije u suprotnosti s važećim propisima za pojedini zahvat u prostoru pomorskog dobra." </w:t>
            </w:r>
          </w:p>
          <w:p w:rsidR="00322563" w:rsidRPr="00322563" w:rsidRDefault="00322563" w:rsidP="00322563">
            <w:pPr>
              <w:spacing w:after="0" w:line="240" w:lineRule="auto"/>
              <w:jc w:val="both"/>
              <w:rPr>
                <w:rFonts w:ascii="Arial Narrow" w:hAnsi="Arial Narrow" w:cs="Times New Roman"/>
                <w:sz w:val="20"/>
                <w:szCs w:val="20"/>
              </w:rPr>
            </w:pP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Predstavnici Grada Pule javno su tvrdili da taj članak GUP-a onemogućava naplatu ulaza na plaže pod koncesijom, no "zaboravili" su javnost obavijestiti o mogućnosti naplate izgrađene infrastrukture na plaži pod koncesijom. Jedan od najvećih hrvatskih stručnjaka za pomorsko dobro. dr.sc. Frane Staničić, izjavio je: "Pomorsko dobro ne može biti ničije vlasništvo, nego RH. Koncesionar upravlja plažom, ali ne može naplaćivati ulaz na plažu, koja je javno dobro, nego samo iznajmljivanje ležaljki i korištenje izgrađene infrastrukture. Ne može se plaža zakonito ograditi ni zabraniti ulaz na nju....Po meni maksimum dopustivog može biti da plaža pod koncesijom ima pravilo da je možete koristiti ako platite i ležaljku, odnosno korištenje izgrađene infrastrukture". </w:t>
            </w:r>
          </w:p>
          <w:p w:rsidR="00322563" w:rsidRPr="00322563" w:rsidRDefault="00322563" w:rsidP="00322563">
            <w:pPr>
              <w:spacing w:after="0" w:line="240" w:lineRule="auto"/>
              <w:jc w:val="both"/>
              <w:rPr>
                <w:rFonts w:ascii="Arial Narrow" w:hAnsi="Arial Narrow" w:cs="Times New Roman"/>
                <w:sz w:val="20"/>
                <w:szCs w:val="20"/>
              </w:rPr>
            </w:pP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Nejasna je i odredba da se plaža tj. pomorsko dobro ne smije ograđivati "te se na njega mora omogućiti javni pristup građana, ukoliko to nije u suprotnosti s važećim propisima za pojedini </w:t>
            </w: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zahvat u prostoru pomorskog dobra". </w:t>
            </w:r>
            <w:r w:rsidR="002565EA">
              <w:rPr>
                <w:rFonts w:ascii="Arial Narrow" w:hAnsi="Arial Narrow" w:cs="Times New Roman"/>
                <w:sz w:val="20"/>
                <w:szCs w:val="20"/>
              </w:rPr>
              <w:t>Š</w:t>
            </w:r>
            <w:r w:rsidRPr="00322563">
              <w:rPr>
                <w:rFonts w:ascii="Arial Narrow" w:hAnsi="Arial Narrow" w:cs="Arial Narrow"/>
                <w:sz w:val="20"/>
                <w:szCs w:val="20"/>
              </w:rPr>
              <w:t xml:space="preserve">to znači posljednji dio rečenice? </w:t>
            </w:r>
          </w:p>
          <w:p w:rsidR="00322563" w:rsidRPr="00322563" w:rsidRDefault="00322563" w:rsidP="00322563">
            <w:pPr>
              <w:spacing w:after="0" w:line="240" w:lineRule="auto"/>
              <w:jc w:val="both"/>
              <w:rPr>
                <w:rFonts w:ascii="Arial Narrow" w:hAnsi="Arial Narrow" w:cs="Times New Roman"/>
                <w:sz w:val="20"/>
                <w:szCs w:val="20"/>
              </w:rPr>
            </w:pP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S obzirom da Zakon o pomorskom dobru i morskim lukama člankom 9. daje mogućnost potpunog ili djelomičnog isključivanja javnosti iz upotrebe pomorskog dobra, to predstavlja dobar razlog za oprez. Zakon ima veću pravnu snagu od GUP-a Grada Pule. U toj činjenici prepoznajemo i razlog zbog kojeg u Nacrtu Odluke navodi samo da se pomorsko dobro ne smije ograđivati, ali ne i da se ne smije naplaćivati. Razlog za oprez je i ustaljena praksa na hrvatskoj obali gdje se građanima pod raznim izgovorima zabranjuje ulazak na plaže. </w:t>
            </w:r>
          </w:p>
          <w:p w:rsidR="00322563" w:rsidRPr="00322563" w:rsidRDefault="00322563" w:rsidP="00322563">
            <w:pPr>
              <w:spacing w:after="0" w:line="240" w:lineRule="auto"/>
              <w:jc w:val="both"/>
              <w:rPr>
                <w:rFonts w:ascii="Arial Narrow" w:hAnsi="Arial Narrow" w:cs="Times New Roman"/>
                <w:sz w:val="20"/>
                <w:szCs w:val="20"/>
              </w:rPr>
            </w:pP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UVOĐENJE</w:t>
            </w:r>
            <w:r w:rsidR="002565EA">
              <w:rPr>
                <w:rFonts w:ascii="Arial Narrow" w:hAnsi="Arial Narrow" w:cs="Times New Roman"/>
                <w:sz w:val="20"/>
                <w:szCs w:val="20"/>
              </w:rPr>
              <w:t xml:space="preserve"> </w:t>
            </w:r>
            <w:r w:rsidRPr="00322563">
              <w:rPr>
                <w:rFonts w:ascii="Arial Narrow" w:hAnsi="Arial Narrow" w:cs="Times New Roman"/>
                <w:sz w:val="20"/>
                <w:szCs w:val="20"/>
              </w:rPr>
              <w:t>MONOPOLA</w:t>
            </w:r>
            <w:r w:rsidR="002565EA">
              <w:rPr>
                <w:rFonts w:ascii="Arial Narrow" w:hAnsi="Arial Narrow" w:cs="Times New Roman"/>
                <w:sz w:val="20"/>
                <w:szCs w:val="20"/>
              </w:rPr>
              <w:t xml:space="preserve"> </w:t>
            </w:r>
            <w:r w:rsidRPr="00322563">
              <w:rPr>
                <w:rFonts w:ascii="Arial Narrow" w:hAnsi="Arial Narrow" w:cs="Times New Roman"/>
                <w:sz w:val="20"/>
                <w:szCs w:val="20"/>
              </w:rPr>
              <w:t>ZA</w:t>
            </w:r>
            <w:r w:rsidR="002565EA">
              <w:rPr>
                <w:rFonts w:ascii="Arial Narrow" w:hAnsi="Arial Narrow" w:cs="Times New Roman"/>
                <w:sz w:val="20"/>
                <w:szCs w:val="20"/>
              </w:rPr>
              <w:t xml:space="preserve"> </w:t>
            </w:r>
            <w:r w:rsidRPr="00322563">
              <w:rPr>
                <w:rFonts w:ascii="Arial Narrow" w:hAnsi="Arial Narrow" w:cs="Times New Roman"/>
                <w:sz w:val="20"/>
                <w:szCs w:val="20"/>
              </w:rPr>
              <w:t>ODABRANE</w:t>
            </w:r>
            <w:r w:rsidR="002565EA">
              <w:rPr>
                <w:rFonts w:ascii="Arial Narrow" w:hAnsi="Arial Narrow" w:cs="Times New Roman"/>
                <w:sz w:val="20"/>
                <w:szCs w:val="20"/>
              </w:rPr>
              <w:t xml:space="preserve"> </w:t>
            </w:r>
            <w:r w:rsidRPr="00322563">
              <w:rPr>
                <w:rFonts w:ascii="Arial Narrow" w:hAnsi="Arial Narrow" w:cs="Times New Roman"/>
                <w:sz w:val="20"/>
                <w:szCs w:val="20"/>
              </w:rPr>
              <w:t>NAD</w:t>
            </w:r>
            <w:r w:rsidR="002565EA">
              <w:rPr>
                <w:rFonts w:ascii="Arial Narrow" w:hAnsi="Arial Narrow" w:cs="Times New Roman"/>
                <w:sz w:val="20"/>
                <w:szCs w:val="20"/>
              </w:rPr>
              <w:t xml:space="preserve"> </w:t>
            </w:r>
            <w:r w:rsidRPr="00322563">
              <w:rPr>
                <w:rFonts w:ascii="Arial Narrow" w:hAnsi="Arial Narrow" w:cs="Times New Roman"/>
                <w:sz w:val="20"/>
                <w:szCs w:val="20"/>
              </w:rPr>
              <w:t>GOSPODARSKIM</w:t>
            </w:r>
            <w:r w:rsidR="002565EA">
              <w:rPr>
                <w:rFonts w:ascii="Arial Narrow" w:hAnsi="Arial Narrow" w:cs="Times New Roman"/>
                <w:sz w:val="20"/>
                <w:szCs w:val="20"/>
              </w:rPr>
              <w:t xml:space="preserve"> </w:t>
            </w:r>
            <w:r w:rsidRPr="00322563">
              <w:rPr>
                <w:rFonts w:ascii="Arial Narrow" w:hAnsi="Arial Narrow" w:cs="Times New Roman"/>
                <w:sz w:val="20"/>
                <w:szCs w:val="20"/>
              </w:rPr>
              <w:t>AKTIVNOSTIMA</w:t>
            </w:r>
            <w:r w:rsidR="002565EA">
              <w:rPr>
                <w:rFonts w:ascii="Arial Narrow" w:hAnsi="Arial Narrow" w:cs="Times New Roman"/>
                <w:sz w:val="20"/>
                <w:szCs w:val="20"/>
              </w:rPr>
              <w:t xml:space="preserve"> </w:t>
            </w:r>
            <w:r w:rsidRPr="00322563">
              <w:rPr>
                <w:rFonts w:ascii="Arial Narrow" w:hAnsi="Arial Narrow" w:cs="Times New Roman"/>
                <w:sz w:val="20"/>
                <w:szCs w:val="20"/>
              </w:rPr>
              <w:t>NA PLA</w:t>
            </w:r>
            <w:r w:rsidR="002565EA">
              <w:rPr>
                <w:rFonts w:ascii="Arial Narrow" w:hAnsi="Arial Narrow" w:cs="Times New Roman"/>
                <w:sz w:val="20"/>
                <w:szCs w:val="20"/>
              </w:rPr>
              <w:t>Ž</w:t>
            </w:r>
            <w:r w:rsidRPr="00322563">
              <w:rPr>
                <w:rFonts w:ascii="Arial Narrow" w:hAnsi="Arial Narrow" w:cs="Arial Narrow"/>
                <w:sz w:val="20"/>
                <w:szCs w:val="20"/>
              </w:rPr>
              <w:t xml:space="preserve">AMA </w:t>
            </w:r>
          </w:p>
          <w:p w:rsidR="00322563" w:rsidRPr="00322563" w:rsidRDefault="00322563" w:rsidP="00322563">
            <w:pPr>
              <w:spacing w:after="0" w:line="240" w:lineRule="auto"/>
              <w:jc w:val="both"/>
              <w:rPr>
                <w:rFonts w:ascii="Arial Narrow" w:hAnsi="Arial Narrow" w:cs="Times New Roman"/>
                <w:sz w:val="20"/>
                <w:szCs w:val="20"/>
              </w:rPr>
            </w:pP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Člankom III. Odluke predlažete da "koncesijska odobrenja za obavljanje djelatnosti na pomorskom dobru na lokacijama iz točke I. ove Odluke ostaju na snazi do sklapanja ugovora o </w:t>
            </w: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lastRenderedPageBreak/>
              <w:t xml:space="preserve">koncesiji za područje za koje su izdana". Koncesijska odobrenja izdaju se za razdoblje od 1 do 5 godina. Brojne male tvrtke i obrti koji su do sada imali prilike poslovati na plažama u različitim </w:t>
            </w: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djelatnostima putem koncesijskih odobrenja, tu će mogućnost izgubiti, a zarada omogućiti samo jednom poslovnom subjektu koji na plaži bude dobio koncesiju. </w:t>
            </w:r>
          </w:p>
          <w:p w:rsidR="00322563" w:rsidRPr="00322563" w:rsidRDefault="00322563" w:rsidP="00322563">
            <w:pPr>
              <w:spacing w:after="0" w:line="240" w:lineRule="auto"/>
              <w:jc w:val="both"/>
              <w:rPr>
                <w:rFonts w:ascii="Arial Narrow" w:hAnsi="Arial Narrow" w:cs="Times New Roman"/>
                <w:sz w:val="20"/>
                <w:szCs w:val="20"/>
              </w:rPr>
            </w:pP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br w:type="page"/>
            </w: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Koja je logika u takvoj odluci, osim koncentracije zarade u rukama jednog poslovnog subjekta? </w:t>
            </w: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Grad Pula ponudio je sljedeću ispriku: "Za razliku od koncesijskih odobrenja, koja se temeljem posebne Uredbe daju na zahtjev, za svaku djelatnost pojedinačno i na kratko vremensko razdoblje (od jedne od pet godina), koncesija za obavljanje tih djelatnosti na pojedinoj plaži kao cjelini omogućila bi obavljanje tih djelatnosti od strane jednog koncesionara i na duži vremenski </w:t>
            </w: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period. Time se želi postići poboljšanje kvalitete usluga koje se pružaju na tim lokacijama građanima Grada Pule i drugim gostima". Ostaje nejasno zbog čega bi kvaliteta usluge bila </w:t>
            </w: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bolja ako je u rukama jednog koncesionara. </w:t>
            </w:r>
          </w:p>
          <w:p w:rsidR="00322563" w:rsidRPr="00322563" w:rsidRDefault="00322563" w:rsidP="00322563">
            <w:pPr>
              <w:spacing w:after="0" w:line="240" w:lineRule="auto"/>
              <w:jc w:val="both"/>
              <w:rPr>
                <w:rFonts w:ascii="Arial Narrow" w:hAnsi="Arial Narrow" w:cs="Times New Roman"/>
                <w:sz w:val="20"/>
                <w:szCs w:val="20"/>
              </w:rPr>
            </w:pP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Zakonom je propisano i da rok na koji se koncesija daje ne smije ograničavati tržišno natjecanje više nego što je to nužno kako bi se osigurala amortizacija stvarne vrijednosti ulaganja koncesionara i razuman povrat uloženog kapitala, istodobno uzimajući u obzir troškove i rizike koje koncesionar preuzima za vrijeme trajanja koncesije. Iz navedenih odluka o davanju koncesije nije moguće utvrditi koje su obaveze ulaganja koncesionara npr. na plažama </w:t>
            </w:r>
            <w:proofErr w:type="spellStart"/>
            <w:r w:rsidRPr="00322563">
              <w:rPr>
                <w:rFonts w:ascii="Arial Narrow" w:hAnsi="Arial Narrow" w:cs="Times New Roman"/>
                <w:sz w:val="20"/>
                <w:szCs w:val="20"/>
              </w:rPr>
              <w:t>Saccorgiana</w:t>
            </w:r>
            <w:proofErr w:type="spellEnd"/>
            <w:r w:rsidRPr="00322563">
              <w:rPr>
                <w:rFonts w:ascii="Arial Narrow" w:hAnsi="Arial Narrow" w:cs="Times New Roman"/>
                <w:sz w:val="20"/>
                <w:szCs w:val="20"/>
              </w:rPr>
              <w:t xml:space="preserve"> i koji će im objekti na tim plažama pripasti? Prije nego li se donese Plan da se plaža </w:t>
            </w:r>
            <w:proofErr w:type="spellStart"/>
            <w:r w:rsidRPr="00322563">
              <w:rPr>
                <w:rFonts w:ascii="Arial Narrow" w:hAnsi="Arial Narrow" w:cs="Times New Roman"/>
                <w:sz w:val="20"/>
                <w:szCs w:val="20"/>
              </w:rPr>
              <w:t>Ambrela</w:t>
            </w:r>
            <w:proofErr w:type="spellEnd"/>
            <w:r w:rsidRPr="00322563">
              <w:rPr>
                <w:rFonts w:ascii="Arial Narrow" w:hAnsi="Arial Narrow" w:cs="Times New Roman"/>
                <w:sz w:val="20"/>
                <w:szCs w:val="20"/>
              </w:rPr>
              <w:t xml:space="preserve"> da u koncesiju, trebalo bi znati hoće li i što i zašto tamo graditi. I zato nije uopće jasno za temelju čega je utvrđeno trajanje koncesije od 10 do 20 godina. Zašto se amortizacije </w:t>
            </w: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stvarne vrijednosti ulaganja ne bi mogla ostvariti u 5 godina? </w:t>
            </w:r>
          </w:p>
          <w:p w:rsidR="00322563" w:rsidRPr="00322563" w:rsidRDefault="00322563" w:rsidP="00322563">
            <w:pPr>
              <w:spacing w:after="0" w:line="240" w:lineRule="auto"/>
              <w:jc w:val="both"/>
              <w:rPr>
                <w:rFonts w:ascii="Arial Narrow" w:hAnsi="Arial Narrow" w:cs="Times New Roman"/>
                <w:sz w:val="20"/>
                <w:szCs w:val="20"/>
              </w:rPr>
            </w:pP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Člankom. 20 Zakona o pomorskom dobru i morskim lukama definirao je da se "prilikom određivanja roka koncesije uzima u obzir namjena, opseg i visina potrebnih ulaganja te ukupni </w:t>
            </w: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go</w:t>
            </w:r>
            <w:r w:rsidR="002565EA">
              <w:rPr>
                <w:rFonts w:ascii="Arial Narrow" w:hAnsi="Arial Narrow" w:cs="Times New Roman"/>
                <w:sz w:val="20"/>
                <w:szCs w:val="20"/>
              </w:rPr>
              <w:t>s</w:t>
            </w:r>
            <w:r w:rsidRPr="00322563">
              <w:rPr>
                <w:rFonts w:ascii="Arial Narrow" w:hAnsi="Arial Narrow" w:cs="Times New Roman"/>
                <w:sz w:val="20"/>
                <w:szCs w:val="20"/>
              </w:rPr>
              <w:t xml:space="preserve">podarski učinci koji se postiži koncesijom". </w:t>
            </w:r>
          </w:p>
          <w:p w:rsidR="00322563" w:rsidRPr="00322563" w:rsidRDefault="00322563" w:rsidP="00322563">
            <w:pPr>
              <w:spacing w:after="0" w:line="240" w:lineRule="auto"/>
              <w:jc w:val="both"/>
              <w:rPr>
                <w:rFonts w:ascii="Arial Narrow" w:hAnsi="Arial Narrow" w:cs="Times New Roman"/>
                <w:sz w:val="20"/>
                <w:szCs w:val="20"/>
              </w:rPr>
            </w:pP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PUNA</w:t>
            </w:r>
            <w:r w:rsidR="002565EA">
              <w:rPr>
                <w:rFonts w:ascii="Arial Narrow" w:hAnsi="Arial Narrow" w:cs="Times New Roman"/>
                <w:sz w:val="20"/>
                <w:szCs w:val="20"/>
              </w:rPr>
              <w:t xml:space="preserve"> </w:t>
            </w:r>
            <w:r w:rsidRPr="00322563">
              <w:rPr>
                <w:rFonts w:ascii="Arial Narrow" w:hAnsi="Arial Narrow" w:cs="Times New Roman"/>
                <w:sz w:val="20"/>
                <w:szCs w:val="20"/>
              </w:rPr>
              <w:t>SLIKA</w:t>
            </w:r>
            <w:r w:rsidR="002565EA">
              <w:rPr>
                <w:rFonts w:ascii="Arial Narrow" w:hAnsi="Arial Narrow" w:cs="Times New Roman"/>
                <w:sz w:val="20"/>
                <w:szCs w:val="20"/>
              </w:rPr>
              <w:t xml:space="preserve"> </w:t>
            </w:r>
            <w:r w:rsidRPr="00322563">
              <w:rPr>
                <w:rFonts w:ascii="Arial Narrow" w:hAnsi="Arial Narrow" w:cs="Times New Roman"/>
                <w:sz w:val="20"/>
                <w:szCs w:val="20"/>
              </w:rPr>
              <w:t>POSLJEDICA</w:t>
            </w:r>
            <w:r w:rsidR="002565EA">
              <w:rPr>
                <w:rFonts w:ascii="Arial Narrow" w:hAnsi="Arial Narrow" w:cs="Times New Roman"/>
                <w:sz w:val="20"/>
                <w:szCs w:val="20"/>
              </w:rPr>
              <w:t xml:space="preserve"> </w:t>
            </w:r>
            <w:r w:rsidRPr="00322563">
              <w:rPr>
                <w:rFonts w:ascii="Arial Narrow" w:hAnsi="Arial Narrow" w:cs="Times New Roman"/>
                <w:sz w:val="20"/>
                <w:szCs w:val="20"/>
              </w:rPr>
              <w:t>PRIVATIZACIJE</w:t>
            </w:r>
            <w:r w:rsidR="002565EA">
              <w:rPr>
                <w:rFonts w:ascii="Arial Narrow" w:hAnsi="Arial Narrow" w:cs="Times New Roman"/>
                <w:sz w:val="20"/>
                <w:szCs w:val="20"/>
              </w:rPr>
              <w:t xml:space="preserve"> </w:t>
            </w:r>
            <w:r w:rsidRPr="00322563">
              <w:rPr>
                <w:rFonts w:ascii="Arial Narrow" w:hAnsi="Arial Narrow" w:cs="Times New Roman"/>
                <w:sz w:val="20"/>
                <w:szCs w:val="20"/>
              </w:rPr>
              <w:t>PLA</w:t>
            </w:r>
            <w:r w:rsidR="002565EA">
              <w:rPr>
                <w:rFonts w:ascii="Arial Narrow" w:hAnsi="Arial Narrow" w:cs="Times New Roman"/>
                <w:sz w:val="20"/>
                <w:szCs w:val="20"/>
              </w:rPr>
              <w:t>Ž</w:t>
            </w:r>
            <w:r w:rsidRPr="00322563">
              <w:rPr>
                <w:rFonts w:ascii="Arial Narrow" w:hAnsi="Arial Narrow" w:cs="Arial Narrow"/>
                <w:sz w:val="20"/>
                <w:szCs w:val="20"/>
              </w:rPr>
              <w:t>A</w:t>
            </w:r>
            <w:r w:rsidR="002565EA">
              <w:rPr>
                <w:rFonts w:ascii="Arial Narrow" w:hAnsi="Arial Narrow" w:cs="Arial Narrow"/>
                <w:sz w:val="20"/>
                <w:szCs w:val="20"/>
              </w:rPr>
              <w:t xml:space="preserve"> </w:t>
            </w:r>
            <w:r w:rsidRPr="00322563">
              <w:rPr>
                <w:rFonts w:ascii="Arial Narrow" w:hAnsi="Arial Narrow" w:cs="Arial Narrow"/>
                <w:sz w:val="20"/>
                <w:szCs w:val="20"/>
              </w:rPr>
              <w:t>MO</w:t>
            </w:r>
            <w:r w:rsidR="002565EA">
              <w:rPr>
                <w:rFonts w:ascii="Arial Narrow" w:hAnsi="Arial Narrow" w:cs="Arial Narrow"/>
                <w:sz w:val="20"/>
                <w:szCs w:val="20"/>
              </w:rPr>
              <w:t>Ž</w:t>
            </w:r>
            <w:r w:rsidRPr="00322563">
              <w:rPr>
                <w:rFonts w:ascii="Arial Narrow" w:hAnsi="Arial Narrow" w:cs="Arial Narrow"/>
                <w:sz w:val="20"/>
                <w:szCs w:val="20"/>
              </w:rPr>
              <w:t>E</w:t>
            </w:r>
            <w:r w:rsidR="002565EA">
              <w:rPr>
                <w:rFonts w:ascii="Arial Narrow" w:hAnsi="Arial Narrow" w:cs="Arial Narrow"/>
                <w:sz w:val="20"/>
                <w:szCs w:val="20"/>
              </w:rPr>
              <w:t xml:space="preserve"> </w:t>
            </w:r>
            <w:r w:rsidRPr="00322563">
              <w:rPr>
                <w:rFonts w:ascii="Arial Narrow" w:hAnsi="Arial Narrow" w:cs="Arial Narrow"/>
                <w:sz w:val="20"/>
                <w:szCs w:val="20"/>
              </w:rPr>
              <w:t>SE</w:t>
            </w:r>
            <w:r w:rsidR="002565EA">
              <w:rPr>
                <w:rFonts w:ascii="Arial Narrow" w:hAnsi="Arial Narrow" w:cs="Arial Narrow"/>
                <w:sz w:val="20"/>
                <w:szCs w:val="20"/>
              </w:rPr>
              <w:t xml:space="preserve"> </w:t>
            </w:r>
            <w:r w:rsidRPr="00322563">
              <w:rPr>
                <w:rFonts w:ascii="Arial Narrow" w:hAnsi="Arial Narrow" w:cs="Arial Narrow"/>
                <w:sz w:val="20"/>
                <w:szCs w:val="20"/>
              </w:rPr>
              <w:t>DOBITI</w:t>
            </w:r>
            <w:r w:rsidR="002565EA">
              <w:rPr>
                <w:rFonts w:ascii="Arial Narrow" w:hAnsi="Arial Narrow" w:cs="Arial Narrow"/>
                <w:sz w:val="20"/>
                <w:szCs w:val="20"/>
              </w:rPr>
              <w:t xml:space="preserve"> </w:t>
            </w:r>
            <w:r w:rsidRPr="00322563">
              <w:rPr>
                <w:rFonts w:ascii="Arial Narrow" w:hAnsi="Arial Narrow" w:cs="Arial Narrow"/>
                <w:sz w:val="20"/>
                <w:szCs w:val="20"/>
              </w:rPr>
              <w:t>JEDINO</w:t>
            </w:r>
            <w:r w:rsidR="002565EA">
              <w:rPr>
                <w:rFonts w:ascii="Arial Narrow" w:hAnsi="Arial Narrow" w:cs="Arial Narrow"/>
                <w:sz w:val="20"/>
                <w:szCs w:val="20"/>
              </w:rPr>
              <w:t xml:space="preserve"> </w:t>
            </w:r>
            <w:r w:rsidRPr="00322563">
              <w:rPr>
                <w:rFonts w:ascii="Arial Narrow" w:hAnsi="Arial Narrow" w:cs="Arial Narrow"/>
                <w:sz w:val="20"/>
                <w:szCs w:val="20"/>
              </w:rPr>
              <w:t>U</w:t>
            </w:r>
            <w:r w:rsidR="002565EA">
              <w:rPr>
                <w:rFonts w:ascii="Arial Narrow" w:hAnsi="Arial Narrow" w:cs="Arial Narrow"/>
                <w:sz w:val="20"/>
                <w:szCs w:val="20"/>
              </w:rPr>
              <w:t xml:space="preserve"> </w:t>
            </w:r>
            <w:r w:rsidRPr="00322563">
              <w:rPr>
                <w:rFonts w:ascii="Arial Narrow" w:hAnsi="Arial Narrow" w:cs="Arial Narrow"/>
                <w:sz w:val="20"/>
                <w:szCs w:val="20"/>
              </w:rPr>
              <w:t xml:space="preserve">OVOJ </w:t>
            </w:r>
            <w:r w:rsidRPr="00322563">
              <w:rPr>
                <w:rFonts w:ascii="Arial Narrow" w:hAnsi="Arial Narrow" w:cs="Times New Roman"/>
                <w:sz w:val="20"/>
                <w:szCs w:val="20"/>
              </w:rPr>
              <w:t>FAZI</w:t>
            </w:r>
            <w:r w:rsidR="002565EA">
              <w:rPr>
                <w:rFonts w:ascii="Arial Narrow" w:hAnsi="Arial Narrow" w:cs="Times New Roman"/>
                <w:sz w:val="20"/>
                <w:szCs w:val="20"/>
              </w:rPr>
              <w:t xml:space="preserve"> </w:t>
            </w:r>
            <w:r w:rsidRPr="00322563">
              <w:rPr>
                <w:rFonts w:ascii="Arial Narrow" w:hAnsi="Arial Narrow" w:cs="Times New Roman"/>
                <w:sz w:val="20"/>
                <w:szCs w:val="20"/>
              </w:rPr>
              <w:t>ODLU</w:t>
            </w:r>
            <w:r w:rsidR="002565EA">
              <w:rPr>
                <w:rFonts w:ascii="Arial Narrow" w:hAnsi="Arial Narrow" w:cs="Times New Roman"/>
                <w:sz w:val="20"/>
                <w:szCs w:val="20"/>
              </w:rPr>
              <w:t>Č</w:t>
            </w:r>
            <w:r w:rsidRPr="00322563">
              <w:rPr>
                <w:rFonts w:ascii="Arial Narrow" w:hAnsi="Arial Narrow" w:cs="Arial Narrow"/>
                <w:sz w:val="20"/>
                <w:szCs w:val="20"/>
              </w:rPr>
              <w:t>IVANJA -jesu li</w:t>
            </w:r>
            <w:r w:rsidR="005A5449">
              <w:rPr>
                <w:rFonts w:ascii="Arial Narrow" w:hAnsi="Arial Narrow" w:cs="Arial Narrow"/>
                <w:sz w:val="20"/>
                <w:szCs w:val="20"/>
              </w:rPr>
              <w:t xml:space="preserve"> </w:t>
            </w:r>
            <w:r w:rsidRPr="00322563">
              <w:rPr>
                <w:rFonts w:ascii="Arial Narrow" w:hAnsi="Arial Narrow" w:cs="Arial Narrow"/>
                <w:sz w:val="20"/>
                <w:szCs w:val="20"/>
              </w:rPr>
              <w:t>predložene</w:t>
            </w:r>
            <w:r w:rsidR="005A5449">
              <w:rPr>
                <w:rFonts w:ascii="Arial Narrow" w:hAnsi="Arial Narrow" w:cs="Arial Narrow"/>
                <w:sz w:val="20"/>
                <w:szCs w:val="20"/>
              </w:rPr>
              <w:t xml:space="preserve"> </w:t>
            </w:r>
            <w:r w:rsidRPr="00322563">
              <w:rPr>
                <w:rFonts w:ascii="Arial Narrow" w:hAnsi="Arial Narrow" w:cs="Arial Narrow"/>
                <w:sz w:val="20"/>
                <w:szCs w:val="20"/>
              </w:rPr>
              <w:t>plaže</w:t>
            </w:r>
            <w:r w:rsidR="005A5449">
              <w:rPr>
                <w:rFonts w:ascii="Arial Narrow" w:hAnsi="Arial Narrow" w:cs="Arial Narrow"/>
                <w:sz w:val="20"/>
                <w:szCs w:val="20"/>
              </w:rPr>
              <w:t xml:space="preserve"> </w:t>
            </w:r>
            <w:r w:rsidRPr="00322563">
              <w:rPr>
                <w:rFonts w:ascii="Arial Narrow" w:hAnsi="Arial Narrow" w:cs="Arial Narrow"/>
                <w:sz w:val="20"/>
                <w:szCs w:val="20"/>
              </w:rPr>
              <w:t>samo</w:t>
            </w:r>
            <w:r w:rsidR="005A5449">
              <w:rPr>
                <w:rFonts w:ascii="Arial Narrow" w:hAnsi="Arial Narrow" w:cs="Arial Narrow"/>
                <w:sz w:val="20"/>
                <w:szCs w:val="20"/>
              </w:rPr>
              <w:t xml:space="preserve"> </w:t>
            </w:r>
            <w:r w:rsidRPr="00322563">
              <w:rPr>
                <w:rFonts w:ascii="Arial Narrow" w:hAnsi="Arial Narrow" w:cs="Arial Narrow"/>
                <w:sz w:val="20"/>
                <w:szCs w:val="20"/>
              </w:rPr>
              <w:t>po</w:t>
            </w:r>
            <w:r w:rsidR="005A5449">
              <w:rPr>
                <w:rFonts w:ascii="Arial Narrow" w:hAnsi="Arial Narrow" w:cs="Arial Narrow"/>
                <w:sz w:val="20"/>
                <w:szCs w:val="20"/>
              </w:rPr>
              <w:t>č</w:t>
            </w:r>
            <w:r w:rsidRPr="00322563">
              <w:rPr>
                <w:rFonts w:ascii="Arial Narrow" w:hAnsi="Arial Narrow" w:cs="Arial Narrow"/>
                <w:sz w:val="20"/>
                <w:szCs w:val="20"/>
              </w:rPr>
              <w:t>etak</w:t>
            </w:r>
            <w:r w:rsidR="005A5449">
              <w:rPr>
                <w:rFonts w:ascii="Arial Narrow" w:hAnsi="Arial Narrow" w:cs="Arial Narrow"/>
                <w:sz w:val="20"/>
                <w:szCs w:val="20"/>
              </w:rPr>
              <w:t xml:space="preserve"> </w:t>
            </w:r>
            <w:r w:rsidRPr="00322563">
              <w:rPr>
                <w:rFonts w:ascii="Arial Narrow" w:hAnsi="Arial Narrow" w:cs="Arial Narrow"/>
                <w:sz w:val="20"/>
                <w:szCs w:val="20"/>
              </w:rPr>
              <w:t>privatizacije svih</w:t>
            </w:r>
            <w:r w:rsidR="005A5449">
              <w:rPr>
                <w:rFonts w:ascii="Arial Narrow" w:hAnsi="Arial Narrow" w:cs="Arial Narrow"/>
                <w:sz w:val="20"/>
                <w:szCs w:val="20"/>
              </w:rPr>
              <w:t xml:space="preserve"> </w:t>
            </w:r>
            <w:r w:rsidRPr="00322563">
              <w:rPr>
                <w:rFonts w:ascii="Arial Narrow" w:hAnsi="Arial Narrow" w:cs="Arial Narrow"/>
                <w:sz w:val="20"/>
                <w:szCs w:val="20"/>
              </w:rPr>
              <w:t>grad</w:t>
            </w:r>
            <w:r w:rsidRPr="00322563">
              <w:rPr>
                <w:rFonts w:ascii="Arial Narrow" w:hAnsi="Arial Narrow" w:cs="Times New Roman"/>
                <w:sz w:val="20"/>
                <w:szCs w:val="20"/>
              </w:rPr>
              <w:t xml:space="preserve">skih </w:t>
            </w: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plaža? </w:t>
            </w:r>
          </w:p>
          <w:p w:rsidR="00322563" w:rsidRPr="00322563" w:rsidRDefault="00322563" w:rsidP="00322563">
            <w:pPr>
              <w:spacing w:after="0" w:line="240" w:lineRule="auto"/>
              <w:jc w:val="both"/>
              <w:rPr>
                <w:rFonts w:ascii="Arial Narrow" w:hAnsi="Arial Narrow" w:cs="Times New Roman"/>
                <w:sz w:val="20"/>
                <w:szCs w:val="20"/>
              </w:rPr>
            </w:pP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Jedino u ovoj fazi odlučivanja o mogu se i moraju razmatrati kumulativne i dugoročne posljedice takve odluke za život u gradu. U trogodišnjem Planu davanja koncesija Grada Pule za razdoblje 2019.-2021. osim Ferijalnog, </w:t>
            </w:r>
            <w:proofErr w:type="spellStart"/>
            <w:r w:rsidRPr="00322563">
              <w:rPr>
                <w:rFonts w:ascii="Arial Narrow" w:hAnsi="Arial Narrow" w:cs="Times New Roman"/>
                <w:sz w:val="20"/>
                <w:szCs w:val="20"/>
              </w:rPr>
              <w:t>Ambrele</w:t>
            </w:r>
            <w:proofErr w:type="spellEnd"/>
            <w:r w:rsidRPr="00322563">
              <w:rPr>
                <w:rFonts w:ascii="Arial Narrow" w:hAnsi="Arial Narrow" w:cs="Times New Roman"/>
                <w:sz w:val="20"/>
                <w:szCs w:val="20"/>
              </w:rPr>
              <w:t xml:space="preserve"> i </w:t>
            </w:r>
            <w:proofErr w:type="spellStart"/>
            <w:r w:rsidRPr="00322563">
              <w:rPr>
                <w:rFonts w:ascii="Arial Narrow" w:hAnsi="Arial Narrow" w:cs="Times New Roman"/>
                <w:sz w:val="20"/>
                <w:szCs w:val="20"/>
              </w:rPr>
              <w:t>Saccorgiane</w:t>
            </w:r>
            <w:proofErr w:type="spellEnd"/>
            <w:r w:rsidRPr="00322563">
              <w:rPr>
                <w:rFonts w:ascii="Arial Narrow" w:hAnsi="Arial Narrow" w:cs="Times New Roman"/>
                <w:sz w:val="20"/>
                <w:szCs w:val="20"/>
              </w:rPr>
              <w:t xml:space="preserve">, u duge koncesije planiraju se dati plaže u turističkim naseljima </w:t>
            </w:r>
            <w:proofErr w:type="spellStart"/>
            <w:r w:rsidRPr="00322563">
              <w:rPr>
                <w:rFonts w:ascii="Arial Narrow" w:hAnsi="Arial Narrow" w:cs="Times New Roman"/>
                <w:sz w:val="20"/>
                <w:szCs w:val="20"/>
              </w:rPr>
              <w:t>Verudela</w:t>
            </w:r>
            <w:proofErr w:type="spellEnd"/>
            <w:r w:rsidRPr="00322563">
              <w:rPr>
                <w:rFonts w:ascii="Arial Narrow" w:hAnsi="Arial Narrow" w:cs="Times New Roman"/>
                <w:sz w:val="20"/>
                <w:szCs w:val="20"/>
              </w:rPr>
              <w:t xml:space="preserve"> i Zlatne stijene, </w:t>
            </w:r>
            <w:proofErr w:type="spellStart"/>
            <w:r w:rsidRPr="00322563">
              <w:rPr>
                <w:rFonts w:ascii="Arial Narrow" w:hAnsi="Arial Narrow" w:cs="Times New Roman"/>
                <w:sz w:val="20"/>
                <w:szCs w:val="20"/>
              </w:rPr>
              <w:t>Valkane</w:t>
            </w:r>
            <w:proofErr w:type="spellEnd"/>
            <w:r w:rsidRPr="00322563">
              <w:rPr>
                <w:rFonts w:ascii="Arial Narrow" w:hAnsi="Arial Narrow" w:cs="Times New Roman"/>
                <w:sz w:val="20"/>
                <w:szCs w:val="20"/>
              </w:rPr>
              <w:t xml:space="preserve"> i </w:t>
            </w:r>
            <w:proofErr w:type="spellStart"/>
            <w:r w:rsidRPr="00322563">
              <w:rPr>
                <w:rFonts w:ascii="Arial Narrow" w:hAnsi="Arial Narrow" w:cs="Times New Roman"/>
                <w:sz w:val="20"/>
                <w:szCs w:val="20"/>
              </w:rPr>
              <w:t>Stoja</w:t>
            </w:r>
            <w:proofErr w:type="spellEnd"/>
            <w:r w:rsidRPr="00322563">
              <w:rPr>
                <w:rFonts w:ascii="Arial Narrow" w:hAnsi="Arial Narrow" w:cs="Times New Roman"/>
                <w:sz w:val="20"/>
                <w:szCs w:val="20"/>
              </w:rPr>
              <w:t xml:space="preserve">. </w:t>
            </w:r>
          </w:p>
          <w:p w:rsidR="00322563" w:rsidRPr="00322563" w:rsidRDefault="00322563" w:rsidP="00322563">
            <w:pPr>
              <w:spacing w:after="0" w:line="240" w:lineRule="auto"/>
              <w:jc w:val="both"/>
              <w:rPr>
                <w:rFonts w:ascii="Arial Narrow" w:hAnsi="Arial Narrow" w:cs="Times New Roman"/>
                <w:sz w:val="20"/>
                <w:szCs w:val="20"/>
              </w:rPr>
            </w:pP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O svakoj koncesiji koja se bude željela dodijeliti u budućnosti, morat će se provesti javno savjetovanje (premda ta obaveza stoji u zakonu, Grad Pula se bezobrazno oglušio o tu odredbu</w:t>
            </w:r>
            <w:r w:rsidR="005A5449">
              <w:rPr>
                <w:rFonts w:ascii="Arial Narrow" w:hAnsi="Arial Narrow" w:cs="Times New Roman"/>
                <w:sz w:val="20"/>
                <w:szCs w:val="20"/>
              </w:rPr>
              <w:t xml:space="preserve"> </w:t>
            </w:r>
            <w:r w:rsidRPr="00322563">
              <w:rPr>
                <w:rFonts w:ascii="Arial Narrow" w:hAnsi="Arial Narrow" w:cs="Times New Roman"/>
                <w:sz w:val="20"/>
                <w:szCs w:val="20"/>
              </w:rPr>
              <w:t xml:space="preserve">u slučaju </w:t>
            </w:r>
            <w:proofErr w:type="spellStart"/>
            <w:r w:rsidRPr="00322563">
              <w:rPr>
                <w:rFonts w:ascii="Arial Narrow" w:hAnsi="Arial Narrow" w:cs="Times New Roman"/>
                <w:sz w:val="20"/>
                <w:szCs w:val="20"/>
              </w:rPr>
              <w:t>ski</w:t>
            </w:r>
            <w:proofErr w:type="spellEnd"/>
            <w:r w:rsidRPr="00322563">
              <w:rPr>
                <w:rFonts w:ascii="Arial Narrow" w:hAnsi="Arial Narrow" w:cs="Times New Roman"/>
                <w:sz w:val="20"/>
                <w:szCs w:val="20"/>
              </w:rPr>
              <w:t xml:space="preserve">-lifta na </w:t>
            </w:r>
            <w:proofErr w:type="spellStart"/>
            <w:r w:rsidRPr="00322563">
              <w:rPr>
                <w:rFonts w:ascii="Arial Narrow" w:hAnsi="Arial Narrow" w:cs="Times New Roman"/>
                <w:sz w:val="20"/>
                <w:szCs w:val="20"/>
              </w:rPr>
              <w:t>Valovinama</w:t>
            </w:r>
            <w:proofErr w:type="spellEnd"/>
            <w:r w:rsidRPr="00322563">
              <w:rPr>
                <w:rFonts w:ascii="Arial Narrow" w:hAnsi="Arial Narrow" w:cs="Times New Roman"/>
                <w:sz w:val="20"/>
                <w:szCs w:val="20"/>
              </w:rPr>
              <w:t xml:space="preserve"> i nije proveo javno savjetov</w:t>
            </w:r>
            <w:r w:rsidR="005A5449">
              <w:rPr>
                <w:rFonts w:ascii="Arial Narrow" w:hAnsi="Arial Narrow" w:cs="Times New Roman"/>
                <w:sz w:val="20"/>
                <w:szCs w:val="20"/>
              </w:rPr>
              <w:t>a</w:t>
            </w:r>
            <w:r w:rsidRPr="00322563">
              <w:rPr>
                <w:rFonts w:ascii="Arial Narrow" w:hAnsi="Arial Narrow" w:cs="Times New Roman"/>
                <w:sz w:val="20"/>
                <w:szCs w:val="20"/>
              </w:rPr>
              <w:t>nje). Na tim budućim pojedinačnim savjetovanjima neće biti moguće raspravljati o kumulativnim učincima za grad dodjele svih koncesija na plaže. I stoga držimo da to treba učiniti sada i</w:t>
            </w:r>
            <w:r w:rsidR="005A5449">
              <w:rPr>
                <w:rFonts w:ascii="Arial Narrow" w:hAnsi="Arial Narrow" w:cs="Times New Roman"/>
                <w:sz w:val="20"/>
                <w:szCs w:val="20"/>
              </w:rPr>
              <w:t xml:space="preserve"> </w:t>
            </w:r>
            <w:r w:rsidRPr="00322563">
              <w:rPr>
                <w:rFonts w:ascii="Arial Narrow" w:hAnsi="Arial Narrow" w:cs="Times New Roman"/>
                <w:sz w:val="20"/>
                <w:szCs w:val="20"/>
              </w:rPr>
              <w:t>omogućiti</w:t>
            </w:r>
            <w:r w:rsidR="005A5449">
              <w:rPr>
                <w:rFonts w:ascii="Arial Narrow" w:hAnsi="Arial Narrow" w:cs="Times New Roman"/>
                <w:sz w:val="20"/>
                <w:szCs w:val="20"/>
              </w:rPr>
              <w:t xml:space="preserve"> </w:t>
            </w:r>
            <w:r w:rsidRPr="00322563">
              <w:rPr>
                <w:rFonts w:ascii="Arial Narrow" w:hAnsi="Arial Narrow" w:cs="Times New Roman"/>
                <w:sz w:val="20"/>
                <w:szCs w:val="20"/>
              </w:rPr>
              <w:t>javnu raspravu o</w:t>
            </w:r>
            <w:r w:rsidR="005A5449">
              <w:rPr>
                <w:rFonts w:ascii="Arial Narrow" w:hAnsi="Arial Narrow" w:cs="Times New Roman"/>
                <w:sz w:val="20"/>
                <w:szCs w:val="20"/>
              </w:rPr>
              <w:t xml:space="preserve"> </w:t>
            </w:r>
            <w:r w:rsidRPr="00322563">
              <w:rPr>
                <w:rFonts w:ascii="Arial Narrow" w:hAnsi="Arial Narrow" w:cs="Times New Roman"/>
                <w:sz w:val="20"/>
                <w:szCs w:val="20"/>
              </w:rPr>
              <w:t>potrebi,</w:t>
            </w:r>
            <w:r w:rsidR="005A5449">
              <w:rPr>
                <w:rFonts w:ascii="Arial Narrow" w:hAnsi="Arial Narrow" w:cs="Times New Roman"/>
                <w:sz w:val="20"/>
                <w:szCs w:val="20"/>
              </w:rPr>
              <w:t xml:space="preserve"> </w:t>
            </w:r>
            <w:r w:rsidRPr="00322563">
              <w:rPr>
                <w:rFonts w:ascii="Arial Narrow" w:hAnsi="Arial Narrow" w:cs="Times New Roman"/>
                <w:sz w:val="20"/>
                <w:szCs w:val="20"/>
              </w:rPr>
              <w:t>smislu</w:t>
            </w:r>
            <w:r w:rsidR="005A5449">
              <w:rPr>
                <w:rFonts w:ascii="Arial Narrow" w:hAnsi="Arial Narrow" w:cs="Times New Roman"/>
                <w:sz w:val="20"/>
                <w:szCs w:val="20"/>
              </w:rPr>
              <w:t xml:space="preserve"> </w:t>
            </w:r>
            <w:r w:rsidRPr="00322563">
              <w:rPr>
                <w:rFonts w:ascii="Arial Narrow" w:hAnsi="Arial Narrow" w:cs="Times New Roman"/>
                <w:sz w:val="20"/>
                <w:szCs w:val="20"/>
              </w:rPr>
              <w:t>i</w:t>
            </w:r>
            <w:r w:rsidR="005A5449">
              <w:rPr>
                <w:rFonts w:ascii="Arial Narrow" w:hAnsi="Arial Narrow" w:cs="Times New Roman"/>
                <w:sz w:val="20"/>
                <w:szCs w:val="20"/>
              </w:rPr>
              <w:t xml:space="preserve"> </w:t>
            </w:r>
            <w:r w:rsidRPr="00322563">
              <w:rPr>
                <w:rFonts w:ascii="Arial Narrow" w:hAnsi="Arial Narrow" w:cs="Times New Roman"/>
                <w:sz w:val="20"/>
                <w:szCs w:val="20"/>
              </w:rPr>
              <w:t>posljedicama privatizacije</w:t>
            </w:r>
            <w:r w:rsidR="005A5449">
              <w:rPr>
                <w:rFonts w:ascii="Arial Narrow" w:hAnsi="Arial Narrow" w:cs="Times New Roman"/>
                <w:sz w:val="20"/>
                <w:szCs w:val="20"/>
              </w:rPr>
              <w:t xml:space="preserve"> </w:t>
            </w:r>
            <w:r w:rsidRPr="00322563">
              <w:rPr>
                <w:rFonts w:ascii="Arial Narrow" w:hAnsi="Arial Narrow" w:cs="Times New Roman"/>
                <w:sz w:val="20"/>
                <w:szCs w:val="20"/>
              </w:rPr>
              <w:t>pulskih</w:t>
            </w:r>
            <w:r w:rsidR="005A5449">
              <w:rPr>
                <w:rFonts w:ascii="Arial Narrow" w:hAnsi="Arial Narrow" w:cs="Times New Roman"/>
                <w:sz w:val="20"/>
                <w:szCs w:val="20"/>
              </w:rPr>
              <w:t xml:space="preserve"> </w:t>
            </w:r>
            <w:r w:rsidRPr="00322563">
              <w:rPr>
                <w:rFonts w:ascii="Arial Narrow" w:hAnsi="Arial Narrow" w:cs="Times New Roman"/>
                <w:sz w:val="20"/>
                <w:szCs w:val="20"/>
              </w:rPr>
              <w:t xml:space="preserve">plaža. </w:t>
            </w:r>
          </w:p>
          <w:p w:rsidR="00322563" w:rsidRPr="00322563" w:rsidRDefault="00322563" w:rsidP="00322563">
            <w:pPr>
              <w:spacing w:after="0" w:line="240" w:lineRule="auto"/>
              <w:jc w:val="both"/>
              <w:rPr>
                <w:rFonts w:ascii="Arial Narrow" w:hAnsi="Arial Narrow" w:cs="Times New Roman"/>
                <w:sz w:val="20"/>
                <w:szCs w:val="20"/>
              </w:rPr>
            </w:pP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ZELENA</w:t>
            </w:r>
            <w:r w:rsidR="005A5449">
              <w:rPr>
                <w:rFonts w:ascii="Arial Narrow" w:hAnsi="Arial Narrow" w:cs="Times New Roman"/>
                <w:sz w:val="20"/>
                <w:szCs w:val="20"/>
              </w:rPr>
              <w:t xml:space="preserve"> </w:t>
            </w:r>
            <w:r w:rsidRPr="00322563">
              <w:rPr>
                <w:rFonts w:ascii="Arial Narrow" w:hAnsi="Arial Narrow" w:cs="Times New Roman"/>
                <w:sz w:val="20"/>
                <w:szCs w:val="20"/>
              </w:rPr>
              <w:t>ISTRA</w:t>
            </w:r>
            <w:r w:rsidR="005A5449">
              <w:rPr>
                <w:rFonts w:ascii="Arial Narrow" w:hAnsi="Arial Narrow" w:cs="Times New Roman"/>
                <w:sz w:val="20"/>
                <w:szCs w:val="20"/>
              </w:rPr>
              <w:t xml:space="preserve"> </w:t>
            </w:r>
            <w:r w:rsidRPr="00322563">
              <w:rPr>
                <w:rFonts w:ascii="Arial Narrow" w:hAnsi="Arial Narrow" w:cs="Times New Roman"/>
                <w:sz w:val="20"/>
                <w:szCs w:val="20"/>
              </w:rPr>
              <w:t>PODNIJELA</w:t>
            </w:r>
            <w:r w:rsidR="005A5449">
              <w:rPr>
                <w:rFonts w:ascii="Arial Narrow" w:hAnsi="Arial Narrow" w:cs="Times New Roman"/>
                <w:sz w:val="20"/>
                <w:szCs w:val="20"/>
              </w:rPr>
              <w:t xml:space="preserve"> </w:t>
            </w:r>
            <w:r w:rsidRPr="00322563">
              <w:rPr>
                <w:rFonts w:ascii="Arial Narrow" w:hAnsi="Arial Narrow" w:cs="Times New Roman"/>
                <w:sz w:val="20"/>
                <w:szCs w:val="20"/>
              </w:rPr>
              <w:t>JE</w:t>
            </w:r>
            <w:r w:rsidR="005A5449">
              <w:rPr>
                <w:rFonts w:ascii="Arial Narrow" w:hAnsi="Arial Narrow" w:cs="Times New Roman"/>
                <w:sz w:val="20"/>
                <w:szCs w:val="20"/>
              </w:rPr>
              <w:t xml:space="preserve"> </w:t>
            </w:r>
            <w:r w:rsidRPr="00322563">
              <w:rPr>
                <w:rFonts w:ascii="Arial Narrow" w:hAnsi="Arial Narrow" w:cs="Times New Roman"/>
                <w:sz w:val="20"/>
                <w:szCs w:val="20"/>
              </w:rPr>
              <w:t>TU</w:t>
            </w:r>
            <w:r w:rsidR="005A5449">
              <w:rPr>
                <w:rFonts w:ascii="Arial Narrow" w:hAnsi="Arial Narrow" w:cs="Times New Roman"/>
                <w:sz w:val="20"/>
                <w:szCs w:val="20"/>
              </w:rPr>
              <w:t>Ž</w:t>
            </w:r>
            <w:r w:rsidRPr="00322563">
              <w:rPr>
                <w:rFonts w:ascii="Arial Narrow" w:hAnsi="Arial Narrow" w:cs="Arial Narrow"/>
                <w:sz w:val="20"/>
                <w:szCs w:val="20"/>
              </w:rPr>
              <w:t>BU</w:t>
            </w:r>
            <w:r w:rsidR="005A5449">
              <w:rPr>
                <w:rFonts w:ascii="Arial Narrow" w:hAnsi="Arial Narrow" w:cs="Arial Narrow"/>
                <w:sz w:val="20"/>
                <w:szCs w:val="20"/>
              </w:rPr>
              <w:t xml:space="preserve"> </w:t>
            </w:r>
            <w:r w:rsidRPr="00322563">
              <w:rPr>
                <w:rFonts w:ascii="Arial Narrow" w:hAnsi="Arial Narrow" w:cs="Arial Narrow"/>
                <w:sz w:val="20"/>
                <w:szCs w:val="20"/>
              </w:rPr>
              <w:t>VISOKOM</w:t>
            </w:r>
            <w:r w:rsidR="005A5449">
              <w:rPr>
                <w:rFonts w:ascii="Arial Narrow" w:hAnsi="Arial Narrow" w:cs="Arial Narrow"/>
                <w:sz w:val="20"/>
                <w:szCs w:val="20"/>
              </w:rPr>
              <w:t xml:space="preserve"> </w:t>
            </w:r>
            <w:r w:rsidRPr="00322563">
              <w:rPr>
                <w:rFonts w:ascii="Arial Narrow" w:hAnsi="Arial Narrow" w:cs="Arial Narrow"/>
                <w:sz w:val="20"/>
                <w:szCs w:val="20"/>
              </w:rPr>
              <w:t>UPRAVNOM</w:t>
            </w:r>
            <w:r w:rsidR="005A5449">
              <w:rPr>
                <w:rFonts w:ascii="Arial Narrow" w:hAnsi="Arial Narrow" w:cs="Arial Narrow"/>
                <w:sz w:val="20"/>
                <w:szCs w:val="20"/>
              </w:rPr>
              <w:t xml:space="preserve"> </w:t>
            </w:r>
            <w:r w:rsidRPr="00322563">
              <w:rPr>
                <w:rFonts w:ascii="Arial Narrow" w:hAnsi="Arial Narrow" w:cs="Arial Narrow"/>
                <w:sz w:val="20"/>
                <w:szCs w:val="20"/>
              </w:rPr>
              <w:t>SUDU</w:t>
            </w:r>
            <w:r w:rsidR="005A5449">
              <w:rPr>
                <w:rFonts w:ascii="Arial Narrow" w:hAnsi="Arial Narrow" w:cs="Arial Narrow"/>
                <w:sz w:val="20"/>
                <w:szCs w:val="20"/>
              </w:rPr>
              <w:t xml:space="preserve"> </w:t>
            </w:r>
            <w:r w:rsidRPr="00322563">
              <w:rPr>
                <w:rFonts w:ascii="Arial Narrow" w:hAnsi="Arial Narrow" w:cs="Arial Narrow"/>
                <w:sz w:val="20"/>
                <w:szCs w:val="20"/>
              </w:rPr>
              <w:t>ZBOG</w:t>
            </w:r>
            <w:r w:rsidR="005A5449">
              <w:rPr>
                <w:rFonts w:ascii="Arial Narrow" w:hAnsi="Arial Narrow" w:cs="Arial Narrow"/>
                <w:sz w:val="20"/>
                <w:szCs w:val="20"/>
              </w:rPr>
              <w:t xml:space="preserve"> </w:t>
            </w:r>
            <w:r w:rsidRPr="00322563">
              <w:rPr>
                <w:rFonts w:ascii="Arial Narrow" w:hAnsi="Arial Narrow" w:cs="Arial Narrow"/>
                <w:sz w:val="20"/>
                <w:szCs w:val="20"/>
              </w:rPr>
              <w:t>LA</w:t>
            </w:r>
            <w:r w:rsidR="005A5449">
              <w:rPr>
                <w:rFonts w:ascii="Arial Narrow" w:hAnsi="Arial Narrow" w:cs="Arial Narrow"/>
                <w:sz w:val="20"/>
                <w:szCs w:val="20"/>
              </w:rPr>
              <w:t>Ž</w:t>
            </w:r>
            <w:r w:rsidRPr="00322563">
              <w:rPr>
                <w:rFonts w:ascii="Arial Narrow" w:hAnsi="Arial Narrow" w:cs="Arial Narrow"/>
                <w:sz w:val="20"/>
                <w:szCs w:val="20"/>
              </w:rPr>
              <w:t xml:space="preserve">IRANJA </w:t>
            </w:r>
            <w:r w:rsidRPr="00322563">
              <w:rPr>
                <w:rFonts w:ascii="Arial Narrow" w:hAnsi="Arial Narrow" w:cs="Times New Roman"/>
                <w:sz w:val="20"/>
                <w:szCs w:val="20"/>
              </w:rPr>
              <w:t>ISHODA</w:t>
            </w:r>
            <w:r w:rsidR="005A5449">
              <w:rPr>
                <w:rFonts w:ascii="Arial Narrow" w:hAnsi="Arial Narrow" w:cs="Times New Roman"/>
                <w:sz w:val="20"/>
                <w:szCs w:val="20"/>
              </w:rPr>
              <w:t xml:space="preserve"> </w:t>
            </w:r>
            <w:r w:rsidRPr="00322563">
              <w:rPr>
                <w:rFonts w:ascii="Arial Narrow" w:hAnsi="Arial Narrow" w:cs="Times New Roman"/>
                <w:sz w:val="20"/>
                <w:szCs w:val="20"/>
              </w:rPr>
              <w:t>SAVJETOVANJA</w:t>
            </w:r>
            <w:r w:rsidR="005A5449">
              <w:rPr>
                <w:rFonts w:ascii="Arial Narrow" w:hAnsi="Arial Narrow" w:cs="Times New Roman"/>
                <w:sz w:val="20"/>
                <w:szCs w:val="20"/>
              </w:rPr>
              <w:t xml:space="preserve"> </w:t>
            </w:r>
            <w:r w:rsidRPr="00322563">
              <w:rPr>
                <w:rFonts w:ascii="Arial Narrow" w:hAnsi="Arial Narrow" w:cs="Times New Roman"/>
                <w:sz w:val="20"/>
                <w:szCs w:val="20"/>
              </w:rPr>
              <w:t>O</w:t>
            </w:r>
            <w:r w:rsidR="005A5449">
              <w:rPr>
                <w:rFonts w:ascii="Arial Narrow" w:hAnsi="Arial Narrow" w:cs="Times New Roman"/>
                <w:sz w:val="20"/>
                <w:szCs w:val="20"/>
              </w:rPr>
              <w:t xml:space="preserve"> </w:t>
            </w:r>
            <w:r w:rsidRPr="00322563">
              <w:rPr>
                <w:rFonts w:ascii="Arial Narrow" w:hAnsi="Arial Narrow" w:cs="Times New Roman"/>
                <w:sz w:val="20"/>
                <w:szCs w:val="20"/>
              </w:rPr>
              <w:t>PLANU</w:t>
            </w:r>
            <w:r w:rsidR="005A5449">
              <w:rPr>
                <w:rFonts w:ascii="Arial Narrow" w:hAnsi="Arial Narrow" w:cs="Times New Roman"/>
                <w:sz w:val="20"/>
                <w:szCs w:val="20"/>
              </w:rPr>
              <w:t xml:space="preserve"> </w:t>
            </w:r>
            <w:r w:rsidRPr="00322563">
              <w:rPr>
                <w:rFonts w:ascii="Arial Narrow" w:hAnsi="Arial Narrow" w:cs="Times New Roman"/>
                <w:sz w:val="20"/>
                <w:szCs w:val="20"/>
              </w:rPr>
              <w:t>DAVANJA</w:t>
            </w:r>
            <w:r w:rsidR="005A5449">
              <w:rPr>
                <w:rFonts w:ascii="Arial Narrow" w:hAnsi="Arial Narrow" w:cs="Times New Roman"/>
                <w:sz w:val="20"/>
                <w:szCs w:val="20"/>
              </w:rPr>
              <w:t xml:space="preserve"> </w:t>
            </w:r>
            <w:r w:rsidRPr="00322563">
              <w:rPr>
                <w:rFonts w:ascii="Arial Narrow" w:hAnsi="Arial Narrow" w:cs="Times New Roman"/>
                <w:sz w:val="20"/>
                <w:szCs w:val="20"/>
              </w:rPr>
              <w:t>KONCESIJA</w:t>
            </w:r>
            <w:r w:rsidR="005A5449">
              <w:rPr>
                <w:rFonts w:ascii="Arial Narrow" w:hAnsi="Arial Narrow" w:cs="Times New Roman"/>
                <w:sz w:val="20"/>
                <w:szCs w:val="20"/>
              </w:rPr>
              <w:t xml:space="preserve"> </w:t>
            </w:r>
            <w:r w:rsidRPr="00322563">
              <w:rPr>
                <w:rFonts w:ascii="Arial Narrow" w:hAnsi="Arial Narrow" w:cs="Times New Roman"/>
                <w:sz w:val="20"/>
                <w:szCs w:val="20"/>
              </w:rPr>
              <w:t>GRADA</w:t>
            </w:r>
            <w:r w:rsidR="005A5449">
              <w:rPr>
                <w:rFonts w:ascii="Arial Narrow" w:hAnsi="Arial Narrow" w:cs="Times New Roman"/>
                <w:sz w:val="20"/>
                <w:szCs w:val="20"/>
              </w:rPr>
              <w:t xml:space="preserve"> </w:t>
            </w:r>
            <w:r w:rsidRPr="00322563">
              <w:rPr>
                <w:rFonts w:ascii="Arial Narrow" w:hAnsi="Arial Narrow" w:cs="Times New Roman"/>
                <w:sz w:val="20"/>
                <w:szCs w:val="20"/>
              </w:rPr>
              <w:t>PULE</w:t>
            </w:r>
            <w:r w:rsidR="005A5449">
              <w:rPr>
                <w:rFonts w:ascii="Arial Narrow" w:hAnsi="Arial Narrow" w:cs="Times New Roman"/>
                <w:sz w:val="20"/>
                <w:szCs w:val="20"/>
              </w:rPr>
              <w:t xml:space="preserve"> </w:t>
            </w:r>
            <w:r w:rsidRPr="00322563">
              <w:rPr>
                <w:rFonts w:ascii="Arial Narrow" w:hAnsi="Arial Narrow" w:cs="Times New Roman"/>
                <w:sz w:val="20"/>
                <w:szCs w:val="20"/>
              </w:rPr>
              <w:t>ZA</w:t>
            </w:r>
            <w:r w:rsidR="005A5449">
              <w:rPr>
                <w:rFonts w:ascii="Arial Narrow" w:hAnsi="Arial Narrow" w:cs="Times New Roman"/>
                <w:sz w:val="20"/>
                <w:szCs w:val="20"/>
              </w:rPr>
              <w:t xml:space="preserve"> </w:t>
            </w:r>
            <w:r w:rsidRPr="00322563">
              <w:rPr>
                <w:rFonts w:ascii="Arial Narrow" w:hAnsi="Arial Narrow" w:cs="Times New Roman"/>
                <w:sz w:val="20"/>
                <w:szCs w:val="20"/>
              </w:rPr>
              <w:t xml:space="preserve">2020. </w:t>
            </w:r>
          </w:p>
          <w:p w:rsidR="00322563" w:rsidRPr="00322563" w:rsidRDefault="00322563" w:rsidP="00322563">
            <w:pPr>
              <w:spacing w:after="0" w:line="240" w:lineRule="auto"/>
              <w:jc w:val="both"/>
              <w:rPr>
                <w:rFonts w:ascii="Arial Narrow" w:hAnsi="Arial Narrow" w:cs="Times New Roman"/>
                <w:sz w:val="20"/>
                <w:szCs w:val="20"/>
              </w:rPr>
            </w:pP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Zelena Istra je Povjereniku za informiranje 7. siječnja 2020. prijavila Grad Pulu zbog falsificiranja Izvješća o provedenom savjetovanju za Plan davanja koncesija za 2020. Gradsko vijeće Grada Pule je</w:t>
            </w:r>
            <w:r w:rsidR="005A5449">
              <w:rPr>
                <w:rFonts w:ascii="Arial Narrow" w:hAnsi="Arial Narrow" w:cs="Times New Roman"/>
                <w:sz w:val="20"/>
                <w:szCs w:val="20"/>
              </w:rPr>
              <w:t xml:space="preserve"> </w:t>
            </w:r>
            <w:r w:rsidRPr="00322563">
              <w:rPr>
                <w:rFonts w:ascii="Arial Narrow" w:hAnsi="Arial Narrow" w:cs="Times New Roman"/>
                <w:sz w:val="20"/>
                <w:szCs w:val="20"/>
              </w:rPr>
              <w:t>na sjednici</w:t>
            </w:r>
            <w:r w:rsidR="005A5449">
              <w:rPr>
                <w:rFonts w:ascii="Arial Narrow" w:hAnsi="Arial Narrow" w:cs="Times New Roman"/>
                <w:sz w:val="20"/>
                <w:szCs w:val="20"/>
              </w:rPr>
              <w:t xml:space="preserve"> </w:t>
            </w:r>
            <w:r w:rsidRPr="00322563">
              <w:rPr>
                <w:rFonts w:ascii="Arial Narrow" w:hAnsi="Arial Narrow" w:cs="Times New Roman"/>
                <w:sz w:val="20"/>
                <w:szCs w:val="20"/>
              </w:rPr>
              <w:t>12.</w:t>
            </w:r>
            <w:r w:rsidR="005A5449">
              <w:rPr>
                <w:rFonts w:ascii="Arial Narrow" w:hAnsi="Arial Narrow" w:cs="Times New Roman"/>
                <w:sz w:val="20"/>
                <w:szCs w:val="20"/>
              </w:rPr>
              <w:t xml:space="preserve">12. </w:t>
            </w:r>
            <w:r w:rsidRPr="00322563">
              <w:rPr>
                <w:rFonts w:ascii="Arial Narrow" w:hAnsi="Arial Narrow" w:cs="Times New Roman"/>
                <w:sz w:val="20"/>
                <w:szCs w:val="20"/>
              </w:rPr>
              <w:t>2019. usvojilo</w:t>
            </w:r>
            <w:r w:rsidR="005A5449">
              <w:rPr>
                <w:rFonts w:ascii="Arial Narrow" w:hAnsi="Arial Narrow" w:cs="Times New Roman"/>
                <w:sz w:val="20"/>
                <w:szCs w:val="20"/>
              </w:rPr>
              <w:t xml:space="preserve"> </w:t>
            </w:r>
            <w:r w:rsidRPr="00322563">
              <w:rPr>
                <w:rFonts w:ascii="Arial Narrow" w:hAnsi="Arial Narrow" w:cs="Times New Roman"/>
                <w:sz w:val="20"/>
                <w:szCs w:val="20"/>
              </w:rPr>
              <w:t>Plan davanja koncesija za</w:t>
            </w:r>
            <w:r w:rsidR="005A5449">
              <w:rPr>
                <w:rFonts w:ascii="Arial Narrow" w:hAnsi="Arial Narrow" w:cs="Times New Roman"/>
                <w:sz w:val="20"/>
                <w:szCs w:val="20"/>
              </w:rPr>
              <w:t xml:space="preserve"> </w:t>
            </w:r>
            <w:r w:rsidRPr="00322563">
              <w:rPr>
                <w:rFonts w:ascii="Arial Narrow" w:hAnsi="Arial Narrow" w:cs="Times New Roman"/>
                <w:sz w:val="20"/>
                <w:szCs w:val="20"/>
              </w:rPr>
              <w:t>2020. na temelju</w:t>
            </w:r>
            <w:r w:rsidR="005A5449">
              <w:rPr>
                <w:rFonts w:ascii="Arial Narrow" w:hAnsi="Arial Narrow" w:cs="Times New Roman"/>
                <w:sz w:val="20"/>
                <w:szCs w:val="20"/>
              </w:rPr>
              <w:t xml:space="preserve"> </w:t>
            </w:r>
            <w:r w:rsidRPr="00322563">
              <w:rPr>
                <w:rFonts w:ascii="Arial Narrow" w:hAnsi="Arial Narrow" w:cs="Times New Roman"/>
                <w:sz w:val="20"/>
                <w:szCs w:val="20"/>
              </w:rPr>
              <w:t>falsificiranog</w:t>
            </w:r>
            <w:r w:rsidR="005A5449">
              <w:rPr>
                <w:rFonts w:ascii="Arial Narrow" w:hAnsi="Arial Narrow" w:cs="Times New Roman"/>
                <w:sz w:val="20"/>
                <w:szCs w:val="20"/>
              </w:rPr>
              <w:t xml:space="preserve"> </w:t>
            </w:r>
            <w:r w:rsidRPr="00322563">
              <w:rPr>
                <w:rFonts w:ascii="Arial Narrow" w:hAnsi="Arial Narrow" w:cs="Times New Roman"/>
                <w:sz w:val="20"/>
                <w:szCs w:val="20"/>
              </w:rPr>
              <w:t>Izvješća o</w:t>
            </w:r>
            <w:r w:rsidR="005A5449">
              <w:rPr>
                <w:rFonts w:ascii="Arial Narrow" w:hAnsi="Arial Narrow" w:cs="Times New Roman"/>
                <w:sz w:val="20"/>
                <w:szCs w:val="20"/>
              </w:rPr>
              <w:t xml:space="preserve"> </w:t>
            </w:r>
            <w:r w:rsidRPr="00322563">
              <w:rPr>
                <w:rFonts w:ascii="Arial Narrow" w:hAnsi="Arial Narrow" w:cs="Times New Roman"/>
                <w:sz w:val="20"/>
                <w:szCs w:val="20"/>
              </w:rPr>
              <w:t xml:space="preserve">provedenom savjetovanju (barem 123 primjedbe građana nisu evidentirane). Zelena Istra je Grad Pulu najprije prijavila Povjereniku za informiranje, te na temelju njegovog zaključka i preporuke uputila tužbu Visokom upravnom sudu. Stanje u hrvatskom pravosuđu ide na ruku Gradu Puli jer odgovor na tužbu nismo još primili. </w:t>
            </w:r>
          </w:p>
          <w:p w:rsidR="00322563" w:rsidRPr="00322563" w:rsidRDefault="00322563" w:rsidP="00322563">
            <w:pPr>
              <w:spacing w:after="0" w:line="240" w:lineRule="auto"/>
              <w:jc w:val="both"/>
              <w:rPr>
                <w:rFonts w:ascii="Arial Narrow" w:hAnsi="Arial Narrow" w:cs="Times New Roman"/>
                <w:sz w:val="20"/>
                <w:szCs w:val="20"/>
              </w:rPr>
            </w:pP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br w:type="page"/>
            </w: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Na brojne komentare građana Pule tipa “protivim se privatizaciji plaža”, Grad je često odgovarao da zakon nameće obavezu izrade Plan davanja koncesija -što nije istina. Ako se koncesije ne planiraju, kao što predlažu građani, ne treba ni Plan davanja koncesija. Grad na sve primjedbe odgovara kako će se o “svakom konkretnom prijedlogu” koncesije svi zainteresirani moći izjasniti (ponašajući se kao da ne znamo da u SVIM slučajevima javnih rasprava sve primjedbe građana odbijaju). pa ovdje ponavljamo ono što su građani Pule poručili gradskoj upravi”: “Smatram da pulske plaže trebaju ostati gradske i građanske, a ne poluprivatne i bez nadzora. Definitivno smatram da ih treba urediti novcem iz proračuna te i sav prihod vratiti u proračun. Ne dolazi u obzir nikakva koncesija. Plaže pripadaju gradu i građanima u svakom smislu. Bez ograda, zabrana prilaska i ostalih smicalica. Unapređenje ponude možete i sami smisliti, imate stručne ljude u uredu namijenjen tome. Ili nemate? Ako nemate, otpustite ih. Pozovite građane, studente arhitekture, umjetnike i sve koji žele dati prijedloge uređenja.” </w:t>
            </w:r>
          </w:p>
          <w:p w:rsidR="00322563" w:rsidRPr="00322563" w:rsidRDefault="00322563" w:rsidP="00322563">
            <w:pPr>
              <w:spacing w:after="0" w:line="240" w:lineRule="auto"/>
              <w:jc w:val="both"/>
              <w:rPr>
                <w:rFonts w:ascii="Arial Narrow" w:hAnsi="Arial Narrow" w:cs="Times New Roman"/>
                <w:sz w:val="20"/>
                <w:szCs w:val="20"/>
              </w:rPr>
            </w:pP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Koristimo</w:t>
            </w:r>
            <w:r w:rsidR="005A5449">
              <w:rPr>
                <w:rFonts w:ascii="Arial Narrow" w:hAnsi="Arial Narrow" w:cs="Times New Roman"/>
                <w:sz w:val="20"/>
                <w:szCs w:val="20"/>
              </w:rPr>
              <w:t xml:space="preserve"> </w:t>
            </w:r>
            <w:r w:rsidRPr="00322563">
              <w:rPr>
                <w:rFonts w:ascii="Arial Narrow" w:hAnsi="Arial Narrow" w:cs="Times New Roman"/>
                <w:sz w:val="20"/>
                <w:szCs w:val="20"/>
              </w:rPr>
              <w:t>ovu priliku da još</w:t>
            </w:r>
            <w:r w:rsidR="005A5449">
              <w:rPr>
                <w:rFonts w:ascii="Arial Narrow" w:hAnsi="Arial Narrow" w:cs="Times New Roman"/>
                <w:sz w:val="20"/>
                <w:szCs w:val="20"/>
              </w:rPr>
              <w:t xml:space="preserve"> </w:t>
            </w:r>
            <w:r w:rsidRPr="00322563">
              <w:rPr>
                <w:rFonts w:ascii="Arial Narrow" w:hAnsi="Arial Narrow" w:cs="Times New Roman"/>
                <w:sz w:val="20"/>
                <w:szCs w:val="20"/>
              </w:rPr>
              <w:t>jednom ponovimo</w:t>
            </w:r>
            <w:r w:rsidR="005A5449">
              <w:rPr>
                <w:rFonts w:ascii="Arial Narrow" w:hAnsi="Arial Narrow" w:cs="Times New Roman"/>
                <w:sz w:val="20"/>
                <w:szCs w:val="20"/>
              </w:rPr>
              <w:t xml:space="preserve"> </w:t>
            </w:r>
            <w:r w:rsidRPr="00322563">
              <w:rPr>
                <w:rFonts w:ascii="Arial Narrow" w:hAnsi="Arial Narrow" w:cs="Times New Roman"/>
                <w:sz w:val="20"/>
                <w:szCs w:val="20"/>
              </w:rPr>
              <w:t>kako</w:t>
            </w:r>
            <w:r w:rsidR="005A5449">
              <w:rPr>
                <w:rFonts w:ascii="Arial Narrow" w:hAnsi="Arial Narrow" w:cs="Times New Roman"/>
                <w:sz w:val="20"/>
                <w:szCs w:val="20"/>
              </w:rPr>
              <w:t xml:space="preserve"> </w:t>
            </w:r>
            <w:r w:rsidRPr="00322563">
              <w:rPr>
                <w:rFonts w:ascii="Arial Narrow" w:hAnsi="Arial Narrow" w:cs="Times New Roman"/>
                <w:sz w:val="20"/>
                <w:szCs w:val="20"/>
              </w:rPr>
              <w:t>je neodgovorno i</w:t>
            </w:r>
            <w:r w:rsidR="005A5449">
              <w:rPr>
                <w:rFonts w:ascii="Arial Narrow" w:hAnsi="Arial Narrow" w:cs="Times New Roman"/>
                <w:sz w:val="20"/>
                <w:szCs w:val="20"/>
              </w:rPr>
              <w:t xml:space="preserve"> </w:t>
            </w:r>
            <w:r w:rsidRPr="00322563">
              <w:rPr>
                <w:rFonts w:ascii="Arial Narrow" w:hAnsi="Arial Narrow" w:cs="Times New Roman"/>
                <w:sz w:val="20"/>
                <w:szCs w:val="20"/>
              </w:rPr>
              <w:t xml:space="preserve">nerazumno </w:t>
            </w:r>
            <w:r w:rsidR="005A5449">
              <w:rPr>
                <w:rFonts w:ascii="Arial Narrow" w:hAnsi="Arial Narrow" w:cs="Times New Roman"/>
                <w:sz w:val="20"/>
                <w:szCs w:val="20"/>
              </w:rPr>
              <w:t>d</w:t>
            </w:r>
            <w:r w:rsidRPr="00322563">
              <w:rPr>
                <w:rFonts w:ascii="Arial Narrow" w:hAnsi="Arial Narrow" w:cs="Times New Roman"/>
                <w:sz w:val="20"/>
                <w:szCs w:val="20"/>
              </w:rPr>
              <w:t>onositi</w:t>
            </w:r>
            <w:r w:rsidR="005A5449">
              <w:rPr>
                <w:rFonts w:ascii="Arial Narrow" w:hAnsi="Arial Narrow" w:cs="Times New Roman"/>
                <w:sz w:val="20"/>
                <w:szCs w:val="20"/>
              </w:rPr>
              <w:t xml:space="preserve"> </w:t>
            </w:r>
            <w:r w:rsidRPr="00322563">
              <w:rPr>
                <w:rFonts w:ascii="Arial Narrow" w:hAnsi="Arial Narrow" w:cs="Times New Roman"/>
                <w:sz w:val="20"/>
                <w:szCs w:val="20"/>
              </w:rPr>
              <w:t>plan</w:t>
            </w:r>
            <w:r w:rsidR="005A5449">
              <w:rPr>
                <w:rFonts w:ascii="Arial Narrow" w:hAnsi="Arial Narrow" w:cs="Times New Roman"/>
                <w:sz w:val="20"/>
                <w:szCs w:val="20"/>
              </w:rPr>
              <w:t xml:space="preserve"> </w:t>
            </w:r>
            <w:r w:rsidRPr="00322563">
              <w:rPr>
                <w:rFonts w:ascii="Arial Narrow" w:hAnsi="Arial Narrow" w:cs="Times New Roman"/>
                <w:sz w:val="20"/>
                <w:szCs w:val="20"/>
              </w:rPr>
              <w:t>davanja koncesija</w:t>
            </w:r>
            <w:r w:rsidR="005A5449">
              <w:rPr>
                <w:rFonts w:ascii="Arial Narrow" w:hAnsi="Arial Narrow" w:cs="Times New Roman"/>
                <w:sz w:val="20"/>
                <w:szCs w:val="20"/>
              </w:rPr>
              <w:t xml:space="preserve"> </w:t>
            </w:r>
            <w:r w:rsidRPr="00322563">
              <w:rPr>
                <w:rFonts w:ascii="Arial Narrow" w:hAnsi="Arial Narrow" w:cs="Times New Roman"/>
                <w:sz w:val="20"/>
                <w:szCs w:val="20"/>
              </w:rPr>
              <w:t>bez</w:t>
            </w:r>
            <w:r w:rsidR="005A5449">
              <w:rPr>
                <w:rFonts w:ascii="Arial Narrow" w:hAnsi="Arial Narrow" w:cs="Times New Roman"/>
                <w:sz w:val="20"/>
                <w:szCs w:val="20"/>
              </w:rPr>
              <w:t xml:space="preserve"> </w:t>
            </w:r>
            <w:r w:rsidRPr="00322563">
              <w:rPr>
                <w:rFonts w:ascii="Arial Narrow" w:hAnsi="Arial Narrow" w:cs="Times New Roman"/>
                <w:sz w:val="20"/>
                <w:szCs w:val="20"/>
              </w:rPr>
              <w:t>prethodno izrađene studije</w:t>
            </w:r>
            <w:r w:rsidR="005A5449">
              <w:rPr>
                <w:rFonts w:ascii="Arial Narrow" w:hAnsi="Arial Narrow" w:cs="Times New Roman"/>
                <w:sz w:val="20"/>
                <w:szCs w:val="20"/>
              </w:rPr>
              <w:t xml:space="preserve"> </w:t>
            </w:r>
            <w:r w:rsidRPr="00322563">
              <w:rPr>
                <w:rFonts w:ascii="Arial Narrow" w:hAnsi="Arial Narrow" w:cs="Times New Roman"/>
                <w:sz w:val="20"/>
                <w:szCs w:val="20"/>
              </w:rPr>
              <w:t>opravdanosti</w:t>
            </w:r>
            <w:r w:rsidR="005A5449">
              <w:rPr>
                <w:rFonts w:ascii="Arial Narrow" w:hAnsi="Arial Narrow" w:cs="Times New Roman"/>
                <w:sz w:val="20"/>
                <w:szCs w:val="20"/>
              </w:rPr>
              <w:t xml:space="preserve"> </w:t>
            </w:r>
            <w:r w:rsidRPr="00322563">
              <w:rPr>
                <w:rFonts w:ascii="Arial Narrow" w:hAnsi="Arial Narrow" w:cs="Times New Roman"/>
                <w:sz w:val="20"/>
                <w:szCs w:val="20"/>
              </w:rPr>
              <w:t xml:space="preserve">davanja koncesija. </w:t>
            </w:r>
          </w:p>
          <w:p w:rsidR="00322563" w:rsidRPr="00322563" w:rsidRDefault="00322563" w:rsidP="00322563">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Studijom opravdanosti trebalo bi razmotriti društvene učinke davanja u koncesiju svih plaža koje su navedene u trogodišnjem planu davanja koncesija, koji uključuje i sve plaže na Zlatnim </w:t>
            </w:r>
          </w:p>
          <w:p w:rsidR="000060B2" w:rsidRPr="00360EBE" w:rsidRDefault="00322563" w:rsidP="00061F79">
            <w:pPr>
              <w:spacing w:after="0" w:line="240" w:lineRule="auto"/>
              <w:jc w:val="both"/>
              <w:rPr>
                <w:rFonts w:ascii="Arial Narrow" w:hAnsi="Arial Narrow" w:cs="Times New Roman"/>
                <w:sz w:val="20"/>
                <w:szCs w:val="20"/>
              </w:rPr>
            </w:pPr>
            <w:r w:rsidRPr="00322563">
              <w:rPr>
                <w:rFonts w:ascii="Arial Narrow" w:hAnsi="Arial Narrow" w:cs="Times New Roman"/>
                <w:sz w:val="20"/>
                <w:szCs w:val="20"/>
              </w:rPr>
              <w:t xml:space="preserve">stijenama i sve plaže na </w:t>
            </w:r>
            <w:proofErr w:type="spellStart"/>
            <w:r w:rsidRPr="00322563">
              <w:rPr>
                <w:rFonts w:ascii="Arial Narrow" w:hAnsi="Arial Narrow" w:cs="Times New Roman"/>
                <w:sz w:val="20"/>
                <w:szCs w:val="20"/>
              </w:rPr>
              <w:t>Verudeli</w:t>
            </w:r>
            <w:proofErr w:type="spellEnd"/>
            <w:r w:rsidRPr="00322563">
              <w:rPr>
                <w:rFonts w:ascii="Arial Narrow" w:hAnsi="Arial Narrow" w:cs="Times New Roman"/>
                <w:sz w:val="20"/>
                <w:szCs w:val="20"/>
              </w:rPr>
              <w:t xml:space="preserve">. U studiji opravdanosti davanja koncesije obrazlaže se javni interes, svrha i cilj koncesije, utjecaj na okoliš i zaštitu prirode, kao i financijski učinci koncesije na državni proračun Republike Hrvatske, proračun </w:t>
            </w:r>
            <w:r w:rsidR="00061F79">
              <w:rPr>
                <w:rFonts w:ascii="Arial Narrow" w:hAnsi="Arial Narrow" w:cs="Times New Roman"/>
                <w:sz w:val="20"/>
                <w:szCs w:val="20"/>
              </w:rPr>
              <w:t>Ž</w:t>
            </w:r>
            <w:r w:rsidRPr="00322563">
              <w:rPr>
                <w:rFonts w:ascii="Arial Narrow" w:hAnsi="Arial Narrow" w:cs="Arial Narrow"/>
                <w:sz w:val="20"/>
                <w:szCs w:val="20"/>
              </w:rPr>
              <w:t xml:space="preserve">upanije i proračun Grada Pule. Gradu Puli </w:t>
            </w:r>
            <w:r w:rsidRPr="00322563">
              <w:rPr>
                <w:rFonts w:ascii="Arial Narrow" w:hAnsi="Arial Narrow" w:cs="Times New Roman"/>
                <w:sz w:val="20"/>
                <w:szCs w:val="20"/>
              </w:rPr>
              <w:t>pripala bi, planom Grada, samo trećina prihoda. Studija opravdanosti mora sadržavati i usporednu analizu predloženog i dosadašnjeg načina korištenja lokacija, kako bi se mogla procijeniti opravdanost koncesija.</w:t>
            </w:r>
          </w:p>
        </w:tc>
        <w:tc>
          <w:tcPr>
            <w:tcW w:w="3827" w:type="dxa"/>
          </w:tcPr>
          <w:p w:rsidR="000060B2" w:rsidRPr="000F5C2E" w:rsidRDefault="000060B2" w:rsidP="000060B2">
            <w:pPr>
              <w:spacing w:after="0" w:line="240" w:lineRule="auto"/>
              <w:rPr>
                <w:rFonts w:ascii="Arial Narrow" w:hAnsi="Arial Narrow" w:cs="Times New Roman"/>
                <w:noProof/>
                <w:sz w:val="20"/>
                <w:szCs w:val="20"/>
              </w:rPr>
            </w:pPr>
            <w:r w:rsidRPr="000F5C2E">
              <w:rPr>
                <w:rFonts w:ascii="Arial Narrow" w:hAnsi="Arial Narrow" w:cs="Times New Roman"/>
                <w:noProof/>
                <w:sz w:val="20"/>
                <w:szCs w:val="20"/>
              </w:rPr>
              <w:lastRenderedPageBreak/>
              <w:t>NE PRIHVAĆA SE</w:t>
            </w:r>
          </w:p>
          <w:p w:rsidR="00061F79" w:rsidRDefault="00061F79" w:rsidP="000060B2">
            <w:pPr>
              <w:spacing w:after="0" w:line="240" w:lineRule="auto"/>
              <w:jc w:val="both"/>
              <w:rPr>
                <w:rFonts w:ascii="Arial Narrow" w:hAnsi="Arial Narrow" w:cs="Times New Roman"/>
                <w:noProof/>
                <w:sz w:val="20"/>
                <w:szCs w:val="20"/>
              </w:rPr>
            </w:pPr>
          </w:p>
          <w:p w:rsidR="000060B2" w:rsidRPr="000F5C2E" w:rsidRDefault="000060B2" w:rsidP="000060B2">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Donošenje Plana, koji je predmet ovoga savjetovanja zakonska je obveza Grada Pule, sukladno Zakonu o koncesijama. </w:t>
            </w:r>
          </w:p>
          <w:p w:rsidR="00061F79" w:rsidRDefault="00061F79" w:rsidP="000060B2">
            <w:pPr>
              <w:spacing w:after="0" w:line="240" w:lineRule="auto"/>
              <w:jc w:val="both"/>
              <w:rPr>
                <w:rFonts w:ascii="Arial Narrow" w:hAnsi="Arial Narrow" w:cs="Times New Roman"/>
                <w:noProof/>
                <w:sz w:val="20"/>
                <w:szCs w:val="20"/>
              </w:rPr>
            </w:pPr>
          </w:p>
          <w:p w:rsidR="000060B2" w:rsidRPr="000F5C2E" w:rsidRDefault="000060B2" w:rsidP="000060B2">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Temeljem odredbi istoga Zakona, usvojeni je Plan, najkasnije do kraja siječnja tekuće godine, potrebno dostaviti nadležnom Ministarstvu financija.</w:t>
            </w:r>
          </w:p>
          <w:p w:rsidR="00061F79" w:rsidRDefault="00061F79" w:rsidP="000060B2">
            <w:pPr>
              <w:spacing w:after="0" w:line="240" w:lineRule="auto"/>
              <w:jc w:val="both"/>
              <w:rPr>
                <w:rFonts w:ascii="Arial Narrow" w:hAnsi="Arial Narrow" w:cs="Times New Roman"/>
                <w:noProof/>
                <w:sz w:val="20"/>
                <w:szCs w:val="20"/>
              </w:rPr>
            </w:pPr>
          </w:p>
          <w:p w:rsidR="000060B2" w:rsidRPr="000F5C2E" w:rsidRDefault="000060B2" w:rsidP="000060B2">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Treba istaknuti kako se predmetnim Planom predviđa samo mogućnost davanja koncesija na navedenim lokacijama, ali i jasan uvjet da se plaže ne mogu i ne smiju ograđivati. Iz toga, jasno i nedvosmisleno proizlazi i slobodan ulazak na plaže, bez ikakve naplate. Hoće li navedene lokacije doista i biti dane u koncesiju, u kojoj </w:t>
            </w:r>
            <w:r w:rsidRPr="000F5C2E">
              <w:rPr>
                <w:rFonts w:ascii="Arial Narrow" w:hAnsi="Arial Narrow" w:cs="Times New Roman"/>
                <w:noProof/>
                <w:sz w:val="20"/>
                <w:szCs w:val="20"/>
              </w:rPr>
              <w:lastRenderedPageBreak/>
              <w:t>površini i pod kojim uvjetima, odlučivat će posebnim odlukama Gradsko vijeće Grada Pule, nakon prethodno provedenog savjetovanja sa zainteresiranom javnošću za svaku pojedinačnu lokaciju tijekom kojega će se organizirati i javno izlaganje. O tome će se  pravovremeno i na odgovarajući način informirati zainteresirana javnost.</w:t>
            </w:r>
          </w:p>
          <w:p w:rsidR="00061F79" w:rsidRDefault="00061F79" w:rsidP="000060B2">
            <w:pPr>
              <w:spacing w:after="0" w:line="240" w:lineRule="auto"/>
              <w:jc w:val="both"/>
              <w:rPr>
                <w:rFonts w:ascii="Arial Narrow" w:hAnsi="Arial Narrow" w:cs="Times New Roman"/>
                <w:noProof/>
                <w:sz w:val="20"/>
                <w:szCs w:val="20"/>
              </w:rPr>
            </w:pPr>
          </w:p>
          <w:p w:rsidR="000060B2" w:rsidRPr="000F5C2E" w:rsidRDefault="000060B2" w:rsidP="000060B2">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Navedenom postupku, kako je to i određeno Zakonom o koncesijama, prethodi provedba pripremnih radnji za davanje koncesije koje podrazumijevaju, između ostalog, i izradu studije opravdanosti davanja koncesije ili analize davanja koncesije, procjenu vrijednosti koncesije, izradu dokumentacije i slično.</w:t>
            </w:r>
          </w:p>
          <w:p w:rsidR="00061F79" w:rsidRDefault="00061F79" w:rsidP="000060B2">
            <w:pPr>
              <w:spacing w:after="0" w:line="240" w:lineRule="auto"/>
              <w:rPr>
                <w:rFonts w:ascii="Arial Narrow" w:hAnsi="Arial Narrow" w:cs="Times New Roman"/>
                <w:noProof/>
                <w:sz w:val="20"/>
                <w:szCs w:val="20"/>
              </w:rPr>
            </w:pPr>
          </w:p>
          <w:p w:rsidR="000060B2" w:rsidRDefault="000060B2" w:rsidP="00061F79">
            <w:pPr>
              <w:spacing w:after="0" w:line="240" w:lineRule="auto"/>
              <w:rPr>
                <w:rFonts w:ascii="Arial Narrow" w:hAnsi="Arial Narrow" w:cs="Times New Roman"/>
                <w:noProof/>
                <w:sz w:val="20"/>
                <w:szCs w:val="20"/>
              </w:rPr>
            </w:pPr>
            <w:r w:rsidRPr="000F5C2E">
              <w:rPr>
                <w:rFonts w:ascii="Arial Narrow" w:hAnsi="Arial Narrow" w:cs="Times New Roman"/>
                <w:noProof/>
                <w:sz w:val="20"/>
                <w:szCs w:val="20"/>
              </w:rPr>
              <w:t xml:space="preserve">Provedba navedenih aktivnosti omogućit će argumentirano utvrđivanje ključnih parametara potencijalnog davanja pojedine lokacije u </w:t>
            </w:r>
            <w:r w:rsidR="00061F79">
              <w:rPr>
                <w:rFonts w:ascii="Arial Narrow" w:hAnsi="Arial Narrow" w:cs="Times New Roman"/>
                <w:noProof/>
                <w:sz w:val="20"/>
                <w:szCs w:val="20"/>
              </w:rPr>
              <w:t>k</w:t>
            </w:r>
            <w:r w:rsidRPr="000F5C2E">
              <w:rPr>
                <w:rFonts w:ascii="Arial Narrow" w:hAnsi="Arial Narrow" w:cs="Times New Roman"/>
                <w:noProof/>
                <w:sz w:val="20"/>
                <w:szCs w:val="20"/>
              </w:rPr>
              <w:t>oncesiju kao što su, primjerice, obuhvat, procijenjeni prihodi, usporedne analize u odnosu na dosadašnji način korištenja lokacije, djelatnosti, rokovi i drugo. Jednako tako, svi zainteresirani moći će se izjasniti o svakom konkretnom prijedlogu i uvjetima eventualnog davanja u koncesiju.</w:t>
            </w:r>
          </w:p>
          <w:p w:rsidR="00061F79" w:rsidRDefault="00061F79" w:rsidP="00061F79">
            <w:pPr>
              <w:spacing w:after="0" w:line="240" w:lineRule="auto"/>
              <w:rPr>
                <w:rFonts w:ascii="Arial Narrow" w:hAnsi="Arial Narrow" w:cs="Times New Roman"/>
                <w:noProof/>
                <w:sz w:val="20"/>
                <w:szCs w:val="20"/>
              </w:rPr>
            </w:pPr>
          </w:p>
          <w:p w:rsidR="00061F79" w:rsidRDefault="00AC5F97" w:rsidP="00AC5F97">
            <w:pPr>
              <w:spacing w:after="0" w:line="240" w:lineRule="auto"/>
              <w:rPr>
                <w:rFonts w:ascii="Arial Narrow" w:hAnsi="Arial Narrow" w:cs="Times New Roman"/>
                <w:noProof/>
                <w:sz w:val="20"/>
                <w:szCs w:val="20"/>
              </w:rPr>
            </w:pPr>
            <w:r>
              <w:rPr>
                <w:rFonts w:ascii="Arial Narrow" w:hAnsi="Arial Narrow" w:cs="Times New Roman"/>
                <w:noProof/>
                <w:sz w:val="20"/>
                <w:szCs w:val="20"/>
              </w:rPr>
              <w:t xml:space="preserve">Dio primjedbi  se odnosi na savjetovanje o donošenju Plana davanja koncesija Grada Pule za 2020. godinu te </w:t>
            </w:r>
            <w:r w:rsidR="007B39E3">
              <w:rPr>
                <w:rFonts w:ascii="Arial Narrow" w:hAnsi="Arial Narrow" w:cs="Times New Roman"/>
                <w:noProof/>
                <w:sz w:val="20"/>
                <w:szCs w:val="20"/>
              </w:rPr>
              <w:t>na navodno</w:t>
            </w:r>
            <w:r>
              <w:rPr>
                <w:rFonts w:ascii="Arial Narrow" w:hAnsi="Arial Narrow" w:cs="Times New Roman"/>
                <w:noProof/>
                <w:sz w:val="20"/>
                <w:szCs w:val="20"/>
              </w:rPr>
              <w:t xml:space="preserve"> falsifi</w:t>
            </w:r>
            <w:r w:rsidR="007B39E3">
              <w:rPr>
                <w:rFonts w:ascii="Arial Narrow" w:hAnsi="Arial Narrow" w:cs="Times New Roman"/>
                <w:noProof/>
                <w:sz w:val="20"/>
                <w:szCs w:val="20"/>
              </w:rPr>
              <w:t>ci</w:t>
            </w:r>
            <w:r>
              <w:rPr>
                <w:rFonts w:ascii="Arial Narrow" w:hAnsi="Arial Narrow" w:cs="Times New Roman"/>
                <w:noProof/>
                <w:sz w:val="20"/>
                <w:szCs w:val="20"/>
              </w:rPr>
              <w:t>ranj</w:t>
            </w:r>
            <w:r w:rsidR="007B39E3">
              <w:rPr>
                <w:rFonts w:ascii="Arial Narrow" w:hAnsi="Arial Narrow" w:cs="Times New Roman"/>
                <w:noProof/>
                <w:sz w:val="20"/>
                <w:szCs w:val="20"/>
              </w:rPr>
              <w:t>e</w:t>
            </w:r>
            <w:r>
              <w:rPr>
                <w:rFonts w:ascii="Arial Narrow" w:hAnsi="Arial Narrow" w:cs="Times New Roman"/>
                <w:noProof/>
                <w:sz w:val="20"/>
                <w:szCs w:val="20"/>
              </w:rPr>
              <w:t xml:space="preserve"> izvješća o provedenom savjetovanju. Povjerenik za informiranje je u svom očitovanju od 30. 01.</w:t>
            </w:r>
          </w:p>
          <w:p w:rsidR="00AC5F97" w:rsidRPr="000F5C2E" w:rsidRDefault="00AC5F97" w:rsidP="00AC5F97">
            <w:pPr>
              <w:spacing w:after="0" w:line="240" w:lineRule="auto"/>
              <w:rPr>
                <w:rFonts w:ascii="Arial Narrow" w:hAnsi="Arial Narrow" w:cs="Times New Roman"/>
                <w:noProof/>
                <w:sz w:val="20"/>
                <w:szCs w:val="20"/>
              </w:rPr>
            </w:pPr>
            <w:r>
              <w:rPr>
                <w:rFonts w:ascii="Arial Narrow" w:hAnsi="Arial Narrow" w:cs="Times New Roman"/>
                <w:noProof/>
                <w:sz w:val="20"/>
                <w:szCs w:val="20"/>
              </w:rPr>
              <w:t xml:space="preserve">2020., obavijestio podnositelja predstavke o poduzetim mjerama te utvrdio da nema na raspolaganju pravni mehanizam  za stavljanje </w:t>
            </w:r>
            <w:r w:rsidR="007B39E3">
              <w:rPr>
                <w:rFonts w:ascii="Arial Narrow" w:hAnsi="Arial Narrow" w:cs="Times New Roman"/>
                <w:noProof/>
                <w:sz w:val="20"/>
                <w:szCs w:val="20"/>
              </w:rPr>
              <w:t>o</w:t>
            </w:r>
            <w:r>
              <w:rPr>
                <w:rFonts w:ascii="Arial Narrow" w:hAnsi="Arial Narrow" w:cs="Times New Roman"/>
                <w:noProof/>
                <w:sz w:val="20"/>
                <w:szCs w:val="20"/>
              </w:rPr>
              <w:t>spor</w:t>
            </w:r>
            <w:r w:rsidR="007B39E3">
              <w:rPr>
                <w:rFonts w:ascii="Arial Narrow" w:hAnsi="Arial Narrow" w:cs="Times New Roman"/>
                <w:noProof/>
                <w:sz w:val="20"/>
                <w:szCs w:val="20"/>
              </w:rPr>
              <w:t>e</w:t>
            </w:r>
            <w:r>
              <w:rPr>
                <w:rFonts w:ascii="Arial Narrow" w:hAnsi="Arial Narrow" w:cs="Times New Roman"/>
                <w:noProof/>
                <w:sz w:val="20"/>
                <w:szCs w:val="20"/>
              </w:rPr>
              <w:t>ne odluke izvan snage</w:t>
            </w:r>
            <w:r w:rsidR="007B39E3">
              <w:rPr>
                <w:rFonts w:ascii="Arial Narrow" w:hAnsi="Arial Narrow" w:cs="Times New Roman"/>
                <w:noProof/>
                <w:sz w:val="20"/>
                <w:szCs w:val="20"/>
              </w:rPr>
              <w:t xml:space="preserve">. Povjerenik za informiranje nije se očitovao o Odluci o donošenju Plana davanja koncesija Grada Pule </w:t>
            </w:r>
            <w:r w:rsidR="007B39E3">
              <w:rPr>
                <w:rFonts w:ascii="Arial Narrow" w:hAnsi="Arial Narrow" w:cs="Times New Roman"/>
                <w:noProof/>
                <w:sz w:val="20"/>
                <w:szCs w:val="20"/>
              </w:rPr>
              <w:lastRenderedPageBreak/>
              <w:t>za 2020. godinu, već je uputio podnositelja predstavke na mogućnost podnošenja tužbe Visokom upravnom sudu.</w:t>
            </w:r>
          </w:p>
        </w:tc>
      </w:tr>
    </w:tbl>
    <w:p w:rsidR="00B80C2C" w:rsidRPr="00360EBE" w:rsidRDefault="00B80C2C">
      <w:pPr>
        <w:rPr>
          <w:rFonts w:ascii="Arial Narrow" w:hAnsi="Arial Narrow"/>
          <w:sz w:val="20"/>
          <w:szCs w:val="20"/>
        </w:rPr>
      </w:pPr>
    </w:p>
    <w:sectPr w:rsidR="00B80C2C" w:rsidRPr="00360EBE" w:rsidSect="007A055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FC67EAA"/>
    <w:lvl w:ilvl="0">
      <w:numFmt w:val="bullet"/>
      <w:lvlText w:val="*"/>
      <w:lvlJc w:val="left"/>
    </w:lvl>
  </w:abstractNum>
  <w:abstractNum w:abstractNumId="1" w15:restartNumberingAfterBreak="0">
    <w:nsid w:val="0243723E"/>
    <w:multiLevelType w:val="multilevel"/>
    <w:tmpl w:val="74B241D0"/>
    <w:lvl w:ilvl="0">
      <w:start w:val="1"/>
      <w:numFmt w:val="decimal"/>
      <w:lvlText w:val="%1."/>
      <w:lvlJc w:val="left"/>
      <w:pPr>
        <w:ind w:left="501"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914881"/>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7086162"/>
    <w:multiLevelType w:val="multilevel"/>
    <w:tmpl w:val="74B241D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71015C7"/>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91B7982"/>
    <w:multiLevelType w:val="multilevel"/>
    <w:tmpl w:val="74B241D0"/>
    <w:lvl w:ilvl="0">
      <w:start w:val="1"/>
      <w:numFmt w:val="decimal"/>
      <w:lvlText w:val="%1."/>
      <w:lvlJc w:val="left"/>
      <w:pPr>
        <w:ind w:left="644"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BBD0FF3"/>
    <w:multiLevelType w:val="multilevel"/>
    <w:tmpl w:val="74B241D0"/>
    <w:lvl w:ilvl="0">
      <w:start w:val="1"/>
      <w:numFmt w:val="decimal"/>
      <w:lvlText w:val="%1."/>
      <w:lvlJc w:val="left"/>
      <w:pPr>
        <w:ind w:left="644"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BD47E60"/>
    <w:multiLevelType w:val="multilevel"/>
    <w:tmpl w:val="74B241D0"/>
    <w:lvl w:ilvl="0">
      <w:start w:val="1"/>
      <w:numFmt w:val="decimal"/>
      <w:lvlText w:val="%1."/>
      <w:lvlJc w:val="left"/>
      <w:pPr>
        <w:ind w:left="501"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13D0612"/>
    <w:multiLevelType w:val="multilevel"/>
    <w:tmpl w:val="74B241D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2370385"/>
    <w:multiLevelType w:val="multilevel"/>
    <w:tmpl w:val="74B241D0"/>
    <w:lvl w:ilvl="0">
      <w:start w:val="1"/>
      <w:numFmt w:val="decimal"/>
      <w:lvlText w:val="%1."/>
      <w:lvlJc w:val="left"/>
      <w:pPr>
        <w:ind w:left="644"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8911BED"/>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BD15673"/>
    <w:multiLevelType w:val="multilevel"/>
    <w:tmpl w:val="74B241D0"/>
    <w:lvl w:ilvl="0">
      <w:start w:val="1"/>
      <w:numFmt w:val="decimal"/>
      <w:lvlText w:val="%1."/>
      <w:lvlJc w:val="left"/>
      <w:pPr>
        <w:ind w:left="501"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C7312B1"/>
    <w:multiLevelType w:val="multilevel"/>
    <w:tmpl w:val="74B241D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D770DC3"/>
    <w:multiLevelType w:val="hybridMultilevel"/>
    <w:tmpl w:val="48DEE8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E363A59"/>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F8323B9"/>
    <w:multiLevelType w:val="multilevel"/>
    <w:tmpl w:val="74B241D0"/>
    <w:lvl w:ilvl="0">
      <w:start w:val="1"/>
      <w:numFmt w:val="decimal"/>
      <w:lvlText w:val="%1."/>
      <w:lvlJc w:val="left"/>
      <w:pPr>
        <w:ind w:left="501"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F9432DF"/>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1FFD6B97"/>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4A450D6"/>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79C4F8F"/>
    <w:multiLevelType w:val="multilevel"/>
    <w:tmpl w:val="D6F4DEA0"/>
    <w:styleLink w:val="WWNum2"/>
    <w:lvl w:ilvl="0">
      <w:start w:val="1"/>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27AC1FE6"/>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28952586"/>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8C075A3"/>
    <w:multiLevelType w:val="multilevel"/>
    <w:tmpl w:val="74B241D0"/>
    <w:lvl w:ilvl="0">
      <w:start w:val="1"/>
      <w:numFmt w:val="decimal"/>
      <w:lvlText w:val="%1."/>
      <w:lvlJc w:val="left"/>
      <w:pPr>
        <w:ind w:left="644"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C51648F"/>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2D1255A7"/>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2D914BD0"/>
    <w:multiLevelType w:val="multilevel"/>
    <w:tmpl w:val="74B241D0"/>
    <w:lvl w:ilvl="0">
      <w:start w:val="1"/>
      <w:numFmt w:val="decimal"/>
      <w:lvlText w:val="%1."/>
      <w:lvlJc w:val="left"/>
      <w:pPr>
        <w:ind w:left="644"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2FA5E57"/>
    <w:multiLevelType w:val="multilevel"/>
    <w:tmpl w:val="74B241D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44D21EA"/>
    <w:multiLevelType w:val="multilevel"/>
    <w:tmpl w:val="74B241D0"/>
    <w:lvl w:ilvl="0">
      <w:start w:val="1"/>
      <w:numFmt w:val="decimal"/>
      <w:lvlText w:val="%1."/>
      <w:lvlJc w:val="left"/>
      <w:pPr>
        <w:ind w:left="501"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5105664"/>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38B95DB1"/>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3C7C1207"/>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3DD96010"/>
    <w:multiLevelType w:val="multilevel"/>
    <w:tmpl w:val="74B241D0"/>
    <w:lvl w:ilvl="0">
      <w:start w:val="1"/>
      <w:numFmt w:val="decimal"/>
      <w:lvlText w:val="%1."/>
      <w:lvlJc w:val="left"/>
      <w:pPr>
        <w:ind w:left="644"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2404AC0"/>
    <w:multiLevelType w:val="multilevel"/>
    <w:tmpl w:val="74B241D0"/>
    <w:lvl w:ilvl="0">
      <w:start w:val="1"/>
      <w:numFmt w:val="decimal"/>
      <w:lvlText w:val="%1."/>
      <w:lvlJc w:val="left"/>
      <w:pPr>
        <w:ind w:left="501"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55766BA"/>
    <w:multiLevelType w:val="multilevel"/>
    <w:tmpl w:val="74B241D0"/>
    <w:lvl w:ilvl="0">
      <w:start w:val="1"/>
      <w:numFmt w:val="decimal"/>
      <w:lvlText w:val="%1."/>
      <w:lvlJc w:val="left"/>
      <w:pPr>
        <w:ind w:left="501"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71070C2"/>
    <w:multiLevelType w:val="hybridMultilevel"/>
    <w:tmpl w:val="F614E50E"/>
    <w:lvl w:ilvl="0" w:tplc="F1307622">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4E415B12"/>
    <w:multiLevelType w:val="multilevel"/>
    <w:tmpl w:val="74B241D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36041A4"/>
    <w:multiLevelType w:val="multilevel"/>
    <w:tmpl w:val="74B241D0"/>
    <w:lvl w:ilvl="0">
      <w:start w:val="1"/>
      <w:numFmt w:val="decimal"/>
      <w:lvlText w:val="%1."/>
      <w:lvlJc w:val="left"/>
      <w:pPr>
        <w:ind w:left="501"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3D25692"/>
    <w:multiLevelType w:val="multilevel"/>
    <w:tmpl w:val="74B241D0"/>
    <w:lvl w:ilvl="0">
      <w:start w:val="1"/>
      <w:numFmt w:val="decimal"/>
      <w:lvlText w:val="%1."/>
      <w:lvlJc w:val="left"/>
      <w:pPr>
        <w:ind w:left="644"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6442B89"/>
    <w:multiLevelType w:val="multilevel"/>
    <w:tmpl w:val="74B241D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BF03E57"/>
    <w:multiLevelType w:val="multilevel"/>
    <w:tmpl w:val="74B241D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DB07A28"/>
    <w:multiLevelType w:val="hybridMultilevel"/>
    <w:tmpl w:val="F614E50E"/>
    <w:lvl w:ilvl="0" w:tplc="F1307622">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9896B80"/>
    <w:multiLevelType w:val="multilevel"/>
    <w:tmpl w:val="9BD4C238"/>
    <w:styleLink w:val="WWNum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6D423CE3"/>
    <w:multiLevelType w:val="hybridMultilevel"/>
    <w:tmpl w:val="F614E50E"/>
    <w:lvl w:ilvl="0" w:tplc="F1307622">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6D813ACA"/>
    <w:multiLevelType w:val="multilevel"/>
    <w:tmpl w:val="74B241D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F61260D"/>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01E0C2A"/>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2C65C24"/>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73E03908"/>
    <w:multiLevelType w:val="multilevel"/>
    <w:tmpl w:val="74B241D0"/>
    <w:lvl w:ilvl="0">
      <w:start w:val="1"/>
      <w:numFmt w:val="decimal"/>
      <w:lvlText w:val="%1."/>
      <w:lvlJc w:val="left"/>
      <w:pPr>
        <w:ind w:left="501"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45F21BC"/>
    <w:multiLevelType w:val="hybridMultilevel"/>
    <w:tmpl w:val="F614E50E"/>
    <w:lvl w:ilvl="0" w:tplc="F1307622">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77985030"/>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77CD51E3"/>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7B595359"/>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7BE43167"/>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7D4A4E35"/>
    <w:multiLevelType w:val="multilevel"/>
    <w:tmpl w:val="74B241D0"/>
    <w:lvl w:ilvl="0">
      <w:start w:val="1"/>
      <w:numFmt w:val="decimal"/>
      <w:lvlText w:val="%1."/>
      <w:lvlJc w:val="left"/>
      <w:pPr>
        <w:ind w:left="501"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5"/>
  </w:num>
  <w:num w:numId="2">
    <w:abstractNumId w:val="4"/>
  </w:num>
  <w:num w:numId="3">
    <w:abstractNumId w:val="41"/>
  </w:num>
  <w:num w:numId="4">
    <w:abstractNumId w:val="19"/>
  </w:num>
  <w:num w:numId="5">
    <w:abstractNumId w:val="41"/>
    <w:lvlOverride w:ilvl="0">
      <w:startOverride w:val="1"/>
    </w:lvlOverride>
  </w:num>
  <w:num w:numId="6">
    <w:abstractNumId w:val="19"/>
    <w:lvlOverride w:ilvl="0">
      <w:startOverride w:val="1"/>
    </w:lvlOverride>
  </w:num>
  <w:num w:numId="7">
    <w:abstractNumId w:val="13"/>
  </w:num>
  <w:num w:numId="8">
    <w:abstractNumId w:val="0"/>
    <w:lvlOverride w:ilvl="0">
      <w:lvl w:ilvl="0">
        <w:numFmt w:val="bullet"/>
        <w:lvlText w:val=""/>
        <w:legacy w:legacy="1" w:legacySpace="0" w:legacyIndent="0"/>
        <w:lvlJc w:val="left"/>
        <w:rPr>
          <w:rFonts w:ascii="Symbol" w:hAnsi="Symbol" w:hint="default"/>
          <w:sz w:val="22"/>
        </w:rPr>
      </w:lvl>
    </w:lvlOverride>
  </w:num>
  <w:num w:numId="9">
    <w:abstractNumId w:val="52"/>
  </w:num>
  <w:num w:numId="10">
    <w:abstractNumId w:val="43"/>
  </w:num>
  <w:num w:numId="11">
    <w:abstractNumId w:val="44"/>
  </w:num>
  <w:num w:numId="12">
    <w:abstractNumId w:val="1"/>
  </w:num>
  <w:num w:numId="13">
    <w:abstractNumId w:val="24"/>
  </w:num>
  <w:num w:numId="14">
    <w:abstractNumId w:val="12"/>
  </w:num>
  <w:num w:numId="15">
    <w:abstractNumId w:val="17"/>
  </w:num>
  <w:num w:numId="16">
    <w:abstractNumId w:val="39"/>
  </w:num>
  <w:num w:numId="17">
    <w:abstractNumId w:val="20"/>
  </w:num>
  <w:num w:numId="18">
    <w:abstractNumId w:val="25"/>
  </w:num>
  <w:num w:numId="19">
    <w:abstractNumId w:val="2"/>
  </w:num>
  <w:num w:numId="20">
    <w:abstractNumId w:val="37"/>
  </w:num>
  <w:num w:numId="21">
    <w:abstractNumId w:val="49"/>
  </w:num>
  <w:num w:numId="22">
    <w:abstractNumId w:val="9"/>
  </w:num>
  <w:num w:numId="23">
    <w:abstractNumId w:val="23"/>
  </w:num>
  <w:num w:numId="24">
    <w:abstractNumId w:val="5"/>
  </w:num>
  <w:num w:numId="25">
    <w:abstractNumId w:val="50"/>
  </w:num>
  <w:num w:numId="26">
    <w:abstractNumId w:val="31"/>
  </w:num>
  <w:num w:numId="27">
    <w:abstractNumId w:val="29"/>
  </w:num>
  <w:num w:numId="28">
    <w:abstractNumId w:val="22"/>
  </w:num>
  <w:num w:numId="29">
    <w:abstractNumId w:val="34"/>
  </w:num>
  <w:num w:numId="30">
    <w:abstractNumId w:val="3"/>
  </w:num>
  <w:num w:numId="31">
    <w:abstractNumId w:val="42"/>
  </w:num>
  <w:num w:numId="32">
    <w:abstractNumId w:val="8"/>
  </w:num>
  <w:num w:numId="33">
    <w:abstractNumId w:val="48"/>
  </w:num>
  <w:num w:numId="34">
    <w:abstractNumId w:val="38"/>
  </w:num>
  <w:num w:numId="35">
    <w:abstractNumId w:val="40"/>
  </w:num>
  <w:num w:numId="36">
    <w:abstractNumId w:val="26"/>
  </w:num>
  <w:num w:numId="37">
    <w:abstractNumId w:val="46"/>
  </w:num>
  <w:num w:numId="38">
    <w:abstractNumId w:val="6"/>
  </w:num>
  <w:num w:numId="39">
    <w:abstractNumId w:val="16"/>
  </w:num>
  <w:num w:numId="40">
    <w:abstractNumId w:val="33"/>
  </w:num>
  <w:num w:numId="41">
    <w:abstractNumId w:val="28"/>
  </w:num>
  <w:num w:numId="42">
    <w:abstractNumId w:val="53"/>
  </w:num>
  <w:num w:numId="43">
    <w:abstractNumId w:val="14"/>
  </w:num>
  <w:num w:numId="44">
    <w:abstractNumId w:val="15"/>
  </w:num>
  <w:num w:numId="45">
    <w:abstractNumId w:val="45"/>
  </w:num>
  <w:num w:numId="46">
    <w:abstractNumId w:val="36"/>
  </w:num>
  <w:num w:numId="47">
    <w:abstractNumId w:val="21"/>
  </w:num>
  <w:num w:numId="48">
    <w:abstractNumId w:val="27"/>
  </w:num>
  <w:num w:numId="49">
    <w:abstractNumId w:val="30"/>
  </w:num>
  <w:num w:numId="50">
    <w:abstractNumId w:val="7"/>
  </w:num>
  <w:num w:numId="51">
    <w:abstractNumId w:val="18"/>
  </w:num>
  <w:num w:numId="52">
    <w:abstractNumId w:val="47"/>
  </w:num>
  <w:num w:numId="53">
    <w:abstractNumId w:val="51"/>
  </w:num>
  <w:num w:numId="54">
    <w:abstractNumId w:val="32"/>
  </w:num>
  <w:num w:numId="55">
    <w:abstractNumId w:val="10"/>
  </w:num>
  <w:num w:numId="56">
    <w:abstractNumId w:val="1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986"/>
    <w:rsid w:val="000060B2"/>
    <w:rsid w:val="00010A0A"/>
    <w:rsid w:val="0001669F"/>
    <w:rsid w:val="00017C35"/>
    <w:rsid w:val="0002046B"/>
    <w:rsid w:val="000220CE"/>
    <w:rsid w:val="0002360F"/>
    <w:rsid w:val="0002398B"/>
    <w:rsid w:val="0002465D"/>
    <w:rsid w:val="00025908"/>
    <w:rsid w:val="000318CC"/>
    <w:rsid w:val="000344EC"/>
    <w:rsid w:val="00035878"/>
    <w:rsid w:val="00035F0F"/>
    <w:rsid w:val="0003752A"/>
    <w:rsid w:val="00047171"/>
    <w:rsid w:val="00052BE1"/>
    <w:rsid w:val="00053D88"/>
    <w:rsid w:val="0005627E"/>
    <w:rsid w:val="00057B4B"/>
    <w:rsid w:val="00061E11"/>
    <w:rsid w:val="00061F79"/>
    <w:rsid w:val="00064DCC"/>
    <w:rsid w:val="00072696"/>
    <w:rsid w:val="00073B98"/>
    <w:rsid w:val="00073E48"/>
    <w:rsid w:val="00077618"/>
    <w:rsid w:val="000801E5"/>
    <w:rsid w:val="00081DFD"/>
    <w:rsid w:val="000841C6"/>
    <w:rsid w:val="00087646"/>
    <w:rsid w:val="000B02F2"/>
    <w:rsid w:val="000B2CD2"/>
    <w:rsid w:val="000C2187"/>
    <w:rsid w:val="000C401F"/>
    <w:rsid w:val="000C5601"/>
    <w:rsid w:val="000C6902"/>
    <w:rsid w:val="000D023D"/>
    <w:rsid w:val="000D457C"/>
    <w:rsid w:val="000F3986"/>
    <w:rsid w:val="001049F1"/>
    <w:rsid w:val="00104FD4"/>
    <w:rsid w:val="0011106A"/>
    <w:rsid w:val="00134383"/>
    <w:rsid w:val="0014468E"/>
    <w:rsid w:val="0014628D"/>
    <w:rsid w:val="00163D7E"/>
    <w:rsid w:val="00170AB7"/>
    <w:rsid w:val="0017191B"/>
    <w:rsid w:val="00176864"/>
    <w:rsid w:val="00181E76"/>
    <w:rsid w:val="001848CB"/>
    <w:rsid w:val="00187E7B"/>
    <w:rsid w:val="001907B5"/>
    <w:rsid w:val="00195157"/>
    <w:rsid w:val="001A03CE"/>
    <w:rsid w:val="001A4A2E"/>
    <w:rsid w:val="001B2CB7"/>
    <w:rsid w:val="001C7DFD"/>
    <w:rsid w:val="001D4FC2"/>
    <w:rsid w:val="001E1DB7"/>
    <w:rsid w:val="001E3A17"/>
    <w:rsid w:val="001E4062"/>
    <w:rsid w:val="001E6E14"/>
    <w:rsid w:val="001F01D9"/>
    <w:rsid w:val="001F1C9C"/>
    <w:rsid w:val="001F271B"/>
    <w:rsid w:val="001F6A71"/>
    <w:rsid w:val="002012FC"/>
    <w:rsid w:val="002017F5"/>
    <w:rsid w:val="00206F43"/>
    <w:rsid w:val="002209AE"/>
    <w:rsid w:val="00223010"/>
    <w:rsid w:val="002263C0"/>
    <w:rsid w:val="002268A6"/>
    <w:rsid w:val="00230AB6"/>
    <w:rsid w:val="0023485A"/>
    <w:rsid w:val="00234C92"/>
    <w:rsid w:val="0023537F"/>
    <w:rsid w:val="00236470"/>
    <w:rsid w:val="00237FAC"/>
    <w:rsid w:val="00245902"/>
    <w:rsid w:val="002477AA"/>
    <w:rsid w:val="00253EA4"/>
    <w:rsid w:val="002565EA"/>
    <w:rsid w:val="00257729"/>
    <w:rsid w:val="00260A11"/>
    <w:rsid w:val="00261B59"/>
    <w:rsid w:val="002623ED"/>
    <w:rsid w:val="00264BAC"/>
    <w:rsid w:val="00265272"/>
    <w:rsid w:val="002769C1"/>
    <w:rsid w:val="00284F32"/>
    <w:rsid w:val="002854AA"/>
    <w:rsid w:val="002855C5"/>
    <w:rsid w:val="0028780E"/>
    <w:rsid w:val="00290CBE"/>
    <w:rsid w:val="00294E44"/>
    <w:rsid w:val="00294EED"/>
    <w:rsid w:val="002A224C"/>
    <w:rsid w:val="002A4D88"/>
    <w:rsid w:val="002A60E6"/>
    <w:rsid w:val="002A697B"/>
    <w:rsid w:val="002A6B11"/>
    <w:rsid w:val="002B0FB1"/>
    <w:rsid w:val="002B186E"/>
    <w:rsid w:val="002B2045"/>
    <w:rsid w:val="002B47F0"/>
    <w:rsid w:val="002B7784"/>
    <w:rsid w:val="002C2DB5"/>
    <w:rsid w:val="002E3BCF"/>
    <w:rsid w:val="002E6F98"/>
    <w:rsid w:val="002F3DBF"/>
    <w:rsid w:val="002F5A46"/>
    <w:rsid w:val="002F67D1"/>
    <w:rsid w:val="00302743"/>
    <w:rsid w:val="00312F5B"/>
    <w:rsid w:val="00322563"/>
    <w:rsid w:val="00325B4A"/>
    <w:rsid w:val="00337279"/>
    <w:rsid w:val="003379D7"/>
    <w:rsid w:val="00340143"/>
    <w:rsid w:val="00350022"/>
    <w:rsid w:val="003521C0"/>
    <w:rsid w:val="0035309D"/>
    <w:rsid w:val="00360EBE"/>
    <w:rsid w:val="00365A3C"/>
    <w:rsid w:val="003717AF"/>
    <w:rsid w:val="00372263"/>
    <w:rsid w:val="00372EB5"/>
    <w:rsid w:val="003749EC"/>
    <w:rsid w:val="0037550A"/>
    <w:rsid w:val="003904F5"/>
    <w:rsid w:val="00394635"/>
    <w:rsid w:val="003A155C"/>
    <w:rsid w:val="003C0F0A"/>
    <w:rsid w:val="003C1890"/>
    <w:rsid w:val="003C2B15"/>
    <w:rsid w:val="003E526F"/>
    <w:rsid w:val="00406AD1"/>
    <w:rsid w:val="00417D28"/>
    <w:rsid w:val="004312D6"/>
    <w:rsid w:val="004368E6"/>
    <w:rsid w:val="0044527D"/>
    <w:rsid w:val="00445E50"/>
    <w:rsid w:val="00450BA1"/>
    <w:rsid w:val="00452280"/>
    <w:rsid w:val="00460625"/>
    <w:rsid w:val="0046613B"/>
    <w:rsid w:val="0046748D"/>
    <w:rsid w:val="004708EB"/>
    <w:rsid w:val="00470F90"/>
    <w:rsid w:val="0047404E"/>
    <w:rsid w:val="00475B81"/>
    <w:rsid w:val="00482401"/>
    <w:rsid w:val="00485EBF"/>
    <w:rsid w:val="00492005"/>
    <w:rsid w:val="004922D3"/>
    <w:rsid w:val="004A501E"/>
    <w:rsid w:val="004A5ACC"/>
    <w:rsid w:val="004C1B6C"/>
    <w:rsid w:val="004C3CC5"/>
    <w:rsid w:val="004C4123"/>
    <w:rsid w:val="004D4B08"/>
    <w:rsid w:val="004D578E"/>
    <w:rsid w:val="004E34C8"/>
    <w:rsid w:val="004E4210"/>
    <w:rsid w:val="004F123F"/>
    <w:rsid w:val="004F7EF2"/>
    <w:rsid w:val="00504138"/>
    <w:rsid w:val="00504FC1"/>
    <w:rsid w:val="0050526E"/>
    <w:rsid w:val="005066AB"/>
    <w:rsid w:val="00506A21"/>
    <w:rsid w:val="005100C2"/>
    <w:rsid w:val="005219F6"/>
    <w:rsid w:val="0052360A"/>
    <w:rsid w:val="00525456"/>
    <w:rsid w:val="005311BA"/>
    <w:rsid w:val="005406BB"/>
    <w:rsid w:val="00542564"/>
    <w:rsid w:val="005461A7"/>
    <w:rsid w:val="00554F4E"/>
    <w:rsid w:val="0055720A"/>
    <w:rsid w:val="00562979"/>
    <w:rsid w:val="00563BF7"/>
    <w:rsid w:val="005654C1"/>
    <w:rsid w:val="0056726D"/>
    <w:rsid w:val="0057611D"/>
    <w:rsid w:val="0057693E"/>
    <w:rsid w:val="00577ABE"/>
    <w:rsid w:val="0058003D"/>
    <w:rsid w:val="00580143"/>
    <w:rsid w:val="005817D1"/>
    <w:rsid w:val="0058351B"/>
    <w:rsid w:val="00590131"/>
    <w:rsid w:val="005905FA"/>
    <w:rsid w:val="005918A1"/>
    <w:rsid w:val="005922BB"/>
    <w:rsid w:val="00593484"/>
    <w:rsid w:val="00595B29"/>
    <w:rsid w:val="005A2424"/>
    <w:rsid w:val="005A5344"/>
    <w:rsid w:val="005A5449"/>
    <w:rsid w:val="005A5C6C"/>
    <w:rsid w:val="005A6E6E"/>
    <w:rsid w:val="005B0986"/>
    <w:rsid w:val="005B0E21"/>
    <w:rsid w:val="005C2139"/>
    <w:rsid w:val="005D1180"/>
    <w:rsid w:val="005D4AF2"/>
    <w:rsid w:val="005E1D0F"/>
    <w:rsid w:val="005F4E17"/>
    <w:rsid w:val="00602710"/>
    <w:rsid w:val="00604F0A"/>
    <w:rsid w:val="00615AE0"/>
    <w:rsid w:val="00616D76"/>
    <w:rsid w:val="006237B8"/>
    <w:rsid w:val="00637784"/>
    <w:rsid w:val="00641F38"/>
    <w:rsid w:val="006427E1"/>
    <w:rsid w:val="006453BC"/>
    <w:rsid w:val="00651323"/>
    <w:rsid w:val="00665DD3"/>
    <w:rsid w:val="00665FB8"/>
    <w:rsid w:val="00676E23"/>
    <w:rsid w:val="006771A1"/>
    <w:rsid w:val="0068103D"/>
    <w:rsid w:val="00683E1F"/>
    <w:rsid w:val="00690A8A"/>
    <w:rsid w:val="006A239F"/>
    <w:rsid w:val="006A2930"/>
    <w:rsid w:val="006A4340"/>
    <w:rsid w:val="006A664F"/>
    <w:rsid w:val="006B12D0"/>
    <w:rsid w:val="006B638F"/>
    <w:rsid w:val="006C60DD"/>
    <w:rsid w:val="006D31FB"/>
    <w:rsid w:val="006D39EB"/>
    <w:rsid w:val="006D5C7C"/>
    <w:rsid w:val="006E5990"/>
    <w:rsid w:val="006F1D27"/>
    <w:rsid w:val="006F1F16"/>
    <w:rsid w:val="006F2A82"/>
    <w:rsid w:val="006F2F1D"/>
    <w:rsid w:val="006F3C87"/>
    <w:rsid w:val="007071D9"/>
    <w:rsid w:val="00710D22"/>
    <w:rsid w:val="0071118F"/>
    <w:rsid w:val="00717D47"/>
    <w:rsid w:val="00720EFB"/>
    <w:rsid w:val="00724462"/>
    <w:rsid w:val="00724DA8"/>
    <w:rsid w:val="00730035"/>
    <w:rsid w:val="0073199E"/>
    <w:rsid w:val="0074179A"/>
    <w:rsid w:val="007503D4"/>
    <w:rsid w:val="007519EE"/>
    <w:rsid w:val="00753C78"/>
    <w:rsid w:val="00755DD6"/>
    <w:rsid w:val="00765E44"/>
    <w:rsid w:val="007726F8"/>
    <w:rsid w:val="007757ED"/>
    <w:rsid w:val="00777AEA"/>
    <w:rsid w:val="00782D9D"/>
    <w:rsid w:val="00792B16"/>
    <w:rsid w:val="007A0553"/>
    <w:rsid w:val="007A5A0F"/>
    <w:rsid w:val="007A6A92"/>
    <w:rsid w:val="007B1902"/>
    <w:rsid w:val="007B294D"/>
    <w:rsid w:val="007B39E3"/>
    <w:rsid w:val="007C47DA"/>
    <w:rsid w:val="007E15F3"/>
    <w:rsid w:val="007E4607"/>
    <w:rsid w:val="007E49C9"/>
    <w:rsid w:val="007F3FCB"/>
    <w:rsid w:val="007F4650"/>
    <w:rsid w:val="007F792A"/>
    <w:rsid w:val="0080033F"/>
    <w:rsid w:val="00800B52"/>
    <w:rsid w:val="008028D7"/>
    <w:rsid w:val="00803B2D"/>
    <w:rsid w:val="00806D62"/>
    <w:rsid w:val="0081429C"/>
    <w:rsid w:val="00816EF6"/>
    <w:rsid w:val="00821265"/>
    <w:rsid w:val="00821802"/>
    <w:rsid w:val="00853BF0"/>
    <w:rsid w:val="008563FA"/>
    <w:rsid w:val="008565C3"/>
    <w:rsid w:val="00861259"/>
    <w:rsid w:val="008619B9"/>
    <w:rsid w:val="00861A01"/>
    <w:rsid w:val="00863D1B"/>
    <w:rsid w:val="00864B48"/>
    <w:rsid w:val="00864F2D"/>
    <w:rsid w:val="0087756E"/>
    <w:rsid w:val="00887531"/>
    <w:rsid w:val="00891D22"/>
    <w:rsid w:val="008925C0"/>
    <w:rsid w:val="0089552B"/>
    <w:rsid w:val="00896CF0"/>
    <w:rsid w:val="00897CF0"/>
    <w:rsid w:val="008A1F92"/>
    <w:rsid w:val="008A4463"/>
    <w:rsid w:val="008A4E19"/>
    <w:rsid w:val="008B0ABE"/>
    <w:rsid w:val="008C2E4D"/>
    <w:rsid w:val="008C3F26"/>
    <w:rsid w:val="008C6E1A"/>
    <w:rsid w:val="008D7B3C"/>
    <w:rsid w:val="008E02FB"/>
    <w:rsid w:val="008E0FBD"/>
    <w:rsid w:val="008E3F8D"/>
    <w:rsid w:val="008E5FFD"/>
    <w:rsid w:val="008E6F44"/>
    <w:rsid w:val="008F43DE"/>
    <w:rsid w:val="008F5DD6"/>
    <w:rsid w:val="00902639"/>
    <w:rsid w:val="00914074"/>
    <w:rsid w:val="00921FE8"/>
    <w:rsid w:val="009232F1"/>
    <w:rsid w:val="00932987"/>
    <w:rsid w:val="009329FF"/>
    <w:rsid w:val="00936655"/>
    <w:rsid w:val="00944A01"/>
    <w:rsid w:val="00944E5D"/>
    <w:rsid w:val="0095367B"/>
    <w:rsid w:val="00960A0A"/>
    <w:rsid w:val="0096175F"/>
    <w:rsid w:val="00962920"/>
    <w:rsid w:val="009662BF"/>
    <w:rsid w:val="00972026"/>
    <w:rsid w:val="00981FF1"/>
    <w:rsid w:val="0098386B"/>
    <w:rsid w:val="0098736E"/>
    <w:rsid w:val="00991809"/>
    <w:rsid w:val="00995900"/>
    <w:rsid w:val="00996B41"/>
    <w:rsid w:val="009A7E27"/>
    <w:rsid w:val="009B63A8"/>
    <w:rsid w:val="009C39B8"/>
    <w:rsid w:val="009D64F8"/>
    <w:rsid w:val="009D666D"/>
    <w:rsid w:val="009F2367"/>
    <w:rsid w:val="009F2F0C"/>
    <w:rsid w:val="009F5748"/>
    <w:rsid w:val="009F74D6"/>
    <w:rsid w:val="00A07CE5"/>
    <w:rsid w:val="00A14659"/>
    <w:rsid w:val="00A1689C"/>
    <w:rsid w:val="00A17D00"/>
    <w:rsid w:val="00A23304"/>
    <w:rsid w:val="00A2708A"/>
    <w:rsid w:val="00A2709C"/>
    <w:rsid w:val="00A30307"/>
    <w:rsid w:val="00A375AC"/>
    <w:rsid w:val="00A42876"/>
    <w:rsid w:val="00A57171"/>
    <w:rsid w:val="00A75BB4"/>
    <w:rsid w:val="00A7628F"/>
    <w:rsid w:val="00A8427A"/>
    <w:rsid w:val="00A84D31"/>
    <w:rsid w:val="00A87A8C"/>
    <w:rsid w:val="00A94F23"/>
    <w:rsid w:val="00AA0757"/>
    <w:rsid w:val="00AA2770"/>
    <w:rsid w:val="00AA2CD0"/>
    <w:rsid w:val="00AA58A8"/>
    <w:rsid w:val="00AA6DEA"/>
    <w:rsid w:val="00AB412B"/>
    <w:rsid w:val="00AC2226"/>
    <w:rsid w:val="00AC5F97"/>
    <w:rsid w:val="00AC6D32"/>
    <w:rsid w:val="00AD1C12"/>
    <w:rsid w:val="00AE076A"/>
    <w:rsid w:val="00AE102C"/>
    <w:rsid w:val="00AF2A27"/>
    <w:rsid w:val="00AF4208"/>
    <w:rsid w:val="00B10D86"/>
    <w:rsid w:val="00B126FC"/>
    <w:rsid w:val="00B20AAB"/>
    <w:rsid w:val="00B2121D"/>
    <w:rsid w:val="00B2794C"/>
    <w:rsid w:val="00B458A8"/>
    <w:rsid w:val="00B469F2"/>
    <w:rsid w:val="00B47643"/>
    <w:rsid w:val="00B51A13"/>
    <w:rsid w:val="00B54A07"/>
    <w:rsid w:val="00B55C53"/>
    <w:rsid w:val="00B5771E"/>
    <w:rsid w:val="00B67236"/>
    <w:rsid w:val="00B6778E"/>
    <w:rsid w:val="00B803C0"/>
    <w:rsid w:val="00B80C2C"/>
    <w:rsid w:val="00B838D0"/>
    <w:rsid w:val="00B91E2B"/>
    <w:rsid w:val="00B9356A"/>
    <w:rsid w:val="00BA1E4B"/>
    <w:rsid w:val="00BA4A4F"/>
    <w:rsid w:val="00BA631F"/>
    <w:rsid w:val="00BA7111"/>
    <w:rsid w:val="00BB432D"/>
    <w:rsid w:val="00BB522F"/>
    <w:rsid w:val="00BB6FA1"/>
    <w:rsid w:val="00BC316C"/>
    <w:rsid w:val="00BC3B59"/>
    <w:rsid w:val="00BC6D16"/>
    <w:rsid w:val="00BD28E0"/>
    <w:rsid w:val="00BD728B"/>
    <w:rsid w:val="00BD7C5A"/>
    <w:rsid w:val="00BE2512"/>
    <w:rsid w:val="00BE2D38"/>
    <w:rsid w:val="00BE56DD"/>
    <w:rsid w:val="00BE7DA6"/>
    <w:rsid w:val="00C153D3"/>
    <w:rsid w:val="00C2015D"/>
    <w:rsid w:val="00C20558"/>
    <w:rsid w:val="00C23CFF"/>
    <w:rsid w:val="00C25FA4"/>
    <w:rsid w:val="00C260A2"/>
    <w:rsid w:val="00C269F6"/>
    <w:rsid w:val="00C348FC"/>
    <w:rsid w:val="00C40B8B"/>
    <w:rsid w:val="00C422F7"/>
    <w:rsid w:val="00C42903"/>
    <w:rsid w:val="00C467E5"/>
    <w:rsid w:val="00C519D7"/>
    <w:rsid w:val="00C60051"/>
    <w:rsid w:val="00C63C1C"/>
    <w:rsid w:val="00C66563"/>
    <w:rsid w:val="00C73F32"/>
    <w:rsid w:val="00C74165"/>
    <w:rsid w:val="00C77FB5"/>
    <w:rsid w:val="00C81E4E"/>
    <w:rsid w:val="00CA0FC3"/>
    <w:rsid w:val="00CA3771"/>
    <w:rsid w:val="00CA37F6"/>
    <w:rsid w:val="00CA423A"/>
    <w:rsid w:val="00CB1BF9"/>
    <w:rsid w:val="00CB43C6"/>
    <w:rsid w:val="00CC175F"/>
    <w:rsid w:val="00CC5518"/>
    <w:rsid w:val="00CC5B41"/>
    <w:rsid w:val="00CD431D"/>
    <w:rsid w:val="00CD55EB"/>
    <w:rsid w:val="00CE0517"/>
    <w:rsid w:val="00CE489C"/>
    <w:rsid w:val="00CE6FE0"/>
    <w:rsid w:val="00D03314"/>
    <w:rsid w:val="00D05769"/>
    <w:rsid w:val="00D1616E"/>
    <w:rsid w:val="00D34075"/>
    <w:rsid w:val="00D36841"/>
    <w:rsid w:val="00D427D8"/>
    <w:rsid w:val="00D45DCA"/>
    <w:rsid w:val="00D53014"/>
    <w:rsid w:val="00D53377"/>
    <w:rsid w:val="00D56439"/>
    <w:rsid w:val="00D57988"/>
    <w:rsid w:val="00D61E08"/>
    <w:rsid w:val="00D647D3"/>
    <w:rsid w:val="00D83239"/>
    <w:rsid w:val="00D857F4"/>
    <w:rsid w:val="00D90D10"/>
    <w:rsid w:val="00D90E5D"/>
    <w:rsid w:val="00D91299"/>
    <w:rsid w:val="00D95AFA"/>
    <w:rsid w:val="00DA0FFA"/>
    <w:rsid w:val="00DA736E"/>
    <w:rsid w:val="00DB1733"/>
    <w:rsid w:val="00DB5AAE"/>
    <w:rsid w:val="00DB7011"/>
    <w:rsid w:val="00DB7588"/>
    <w:rsid w:val="00DC3115"/>
    <w:rsid w:val="00DC3DAF"/>
    <w:rsid w:val="00DC460A"/>
    <w:rsid w:val="00DC4C86"/>
    <w:rsid w:val="00DD0DC4"/>
    <w:rsid w:val="00DD456B"/>
    <w:rsid w:val="00DD517B"/>
    <w:rsid w:val="00DE4653"/>
    <w:rsid w:val="00E02C87"/>
    <w:rsid w:val="00E0463C"/>
    <w:rsid w:val="00E05FFE"/>
    <w:rsid w:val="00E1059B"/>
    <w:rsid w:val="00E31740"/>
    <w:rsid w:val="00E31A87"/>
    <w:rsid w:val="00E34E44"/>
    <w:rsid w:val="00E378C3"/>
    <w:rsid w:val="00E55A06"/>
    <w:rsid w:val="00E63051"/>
    <w:rsid w:val="00E641DF"/>
    <w:rsid w:val="00E65474"/>
    <w:rsid w:val="00E66A3D"/>
    <w:rsid w:val="00E738EC"/>
    <w:rsid w:val="00E80427"/>
    <w:rsid w:val="00E80550"/>
    <w:rsid w:val="00E80D56"/>
    <w:rsid w:val="00E81455"/>
    <w:rsid w:val="00E86D1F"/>
    <w:rsid w:val="00E875EE"/>
    <w:rsid w:val="00E91179"/>
    <w:rsid w:val="00EB1538"/>
    <w:rsid w:val="00EB1FF6"/>
    <w:rsid w:val="00EB3887"/>
    <w:rsid w:val="00EB45AA"/>
    <w:rsid w:val="00EC0DC9"/>
    <w:rsid w:val="00EC347B"/>
    <w:rsid w:val="00EC3A26"/>
    <w:rsid w:val="00EC6BAB"/>
    <w:rsid w:val="00ED4BAE"/>
    <w:rsid w:val="00ED6C2C"/>
    <w:rsid w:val="00EF0897"/>
    <w:rsid w:val="00EF3716"/>
    <w:rsid w:val="00F163C1"/>
    <w:rsid w:val="00F242E5"/>
    <w:rsid w:val="00F30481"/>
    <w:rsid w:val="00F32083"/>
    <w:rsid w:val="00F35098"/>
    <w:rsid w:val="00F373E5"/>
    <w:rsid w:val="00F40193"/>
    <w:rsid w:val="00F426DB"/>
    <w:rsid w:val="00F43B57"/>
    <w:rsid w:val="00F45AEC"/>
    <w:rsid w:val="00F45C06"/>
    <w:rsid w:val="00F467B5"/>
    <w:rsid w:val="00F50E82"/>
    <w:rsid w:val="00F5124C"/>
    <w:rsid w:val="00F55773"/>
    <w:rsid w:val="00F742DA"/>
    <w:rsid w:val="00F816CD"/>
    <w:rsid w:val="00F8175C"/>
    <w:rsid w:val="00F8362F"/>
    <w:rsid w:val="00F94E8E"/>
    <w:rsid w:val="00FA0F5B"/>
    <w:rsid w:val="00FA1F07"/>
    <w:rsid w:val="00FA6A5E"/>
    <w:rsid w:val="00FB407F"/>
    <w:rsid w:val="00FC227A"/>
    <w:rsid w:val="00FC2A03"/>
    <w:rsid w:val="00FC3600"/>
    <w:rsid w:val="00FC673C"/>
    <w:rsid w:val="00FC6D49"/>
    <w:rsid w:val="00FD0443"/>
    <w:rsid w:val="00FD512B"/>
    <w:rsid w:val="00FE00E6"/>
    <w:rsid w:val="00FE1316"/>
    <w:rsid w:val="00FE48DB"/>
    <w:rsid w:val="00FF0B5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0D1BB8-914D-409D-BFDA-CA2A0204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hr-HR"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986"/>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B0986"/>
    <w:rPr>
      <w:rFonts w:ascii="Calibri" w:eastAsia="Calibri" w:hAnsi="Calibri" w:cs="Times New Roman"/>
      <w:b/>
      <w:bCs/>
      <w:sz w:val="20"/>
      <w:szCs w:val="20"/>
      <w:lang w:eastAsia="en-US"/>
    </w:rPr>
  </w:style>
  <w:style w:type="paragraph" w:styleId="BalloonText">
    <w:name w:val="Balloon Text"/>
    <w:basedOn w:val="Normal"/>
    <w:link w:val="BalloonTextChar"/>
    <w:uiPriority w:val="99"/>
    <w:semiHidden/>
    <w:unhideWhenUsed/>
    <w:rsid w:val="00816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EF6"/>
    <w:rPr>
      <w:rFonts w:ascii="Tahoma" w:eastAsiaTheme="minorEastAsia" w:hAnsi="Tahoma" w:cs="Tahoma"/>
      <w:sz w:val="16"/>
      <w:szCs w:val="16"/>
      <w:lang w:eastAsia="zh-CN"/>
    </w:rPr>
  </w:style>
  <w:style w:type="character" w:styleId="Hyperlink">
    <w:name w:val="Hyperlink"/>
    <w:basedOn w:val="DefaultParagraphFont"/>
    <w:uiPriority w:val="99"/>
    <w:unhideWhenUsed/>
    <w:rsid w:val="005B0E21"/>
    <w:rPr>
      <w:color w:val="0000FF" w:themeColor="hyperlink"/>
      <w:u w:val="single"/>
    </w:rPr>
  </w:style>
  <w:style w:type="paragraph" w:styleId="ListParagraph">
    <w:name w:val="List Paragraph"/>
    <w:basedOn w:val="Normal"/>
    <w:uiPriority w:val="34"/>
    <w:qFormat/>
    <w:rsid w:val="00E0463C"/>
    <w:pPr>
      <w:widowControl w:val="0"/>
      <w:spacing w:after="0" w:line="240" w:lineRule="auto"/>
      <w:ind w:left="720"/>
      <w:contextualSpacing/>
    </w:pPr>
    <w:rPr>
      <w:rFonts w:ascii="Calibri" w:eastAsia="Calibri" w:hAnsi="Calibri" w:cs="Mangal"/>
      <w:sz w:val="24"/>
      <w:szCs w:val="21"/>
      <w:lang w:bidi="hi-IN"/>
    </w:rPr>
  </w:style>
  <w:style w:type="paragraph" w:customStyle="1" w:styleId="Standard">
    <w:name w:val="Standard"/>
    <w:rsid w:val="00C2015D"/>
    <w:pPr>
      <w:suppressAutoHyphens/>
      <w:autoSpaceDN w:val="0"/>
      <w:spacing w:after="0" w:line="240" w:lineRule="auto"/>
      <w:textAlignment w:val="baseline"/>
    </w:pPr>
    <w:rPr>
      <w:rFonts w:ascii="Calibri" w:eastAsia="Calibri" w:hAnsi="Calibri" w:cs="Calibri"/>
      <w:kern w:val="3"/>
      <w:sz w:val="24"/>
      <w:szCs w:val="24"/>
      <w:lang w:eastAsia="zh-CN" w:bidi="hi-IN"/>
    </w:rPr>
  </w:style>
  <w:style w:type="numbering" w:customStyle="1" w:styleId="WWNum1">
    <w:name w:val="WWNum1"/>
    <w:basedOn w:val="NoList"/>
    <w:rsid w:val="00C2015D"/>
    <w:pPr>
      <w:numPr>
        <w:numId w:val="3"/>
      </w:numPr>
    </w:pPr>
  </w:style>
  <w:style w:type="numbering" w:customStyle="1" w:styleId="WWNum2">
    <w:name w:val="WWNum2"/>
    <w:basedOn w:val="NoList"/>
    <w:rsid w:val="00C2015D"/>
    <w:pPr>
      <w:numPr>
        <w:numId w:val="4"/>
      </w:numPr>
    </w:pPr>
  </w:style>
  <w:style w:type="paragraph" w:styleId="CommentText">
    <w:name w:val="annotation text"/>
    <w:basedOn w:val="Normal"/>
    <w:link w:val="CommentTextChar"/>
    <w:uiPriority w:val="99"/>
    <w:semiHidden/>
    <w:unhideWhenUsed/>
    <w:rsid w:val="00C74165"/>
    <w:pPr>
      <w:spacing w:line="240" w:lineRule="auto"/>
    </w:pPr>
    <w:rPr>
      <w:sz w:val="20"/>
      <w:szCs w:val="20"/>
    </w:rPr>
  </w:style>
  <w:style w:type="character" w:customStyle="1" w:styleId="CommentTextChar">
    <w:name w:val="Comment Text Char"/>
    <w:basedOn w:val="DefaultParagraphFont"/>
    <w:link w:val="CommentText"/>
    <w:uiPriority w:val="99"/>
    <w:semiHidden/>
    <w:rsid w:val="00C74165"/>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C74165"/>
    <w:rPr>
      <w:b/>
      <w:bCs/>
    </w:rPr>
  </w:style>
  <w:style w:type="character" w:customStyle="1" w:styleId="CommentSubjectChar">
    <w:name w:val="Comment Subject Char"/>
    <w:basedOn w:val="CommentTextChar"/>
    <w:link w:val="CommentSubject"/>
    <w:uiPriority w:val="99"/>
    <w:semiHidden/>
    <w:rsid w:val="00C74165"/>
    <w:rPr>
      <w:rFonts w:eastAsiaTheme="minorEastAsia"/>
      <w:b/>
      <w:bCs/>
      <w:sz w:val="20"/>
      <w:szCs w:val="20"/>
      <w:lang w:eastAsia="zh-CN"/>
    </w:rPr>
  </w:style>
  <w:style w:type="character" w:styleId="FollowedHyperlink">
    <w:name w:val="FollowedHyperlink"/>
    <w:basedOn w:val="DefaultParagraphFont"/>
    <w:uiPriority w:val="99"/>
    <w:semiHidden/>
    <w:unhideWhenUsed/>
    <w:rsid w:val="001951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ula.hr/hr/eusluge/ekonzultacije/ekonzultacije-u-tijeku/36/nacrt-prijedloga-odluke-o-donosenju-plana-davanja-koncesije-za-2021-godin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530B4C-8A20-40D4-BB58-642A2F044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3773</Words>
  <Characters>21510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Mošnja Mirna</cp:lastModifiedBy>
  <cp:revision>2</cp:revision>
  <cp:lastPrinted>2020-11-30T12:34:00Z</cp:lastPrinted>
  <dcterms:created xsi:type="dcterms:W3CDTF">2020-12-01T11:46:00Z</dcterms:created>
  <dcterms:modified xsi:type="dcterms:W3CDTF">2020-12-01T11:46:00Z</dcterms:modified>
</cp:coreProperties>
</file>