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7A84" w14:textId="77777777" w:rsidR="00016415" w:rsidRPr="00E90A31" w:rsidRDefault="00016415" w:rsidP="00016415">
      <w:pPr>
        <w:autoSpaceDE w:val="0"/>
        <w:autoSpaceDN w:val="0"/>
        <w:adjustRightInd w:val="0"/>
        <w:spacing w:after="0" w:line="240" w:lineRule="auto"/>
        <w:ind w:right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E90A31">
        <w:rPr>
          <w:rFonts w:ascii="Times New Roman" w:hAnsi="Times New Roman"/>
          <w:b/>
          <w:bCs/>
          <w:sz w:val="24"/>
          <w:szCs w:val="24"/>
        </w:rPr>
        <w:t>OBRAZLOŽENJE</w:t>
      </w:r>
    </w:p>
    <w:p w14:paraId="56C60EFD" w14:textId="77777777" w:rsidR="00016415" w:rsidRPr="00E90A31" w:rsidRDefault="00016415" w:rsidP="00016415">
      <w:pPr>
        <w:autoSpaceDE w:val="0"/>
        <w:autoSpaceDN w:val="0"/>
        <w:adjustRightInd w:val="0"/>
        <w:spacing w:after="0" w:line="240" w:lineRule="auto"/>
        <w:ind w:right="42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39F57A" w14:textId="77777777" w:rsidR="00016415" w:rsidRPr="00E90A31" w:rsidRDefault="00016415" w:rsidP="00016415">
      <w:pPr>
        <w:autoSpaceDE w:val="0"/>
        <w:autoSpaceDN w:val="0"/>
        <w:adjustRightInd w:val="0"/>
        <w:spacing w:after="0" w:line="240" w:lineRule="auto"/>
        <w:ind w:right="42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58AFC92" w14:textId="77777777" w:rsidR="00016415" w:rsidRPr="00E90A31" w:rsidRDefault="00016415" w:rsidP="00016415">
      <w:pPr>
        <w:autoSpaceDE w:val="0"/>
        <w:autoSpaceDN w:val="0"/>
        <w:adjustRightInd w:val="0"/>
        <w:spacing w:after="0" w:line="240" w:lineRule="auto"/>
        <w:ind w:right="426"/>
        <w:rPr>
          <w:rFonts w:ascii="Times New Roman" w:hAnsi="Times New Roman"/>
          <w:b/>
          <w:bCs/>
          <w:sz w:val="24"/>
          <w:szCs w:val="24"/>
        </w:rPr>
      </w:pPr>
      <w:r w:rsidRPr="00E90A31">
        <w:rPr>
          <w:rFonts w:ascii="Times New Roman" w:hAnsi="Times New Roman"/>
          <w:b/>
          <w:bCs/>
          <w:sz w:val="24"/>
          <w:szCs w:val="24"/>
        </w:rPr>
        <w:t>I PRAVNI TEMELJ ZA DONOŠENJE AKTA</w:t>
      </w:r>
    </w:p>
    <w:p w14:paraId="5008502B" w14:textId="77777777" w:rsidR="00016415" w:rsidRPr="00CB38D2" w:rsidRDefault="00016415" w:rsidP="00016415">
      <w:pPr>
        <w:autoSpaceDE w:val="0"/>
        <w:autoSpaceDN w:val="0"/>
        <w:adjustRightInd w:val="0"/>
        <w:spacing w:after="0" w:line="240" w:lineRule="auto"/>
        <w:ind w:right="426"/>
        <w:rPr>
          <w:rFonts w:ascii="Times New Roman" w:hAnsi="Times New Roman"/>
          <w:b/>
          <w:bCs/>
          <w:sz w:val="24"/>
          <w:szCs w:val="24"/>
        </w:rPr>
      </w:pPr>
    </w:p>
    <w:p w14:paraId="0E9E74DB" w14:textId="32FA3894" w:rsidR="006F3DA7" w:rsidRDefault="00016415" w:rsidP="00CB38D2">
      <w:pPr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 w:rsidRPr="00CB38D2">
        <w:rPr>
          <w:rFonts w:ascii="Times New Roman" w:hAnsi="Times New Roman"/>
          <w:sz w:val="24"/>
          <w:szCs w:val="24"/>
        </w:rPr>
        <w:t>Pravni temelj za donošenje akta sadržan je u članku</w:t>
      </w:r>
      <w:r w:rsidR="00CB38D2" w:rsidRPr="00CB38D2">
        <w:rPr>
          <w:rFonts w:ascii="Times New Roman" w:hAnsi="Times New Roman"/>
          <w:noProof/>
          <w:sz w:val="24"/>
          <w:szCs w:val="24"/>
        </w:rPr>
        <w:t xml:space="preserve"> 19. i </w:t>
      </w:r>
      <w:r w:rsidR="00D03A1B">
        <w:rPr>
          <w:rFonts w:ascii="Times New Roman" w:hAnsi="Times New Roman"/>
          <w:noProof/>
          <w:sz w:val="24"/>
          <w:szCs w:val="24"/>
        </w:rPr>
        <w:t>27</w:t>
      </w:r>
      <w:r w:rsidR="00CB38D2" w:rsidRPr="00CB38D2">
        <w:rPr>
          <w:rFonts w:ascii="Times New Roman" w:hAnsi="Times New Roman"/>
          <w:noProof/>
          <w:sz w:val="24"/>
          <w:szCs w:val="24"/>
        </w:rPr>
        <w:t>. Zakona o lokalnoj i područnoj (regionalnoj) samoupravi (Narodne novine broj 33/01, 60/01, 129/05, 109/17, 125/08, 36/09, 150/11, 144/12, 19/13, 137/15, 123/17, 98/19 i 144/20) i člank</w:t>
      </w:r>
      <w:r w:rsidR="00CB38D2">
        <w:rPr>
          <w:rFonts w:ascii="Times New Roman" w:hAnsi="Times New Roman"/>
          <w:noProof/>
          <w:sz w:val="24"/>
          <w:szCs w:val="24"/>
        </w:rPr>
        <w:t>u</w:t>
      </w:r>
      <w:r w:rsidR="00CB38D2" w:rsidRPr="00CB38D2">
        <w:rPr>
          <w:rFonts w:ascii="Times New Roman" w:hAnsi="Times New Roman"/>
          <w:noProof/>
          <w:sz w:val="24"/>
          <w:szCs w:val="24"/>
        </w:rPr>
        <w:t xml:space="preserve"> 61. Statuta Grada Pula - Pola (Službene novine – Bollettino ufficiale Pula - Pola broj 7/09, 16/09, 12/11, 1/13, 2/18, 2/20, 4/21 i 5/21)</w:t>
      </w:r>
      <w:r w:rsidR="002E24CF">
        <w:rPr>
          <w:rFonts w:ascii="Times New Roman" w:hAnsi="Times New Roman"/>
          <w:noProof/>
          <w:sz w:val="24"/>
          <w:szCs w:val="24"/>
        </w:rPr>
        <w:t xml:space="preserve"> u vezi sa točke 5. </w:t>
      </w:r>
      <w:r w:rsidR="002E24CF" w:rsidRPr="002E24CF">
        <w:rPr>
          <w:rFonts w:ascii="Times New Roman" w:hAnsi="Times New Roman"/>
          <w:noProof/>
          <w:sz w:val="24"/>
          <w:szCs w:val="24"/>
        </w:rPr>
        <w:t xml:space="preserve">Programa ugradnje </w:t>
      </w:r>
      <w:bookmarkStart w:id="0" w:name="_Hlk222997555"/>
      <w:r w:rsidR="002E24CF" w:rsidRPr="002E24CF">
        <w:rPr>
          <w:rFonts w:ascii="Times New Roman" w:hAnsi="Times New Roman"/>
          <w:noProof/>
          <w:sz w:val="24"/>
          <w:szCs w:val="24"/>
        </w:rPr>
        <w:t>dizala i uređaja za olakšan pristup za slabo pokretne osobe u postojeće zgrade</w:t>
      </w:r>
      <w:bookmarkEnd w:id="0"/>
      <w:r w:rsidR="002E24CF" w:rsidRPr="002E24CF">
        <w:rPr>
          <w:rFonts w:ascii="Times New Roman" w:hAnsi="Times New Roman"/>
          <w:noProof/>
          <w:sz w:val="24"/>
          <w:szCs w:val="24"/>
        </w:rPr>
        <w:t xml:space="preserve"> (Narodne novine 11/2026)</w:t>
      </w:r>
      <w:r w:rsidR="002E24CF">
        <w:rPr>
          <w:rFonts w:ascii="Times New Roman" w:hAnsi="Times New Roman"/>
          <w:noProof/>
          <w:sz w:val="24"/>
          <w:szCs w:val="24"/>
        </w:rPr>
        <w:t>.</w:t>
      </w:r>
      <w:r w:rsidR="002E24CF" w:rsidRPr="002E24CF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6B5ECDF3" w14:textId="77777777" w:rsidR="001A3D1E" w:rsidRPr="00E90A31" w:rsidRDefault="001A3D1E" w:rsidP="001A3D1E">
      <w:pPr>
        <w:autoSpaceDE w:val="0"/>
        <w:autoSpaceDN w:val="0"/>
        <w:adjustRightInd w:val="0"/>
        <w:spacing w:after="0" w:line="240" w:lineRule="auto"/>
        <w:ind w:right="426"/>
        <w:rPr>
          <w:rFonts w:ascii="Times New Roman" w:hAnsi="Times New Roman"/>
          <w:b/>
          <w:bCs/>
          <w:sz w:val="24"/>
          <w:szCs w:val="24"/>
        </w:rPr>
      </w:pPr>
      <w:r w:rsidRPr="00E90A31">
        <w:rPr>
          <w:rFonts w:ascii="Times New Roman" w:hAnsi="Times New Roman"/>
          <w:b/>
          <w:bCs/>
          <w:sz w:val="24"/>
          <w:szCs w:val="24"/>
        </w:rPr>
        <w:t>II PRIKAZ STANJA I RAZLOZI DONOŠENJA AKTA</w:t>
      </w:r>
    </w:p>
    <w:p w14:paraId="2F0FDFF6" w14:textId="77777777" w:rsidR="001A3D1E" w:rsidRPr="00E90A31" w:rsidRDefault="001A3D1E" w:rsidP="001A3D1E">
      <w:pPr>
        <w:autoSpaceDE w:val="0"/>
        <w:autoSpaceDN w:val="0"/>
        <w:adjustRightInd w:val="0"/>
        <w:spacing w:after="0" w:line="240" w:lineRule="auto"/>
        <w:ind w:right="426"/>
        <w:jc w:val="both"/>
        <w:rPr>
          <w:rFonts w:ascii="Times New Roman" w:hAnsi="Times New Roman"/>
          <w:sz w:val="24"/>
          <w:szCs w:val="24"/>
        </w:rPr>
      </w:pPr>
    </w:p>
    <w:p w14:paraId="2BDE2FFC" w14:textId="13AA093C" w:rsidR="008F3C72" w:rsidRDefault="004F0A14" w:rsidP="00836525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Vlada Republike Hrvatske donijela je na sjednici održanoj dana 29. siječnja 2026. godine Program ugradnje </w:t>
      </w:r>
      <w:r w:rsidRPr="004F0A14">
        <w:rPr>
          <w:rFonts w:ascii="Times New Roman" w:eastAsia="Times New Roman" w:hAnsi="Times New Roman"/>
          <w:sz w:val="24"/>
          <w:szCs w:val="24"/>
          <w:lang w:eastAsia="hr-HR"/>
        </w:rPr>
        <w:t>dizala i uređaja za olakšan pristup za slabo pokretne osobe u postojeće zgrade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F0A14">
        <w:rPr>
          <w:rFonts w:ascii="Times New Roman" w:eastAsia="Times New Roman" w:hAnsi="Times New Roman"/>
          <w:sz w:val="24"/>
          <w:szCs w:val="24"/>
          <w:lang w:eastAsia="hr-HR"/>
        </w:rPr>
        <w:t>(Narodne novine 11/2026 – u daljnjem tekstu: Program)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kojim se razrađuju mjere ugradnje dizala i uređaja za olakšan pristup za slabo pokretne osobe u postojeće zgrade radi povećanja kvalitete života stanara</w:t>
      </w:r>
      <w:r w:rsidR="00BB11E3">
        <w:rPr>
          <w:rFonts w:ascii="Times New Roman" w:eastAsia="Times New Roman" w:hAnsi="Times New Roman"/>
          <w:sz w:val="24"/>
          <w:szCs w:val="24"/>
          <w:lang w:eastAsia="hr-HR"/>
        </w:rPr>
        <w:t xml:space="preserve"> i propisuju uvjeti za sufinanciranje navedenih radova kao i mogućnost sudjelovanja jedinica lokalne samouprave.</w:t>
      </w:r>
    </w:p>
    <w:p w14:paraId="59B2751E" w14:textId="767C7671" w:rsidR="00BB11E3" w:rsidRDefault="00BB11E3" w:rsidP="00836525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točki 5. Programa mjere za poticanje ugradnje dizala i uređaja za olakšan pristup u postojeće zgrade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sufinanacirat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će se iz sredstava državnog proračuna do jedne trećine ukupnih troškova ugradnje što podrazumijeva izradu projektne dokumentacije, izvođenja radova 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stučni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nadzor ugradnje novog ili zamjene postojećeg neispravnog dizala ili uređaja za olakšan pristup sukladno propisima kojima se uređuje gradnja i tehnički zahtjevi za proizvode i ocjenjivanje sukladnosti.</w:t>
      </w:r>
    </w:p>
    <w:p w14:paraId="5A66E960" w14:textId="12067B6D" w:rsidR="00BB11E3" w:rsidRDefault="00BB11E3" w:rsidP="00836525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Također, točkom 5. Programa predviđeno je da jedinice lokalne samouprave mogu sudjelovati u sufinanciranju navedenih aktivnosti.</w:t>
      </w:r>
    </w:p>
    <w:p w14:paraId="77A6D048" w14:textId="084758C8" w:rsidR="00BB11E3" w:rsidRDefault="00BB11E3" w:rsidP="00836525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navedenome, radi sudjelovanja u Programu, Grad Pula – Pola ovom Odlukom utvrđuje interes za sudjelovanje </w:t>
      </w:r>
      <w:r w:rsidRPr="00BB11E3">
        <w:rPr>
          <w:rFonts w:ascii="Times New Roman" w:eastAsia="Times New Roman" w:hAnsi="Times New Roman"/>
          <w:sz w:val="24"/>
          <w:szCs w:val="24"/>
          <w:lang w:eastAsia="hr-HR"/>
        </w:rPr>
        <w:t>u sufinanciranju ugradnje dizala i uređaja za olakšan pristup za slabo pokretne osobe u postojećim zgradama na području Grada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Pula – Pola </w:t>
      </w:r>
      <w:r w:rsidRPr="00BB11E3">
        <w:rPr>
          <w:rFonts w:ascii="Times New Roman" w:eastAsia="Times New Roman" w:hAnsi="Times New Roman"/>
          <w:sz w:val="24"/>
          <w:szCs w:val="24"/>
          <w:lang w:eastAsia="hr-HR"/>
        </w:rPr>
        <w:t>sukladno Programu</w:t>
      </w:r>
    </w:p>
    <w:p w14:paraId="5A85E02C" w14:textId="609A3B58" w:rsidR="00836525" w:rsidRPr="00E90A31" w:rsidRDefault="00BB11E3" w:rsidP="00836525">
      <w:pPr>
        <w:ind w:firstLine="720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Odlukom se utvrđuje visina sufinanciranja i to </w:t>
      </w:r>
      <w:r w:rsidRPr="00BB11E3">
        <w:rPr>
          <w:rFonts w:ascii="Times New Roman" w:eastAsia="Times New Roman" w:hAnsi="Times New Roman"/>
          <w:sz w:val="24"/>
          <w:szCs w:val="24"/>
          <w:lang w:eastAsia="hr-HR"/>
        </w:rPr>
        <w:t xml:space="preserve">50% ukupnih troškova ugradnje dizala i uređaja za olakšan pristup za slabo pokretne osobe, u skladu s uvjetima i kriterijima propisanim Programom, i to za zgrade do </w:t>
      </w:r>
      <w:proofErr w:type="spellStart"/>
      <w:r w:rsidRPr="00BB11E3">
        <w:rPr>
          <w:rFonts w:ascii="Times New Roman" w:eastAsia="Times New Roman" w:hAnsi="Times New Roman"/>
          <w:sz w:val="24"/>
          <w:szCs w:val="24"/>
          <w:lang w:eastAsia="hr-HR"/>
        </w:rPr>
        <w:t>etažnosti</w:t>
      </w:r>
      <w:proofErr w:type="spellEnd"/>
      <w:r w:rsidRPr="00BB11E3">
        <w:rPr>
          <w:rFonts w:ascii="Times New Roman" w:eastAsia="Times New Roman" w:hAnsi="Times New Roman"/>
          <w:sz w:val="24"/>
          <w:szCs w:val="24"/>
          <w:lang w:eastAsia="hr-HR"/>
        </w:rPr>
        <w:t xml:space="preserve"> – četiri nadzemne etaže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(neovisno o broju podzemnih etaža)</w:t>
      </w:r>
      <w:r w:rsidRPr="00BB11E3">
        <w:rPr>
          <w:rFonts w:ascii="Times New Roman" w:eastAsia="Times New Roman" w:hAnsi="Times New Roman"/>
          <w:sz w:val="24"/>
          <w:szCs w:val="24"/>
          <w:lang w:eastAsia="hr-HR"/>
        </w:rPr>
        <w:t xml:space="preserve"> najviše do 30.000,00 eura s uključenim porezom na dodanu vrijednost za jednu zgradu, te sa dodatnih 10.000,00 eura za svaku dodatnu nadzemnu etažu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48361FE1" w14:textId="77777777" w:rsidR="008F3C72" w:rsidRDefault="008F3C72" w:rsidP="00836525">
      <w:pPr>
        <w:ind w:firstLine="720"/>
        <w:jc w:val="both"/>
        <w:rPr>
          <w:rFonts w:ascii="Times New Roman" w:hAnsi="Times New Roman"/>
          <w:color w:val="231F20"/>
          <w:sz w:val="24"/>
          <w:szCs w:val="24"/>
        </w:rPr>
      </w:pPr>
    </w:p>
    <w:p w14:paraId="77806856" w14:textId="77777777" w:rsidR="006E3106" w:rsidRPr="00E90A31" w:rsidRDefault="006E3106" w:rsidP="006E310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03874C44" w14:textId="77777777" w:rsidR="006E3106" w:rsidRPr="006E3106" w:rsidRDefault="006E3106" w:rsidP="006E3106">
      <w:pPr>
        <w:ind w:firstLine="720"/>
        <w:jc w:val="both"/>
        <w:rPr>
          <w:rFonts w:ascii="Times New Roman" w:eastAsiaTheme="minorEastAsia" w:hAnsi="Times New Roman"/>
          <w:sz w:val="24"/>
          <w:szCs w:val="24"/>
          <w:u w:val="single"/>
          <w:lang w:eastAsia="hr-HR"/>
        </w:rPr>
      </w:pPr>
      <w:r w:rsidRPr="006E3106">
        <w:rPr>
          <w:rFonts w:ascii="Times New Roman" w:eastAsiaTheme="minorEastAsia" w:hAnsi="Times New Roman"/>
          <w:b/>
          <w:sz w:val="24"/>
          <w:szCs w:val="24"/>
          <w:u w:val="single"/>
          <w:lang w:eastAsia="hr-HR"/>
        </w:rPr>
        <w:lastRenderedPageBreak/>
        <w:t>Savjetovanje s zainteresiranom javnošću</w:t>
      </w:r>
      <w:r w:rsidRPr="006E3106">
        <w:rPr>
          <w:rFonts w:ascii="Times New Roman" w:eastAsiaTheme="minorEastAsia" w:hAnsi="Times New Roman"/>
          <w:sz w:val="24"/>
          <w:szCs w:val="24"/>
          <w:u w:val="single"/>
          <w:lang w:eastAsia="hr-HR"/>
        </w:rPr>
        <w:t xml:space="preserve"> </w:t>
      </w:r>
    </w:p>
    <w:p w14:paraId="347F174A" w14:textId="601927FF" w:rsidR="006E3106" w:rsidRPr="006E3106" w:rsidRDefault="006E3106" w:rsidP="006E3106">
      <w:pPr>
        <w:ind w:firstLine="708"/>
        <w:jc w:val="both"/>
        <w:rPr>
          <w:rFonts w:ascii="Times New Roman" w:eastAsiaTheme="minorEastAsia" w:hAnsi="Times New Roman"/>
          <w:sz w:val="24"/>
          <w:szCs w:val="24"/>
          <w:lang w:eastAsia="hr-HR"/>
        </w:rPr>
      </w:pPr>
      <w:r w:rsidRPr="006E3106">
        <w:rPr>
          <w:rFonts w:ascii="Times New Roman" w:eastAsiaTheme="minorEastAsia" w:hAnsi="Times New Roman"/>
          <w:sz w:val="24"/>
          <w:szCs w:val="24"/>
          <w:lang w:eastAsia="hr-HR"/>
        </w:rPr>
        <w:t>U skladu s odredbama članka 11. Zakona o pravu na pristup informacijama (Narodne novine br</w:t>
      </w:r>
      <w:r w:rsidR="00E237F5">
        <w:rPr>
          <w:rFonts w:ascii="Times New Roman" w:eastAsiaTheme="minorEastAsia" w:hAnsi="Times New Roman"/>
          <w:sz w:val="24"/>
          <w:szCs w:val="24"/>
          <w:lang w:eastAsia="hr-HR"/>
        </w:rPr>
        <w:t>oj</w:t>
      </w:r>
      <w:r w:rsidRPr="006E3106">
        <w:rPr>
          <w:rFonts w:ascii="Times New Roman" w:eastAsiaTheme="minorEastAsia" w:hAnsi="Times New Roman"/>
          <w:sz w:val="24"/>
          <w:szCs w:val="24"/>
          <w:lang w:eastAsia="hr-HR"/>
        </w:rPr>
        <w:t xml:space="preserve"> 25/13, 85/15, 69/22) Grad Pula-Pola, pri donošenju Odluke, provodi  savjetovanje sa zainteresiranom javnošću s ciljem upoznavanja javnosti s Nacrtom prijedloga Odluke i pribavljanjem  mišljenja, primjedbi i prijedloga zainteresirane javnosti, kako bi isti, ukoliko  su zakonito i stručno utemeljeni, bili prihvaćeni i u konačnosti ugrađeni u odredbe Odluke.</w:t>
      </w:r>
    </w:p>
    <w:p w14:paraId="0AAD41D6" w14:textId="4A5F0BD0" w:rsidR="006E3106" w:rsidRPr="006E3106" w:rsidRDefault="006E3106" w:rsidP="006E3106">
      <w:pPr>
        <w:ind w:firstLine="708"/>
        <w:jc w:val="both"/>
        <w:rPr>
          <w:rFonts w:ascii="Times New Roman" w:eastAsiaTheme="minorEastAsia" w:hAnsi="Times New Roman"/>
          <w:b/>
          <w:iCs/>
          <w:sz w:val="24"/>
          <w:szCs w:val="24"/>
          <w:lang w:eastAsia="hr-HR"/>
        </w:rPr>
      </w:pPr>
      <w:r w:rsidRPr="006E3106">
        <w:rPr>
          <w:rFonts w:ascii="Times New Roman" w:eastAsiaTheme="minorEastAsia" w:hAnsi="Times New Roman"/>
          <w:b/>
          <w:sz w:val="24"/>
          <w:szCs w:val="24"/>
          <w:lang w:eastAsia="hr-HR"/>
        </w:rPr>
        <w:t>Savjetovanje s zainteresiranom javnošću započinje dana</w:t>
      </w:r>
      <w:r w:rsidR="00BA0C35">
        <w:rPr>
          <w:rFonts w:ascii="Times New Roman" w:eastAsiaTheme="minorEastAsia" w:hAnsi="Times New Roman"/>
          <w:b/>
          <w:sz w:val="24"/>
          <w:szCs w:val="24"/>
          <w:lang w:eastAsia="hr-HR"/>
        </w:rPr>
        <w:t xml:space="preserve"> </w:t>
      </w:r>
      <w:r w:rsidR="00FF5EDA">
        <w:rPr>
          <w:rFonts w:ascii="Times New Roman" w:eastAsiaTheme="minorEastAsia" w:hAnsi="Times New Roman"/>
          <w:b/>
          <w:sz w:val="24"/>
          <w:szCs w:val="24"/>
          <w:lang w:eastAsia="hr-HR"/>
        </w:rPr>
        <w:t>26.</w:t>
      </w:r>
      <w:r w:rsidR="00CC337F">
        <w:rPr>
          <w:rFonts w:ascii="Times New Roman" w:eastAsiaTheme="minorEastAsia" w:hAnsi="Times New Roman"/>
          <w:b/>
          <w:sz w:val="24"/>
          <w:szCs w:val="24"/>
          <w:lang w:eastAsia="hr-HR"/>
        </w:rPr>
        <w:t xml:space="preserve"> veljače</w:t>
      </w:r>
      <w:r w:rsidRPr="006E3106">
        <w:rPr>
          <w:rFonts w:ascii="Times New Roman" w:eastAsiaTheme="minorEastAsia" w:hAnsi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Theme="minorEastAsia" w:hAnsi="Times New Roman"/>
          <w:b/>
          <w:sz w:val="24"/>
          <w:szCs w:val="24"/>
          <w:lang w:eastAsia="hr-HR"/>
        </w:rPr>
        <w:t>2026.</w:t>
      </w:r>
      <w:r w:rsidRPr="006E3106">
        <w:rPr>
          <w:rFonts w:ascii="Times New Roman" w:eastAsiaTheme="minorEastAsia" w:hAnsi="Times New Roman"/>
          <w:b/>
          <w:sz w:val="24"/>
          <w:szCs w:val="24"/>
          <w:lang w:eastAsia="hr-HR"/>
        </w:rPr>
        <w:t xml:space="preserve"> godine</w:t>
      </w:r>
      <w:r w:rsidR="00933CB2">
        <w:rPr>
          <w:rFonts w:ascii="Times New Roman" w:eastAsiaTheme="minorEastAsia" w:hAnsi="Times New Roman"/>
          <w:b/>
          <w:sz w:val="24"/>
          <w:szCs w:val="24"/>
          <w:lang w:eastAsia="hr-HR"/>
        </w:rPr>
        <w:t>,</w:t>
      </w:r>
      <w:r w:rsidRPr="006E3106">
        <w:rPr>
          <w:rFonts w:ascii="Times New Roman" w:eastAsiaTheme="minorEastAsia" w:hAnsi="Times New Roman"/>
          <w:b/>
          <w:sz w:val="24"/>
          <w:szCs w:val="24"/>
          <w:lang w:eastAsia="hr-HR"/>
        </w:rPr>
        <w:t xml:space="preserve"> te završava zaključno s danom</w:t>
      </w:r>
      <w:r w:rsidR="00BA0C35">
        <w:rPr>
          <w:rFonts w:ascii="Times New Roman" w:eastAsiaTheme="minorEastAsia" w:hAnsi="Times New Roman"/>
          <w:b/>
          <w:sz w:val="24"/>
          <w:szCs w:val="24"/>
          <w:lang w:eastAsia="hr-HR"/>
        </w:rPr>
        <w:t xml:space="preserve"> </w:t>
      </w:r>
      <w:r w:rsidR="00FF5EDA">
        <w:rPr>
          <w:rFonts w:ascii="Times New Roman" w:eastAsiaTheme="minorEastAsia" w:hAnsi="Times New Roman"/>
          <w:b/>
          <w:sz w:val="24"/>
          <w:szCs w:val="24"/>
          <w:lang w:eastAsia="hr-HR"/>
        </w:rPr>
        <w:t>28.</w:t>
      </w:r>
      <w:r w:rsidR="00CC337F">
        <w:rPr>
          <w:rFonts w:ascii="Times New Roman" w:eastAsiaTheme="minorEastAsia" w:hAnsi="Times New Roman"/>
          <w:b/>
          <w:sz w:val="24"/>
          <w:szCs w:val="24"/>
          <w:lang w:eastAsia="hr-HR"/>
        </w:rPr>
        <w:t xml:space="preserve"> ožujka</w:t>
      </w:r>
      <w:r w:rsidRPr="006E3106">
        <w:rPr>
          <w:rFonts w:ascii="Times New Roman" w:eastAsiaTheme="minorEastAsia" w:hAnsi="Times New Roman"/>
          <w:b/>
          <w:sz w:val="24"/>
          <w:szCs w:val="24"/>
          <w:lang w:eastAsia="hr-HR"/>
        </w:rPr>
        <w:t xml:space="preserve"> 202</w:t>
      </w:r>
      <w:r>
        <w:rPr>
          <w:rFonts w:ascii="Times New Roman" w:eastAsiaTheme="minorEastAsia" w:hAnsi="Times New Roman"/>
          <w:b/>
          <w:sz w:val="24"/>
          <w:szCs w:val="24"/>
          <w:lang w:eastAsia="hr-HR"/>
        </w:rPr>
        <w:t>6</w:t>
      </w:r>
      <w:r w:rsidRPr="006E3106">
        <w:rPr>
          <w:rFonts w:ascii="Times New Roman" w:eastAsiaTheme="minorEastAsia" w:hAnsi="Times New Roman"/>
          <w:b/>
          <w:sz w:val="24"/>
          <w:szCs w:val="24"/>
          <w:lang w:eastAsia="hr-HR"/>
        </w:rPr>
        <w:t>. godine</w:t>
      </w:r>
      <w:r w:rsidRPr="006E3106">
        <w:rPr>
          <w:rFonts w:ascii="Times New Roman" w:eastAsiaTheme="minorEastAsia" w:hAnsi="Times New Roman"/>
          <w:sz w:val="24"/>
          <w:szCs w:val="24"/>
          <w:lang w:eastAsia="hr-HR"/>
        </w:rPr>
        <w:t xml:space="preserve"> koji je ujedno i krajnji rok za dostavu mišljenja, primjedbi i prijedloga na Nacrt prijedloga Odluke.</w:t>
      </w:r>
    </w:p>
    <w:p w14:paraId="44798FEA" w14:textId="3E13EA12" w:rsidR="00A42FE1" w:rsidRDefault="006E3106" w:rsidP="00CB093E">
      <w:pPr>
        <w:ind w:firstLine="708"/>
        <w:rPr>
          <w:rFonts w:ascii="Times New Roman" w:eastAsiaTheme="minorEastAsia" w:hAnsi="Times New Roman"/>
          <w:iCs/>
          <w:sz w:val="24"/>
          <w:szCs w:val="24"/>
          <w:lang w:eastAsia="hr-HR"/>
        </w:rPr>
      </w:pPr>
      <w:r w:rsidRPr="006E3106">
        <w:rPr>
          <w:rFonts w:ascii="Times New Roman" w:eastAsiaTheme="minorEastAsia" w:hAnsi="Times New Roman"/>
          <w:iCs/>
          <w:sz w:val="24"/>
          <w:szCs w:val="24"/>
          <w:lang w:eastAsia="hr-HR"/>
        </w:rPr>
        <w:t>Adresa e-pošte na koju se šalju očitovanja zainteresirane javnosti na</w:t>
      </w:r>
      <w:r w:rsidR="00BB12B6">
        <w:rPr>
          <w:rFonts w:ascii="Times New Roman" w:eastAsiaTheme="minorEastAsia" w:hAnsi="Times New Roman"/>
          <w:iCs/>
          <w:sz w:val="24"/>
          <w:szCs w:val="24"/>
          <w:lang w:eastAsia="hr-HR"/>
        </w:rPr>
        <w:t xml:space="preserve"> obrascu sudjelovanja javnosti:</w:t>
      </w:r>
      <w:r w:rsidR="00CC337F">
        <w:rPr>
          <w:rFonts w:ascii="Times New Roman" w:eastAsiaTheme="minorEastAsia" w:hAnsi="Times New Roman"/>
          <w:iCs/>
          <w:sz w:val="24"/>
          <w:szCs w:val="24"/>
          <w:lang w:eastAsia="hr-HR"/>
        </w:rPr>
        <w:t xml:space="preserve"> </w:t>
      </w:r>
      <w:hyperlink r:id="rId5" w:history="1">
        <w:r w:rsidR="003E288F" w:rsidRPr="00030EA5">
          <w:rPr>
            <w:rStyle w:val="Hiperveza"/>
            <w:rFonts w:ascii="Times New Roman" w:eastAsiaTheme="minorEastAsia" w:hAnsi="Times New Roman"/>
            <w:iCs/>
            <w:sz w:val="24"/>
            <w:szCs w:val="24"/>
            <w:lang w:eastAsia="hr-HR"/>
          </w:rPr>
          <w:t>ugradnja.dizala@pula.hr</w:t>
        </w:r>
      </w:hyperlink>
    </w:p>
    <w:p w14:paraId="0DB8F85A" w14:textId="77777777" w:rsidR="00CC337F" w:rsidRDefault="00CC337F" w:rsidP="00CB093E">
      <w:pPr>
        <w:ind w:firstLine="708"/>
        <w:rPr>
          <w:rFonts w:asciiTheme="minorHAnsi" w:eastAsiaTheme="minorEastAsia" w:hAnsiTheme="minorHAnsi" w:cstheme="minorBidi"/>
          <w:lang w:eastAsia="hr-HR"/>
        </w:rPr>
      </w:pPr>
    </w:p>
    <w:p w14:paraId="51F78306" w14:textId="76C72CC8" w:rsidR="006E3106" w:rsidRPr="006E3106" w:rsidRDefault="006E3106" w:rsidP="00A42FE1">
      <w:pPr>
        <w:rPr>
          <w:rFonts w:ascii="Times New Roman" w:eastAsia="Times New Roman" w:hAnsi="Times New Roman" w:cstheme="minorBidi"/>
          <w:sz w:val="24"/>
          <w:szCs w:val="24"/>
          <w:lang w:eastAsia="hr-HR"/>
        </w:rPr>
      </w:pPr>
      <w:r w:rsidRPr="006E3106">
        <w:rPr>
          <w:rFonts w:ascii="Times New Roman" w:eastAsia="Times New Roman" w:hAnsi="Times New Roman" w:cstheme="minorBidi"/>
          <w:b/>
          <w:sz w:val="24"/>
          <w:szCs w:val="24"/>
          <w:lang w:eastAsia="hr-HR"/>
        </w:rPr>
        <w:t xml:space="preserve">             </w:t>
      </w:r>
    </w:p>
    <w:p w14:paraId="1F6A6BA0" w14:textId="77777777" w:rsidR="006E3106" w:rsidRPr="006E3106" w:rsidRDefault="006E3106" w:rsidP="006E3106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  <w:lang w:eastAsia="hr-HR"/>
        </w:rPr>
      </w:pPr>
    </w:p>
    <w:p w14:paraId="50AFA8EC" w14:textId="77777777" w:rsidR="006E3106" w:rsidRPr="006E3106" w:rsidRDefault="006E3106" w:rsidP="006E310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hr-HR"/>
        </w:rPr>
      </w:pPr>
    </w:p>
    <w:p w14:paraId="7DF050BB" w14:textId="77777777" w:rsidR="006E3106" w:rsidRPr="006E3106" w:rsidRDefault="006E3106" w:rsidP="006E3106">
      <w:pPr>
        <w:rPr>
          <w:rFonts w:ascii="Times New Roman" w:eastAsiaTheme="minorEastAsia" w:hAnsi="Times New Roman"/>
          <w:sz w:val="24"/>
          <w:szCs w:val="24"/>
          <w:lang w:eastAsia="hr-HR"/>
        </w:rPr>
      </w:pPr>
    </w:p>
    <w:p w14:paraId="0755FE76" w14:textId="77777777" w:rsidR="006E3106" w:rsidRPr="006E3106" w:rsidRDefault="006E3106" w:rsidP="006E3106">
      <w:pPr>
        <w:rPr>
          <w:rFonts w:asciiTheme="minorHAnsi" w:eastAsiaTheme="minorEastAsia" w:hAnsiTheme="minorHAnsi" w:cstheme="minorBidi"/>
          <w:lang w:eastAsia="hr-HR"/>
        </w:rPr>
      </w:pPr>
    </w:p>
    <w:p w14:paraId="3711C6B7" w14:textId="77777777" w:rsidR="00836525" w:rsidRPr="00E90A31" w:rsidRDefault="00836525" w:rsidP="006E3106">
      <w:pPr>
        <w:autoSpaceDE w:val="0"/>
        <w:autoSpaceDN w:val="0"/>
        <w:adjustRightInd w:val="0"/>
        <w:spacing w:after="0" w:line="240" w:lineRule="auto"/>
        <w:ind w:right="426"/>
        <w:jc w:val="both"/>
        <w:rPr>
          <w:rFonts w:ascii="Times New Roman" w:hAnsi="Times New Roman"/>
          <w:sz w:val="24"/>
          <w:szCs w:val="24"/>
        </w:rPr>
      </w:pPr>
    </w:p>
    <w:p w14:paraId="36DC134C" w14:textId="77777777" w:rsidR="00836525" w:rsidRPr="00CB38D2" w:rsidRDefault="00836525" w:rsidP="00CB38D2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sectPr w:rsidR="00836525" w:rsidRPr="00CB38D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AFB"/>
    <w:multiLevelType w:val="hybridMultilevel"/>
    <w:tmpl w:val="668A2A5C"/>
    <w:lvl w:ilvl="0" w:tplc="B53410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NewRomanPSMT" w:eastAsia="Times New Roman" w:hAnsi="TimesNewRomanPSMT" w:cs="TimesNewRomanPSMT" w:hint="eastAsia"/>
      </w:rPr>
    </w:lvl>
    <w:lvl w:ilvl="1" w:tplc="041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040671"/>
    <w:multiLevelType w:val="hybridMultilevel"/>
    <w:tmpl w:val="89AE3D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D95CF7"/>
    <w:multiLevelType w:val="hybridMultilevel"/>
    <w:tmpl w:val="989C3E8C"/>
    <w:lvl w:ilvl="0" w:tplc="E2300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B46C7B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86EC7"/>
    <w:multiLevelType w:val="hybridMultilevel"/>
    <w:tmpl w:val="E50C79A4"/>
    <w:lvl w:ilvl="0" w:tplc="241EF378">
      <w:numFmt w:val="bullet"/>
      <w:lvlText w:val="-"/>
      <w:lvlJc w:val="left"/>
      <w:pPr>
        <w:ind w:left="1092" w:hanging="372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F62E71"/>
    <w:multiLevelType w:val="hybridMultilevel"/>
    <w:tmpl w:val="D3843058"/>
    <w:lvl w:ilvl="0" w:tplc="E2300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361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7045302">
    <w:abstractNumId w:val="0"/>
  </w:num>
  <w:num w:numId="3" w16cid:durableId="159463775">
    <w:abstractNumId w:val="1"/>
  </w:num>
  <w:num w:numId="4" w16cid:durableId="684944848">
    <w:abstractNumId w:val="2"/>
  </w:num>
  <w:num w:numId="5" w16cid:durableId="180172006">
    <w:abstractNumId w:val="4"/>
  </w:num>
  <w:num w:numId="6" w16cid:durableId="260918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1FE"/>
    <w:rsid w:val="00016415"/>
    <w:rsid w:val="000473B5"/>
    <w:rsid w:val="00136DA8"/>
    <w:rsid w:val="001A3D1E"/>
    <w:rsid w:val="001C7F94"/>
    <w:rsid w:val="0029105E"/>
    <w:rsid w:val="002A7CFB"/>
    <w:rsid w:val="002E24CF"/>
    <w:rsid w:val="002F3B5A"/>
    <w:rsid w:val="00377BF7"/>
    <w:rsid w:val="003803D1"/>
    <w:rsid w:val="003E288F"/>
    <w:rsid w:val="003F3815"/>
    <w:rsid w:val="004124CA"/>
    <w:rsid w:val="004F0A14"/>
    <w:rsid w:val="00690981"/>
    <w:rsid w:val="006E3106"/>
    <w:rsid w:val="006E77DF"/>
    <w:rsid w:val="006F3DA7"/>
    <w:rsid w:val="006F4FFB"/>
    <w:rsid w:val="0070010C"/>
    <w:rsid w:val="007D335D"/>
    <w:rsid w:val="007E16AD"/>
    <w:rsid w:val="00836525"/>
    <w:rsid w:val="008F3C72"/>
    <w:rsid w:val="00933CB2"/>
    <w:rsid w:val="00936054"/>
    <w:rsid w:val="009B775C"/>
    <w:rsid w:val="00A42FE1"/>
    <w:rsid w:val="00B558C9"/>
    <w:rsid w:val="00BA0C35"/>
    <w:rsid w:val="00BB11E3"/>
    <w:rsid w:val="00BB12B6"/>
    <w:rsid w:val="00BD6563"/>
    <w:rsid w:val="00BE7969"/>
    <w:rsid w:val="00CB093E"/>
    <w:rsid w:val="00CB38D2"/>
    <w:rsid w:val="00CC337F"/>
    <w:rsid w:val="00D03A1B"/>
    <w:rsid w:val="00D631FE"/>
    <w:rsid w:val="00DD3C92"/>
    <w:rsid w:val="00DD4C4B"/>
    <w:rsid w:val="00E07D61"/>
    <w:rsid w:val="00E13DA2"/>
    <w:rsid w:val="00E237F5"/>
    <w:rsid w:val="00E47E5D"/>
    <w:rsid w:val="00EE0125"/>
    <w:rsid w:val="00F2308F"/>
    <w:rsid w:val="00F65A73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88B4"/>
  <w15:chartTrackingRefBased/>
  <w15:docId w15:val="{BD2AF7F5-EE04-456B-AD0F-7186A011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41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63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63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631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63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631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63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63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63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63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63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63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631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631F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631F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631F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631F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631F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631F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63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63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63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63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3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631F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631F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631F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63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631F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631FE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99"/>
    <w:unhideWhenUsed/>
    <w:rsid w:val="001A3D1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A3D1E"/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character" w:styleId="Hiperveza">
    <w:name w:val="Hyperlink"/>
    <w:basedOn w:val="Zadanifontodlomka"/>
    <w:uiPriority w:val="99"/>
    <w:unhideWhenUsed/>
    <w:rsid w:val="00CC337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C3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radnja.dizala@pu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Krizmanić Marjanović Elvira</dc:creator>
  <cp:keywords/>
  <dc:description/>
  <cp:lastModifiedBy>Grad Pula</cp:lastModifiedBy>
  <cp:revision>4</cp:revision>
  <dcterms:created xsi:type="dcterms:W3CDTF">2026-02-26T12:28:00Z</dcterms:created>
  <dcterms:modified xsi:type="dcterms:W3CDTF">2026-02-26T13:29:00Z</dcterms:modified>
</cp:coreProperties>
</file>