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1"/>
        <w:gridCol w:w="10266"/>
      </w:tblGrid>
      <w:tr w:rsidR="000A553A" w:rsidRPr="00554CCE" w14:paraId="64BC7486" w14:textId="77777777" w:rsidTr="00042466">
        <w:trPr>
          <w:trHeight w:val="1550"/>
        </w:trPr>
        <w:tc>
          <w:tcPr>
            <w:tcW w:w="14567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7A2FD97D" w14:textId="0AD36C78" w:rsidR="00545AC3" w:rsidRDefault="000A553A" w:rsidP="00D6078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>IZVJEŠĆE O SAVJETOVANJU S JAVNOŠĆU</w:t>
            </w:r>
            <w:r w:rsidR="00545AC3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 </w:t>
            </w: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U POSTUPKU DONOŠENJA </w:t>
            </w:r>
            <w:r w:rsidR="00163EAD">
              <w:rPr>
                <w:rFonts w:eastAsia="Times New Roman" w:cs="Times New Roman"/>
                <w:b/>
                <w:bCs/>
                <w:szCs w:val="24"/>
                <w:lang w:eastAsia="zh-CN"/>
              </w:rPr>
              <w:t>ODLUKE O IZMJENI</w:t>
            </w:r>
          </w:p>
          <w:p w14:paraId="18B78347" w14:textId="77777777" w:rsidR="00545AC3" w:rsidRDefault="00D60789" w:rsidP="00D6078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554CCE">
              <w:rPr>
                <w:b/>
                <w:bCs/>
              </w:rPr>
              <w:t>ODLUKE</w:t>
            </w:r>
            <w:r w:rsidR="00FC5539">
              <w:rPr>
                <w:b/>
                <w:bCs/>
              </w:rPr>
              <w:t xml:space="preserve"> </w:t>
            </w:r>
            <w:r w:rsidR="00FC5539" w:rsidRPr="00987165">
              <w:rPr>
                <w:rFonts w:eastAsia="Times New Roman" w:cs="Times New Roman"/>
                <w:b/>
                <w:szCs w:val="24"/>
                <w:lang w:eastAsia="zh-CN"/>
              </w:rPr>
              <w:t xml:space="preserve">O DONOŠENJU SREDNJOROČNOG (TROGODIŠNJEG) PLANA DAVANJA KONCESIJA </w:t>
            </w:r>
          </w:p>
          <w:p w14:paraId="5333FFCD" w14:textId="232FD29A" w:rsidR="00D60789" w:rsidRPr="00D47E56" w:rsidRDefault="00FC5539" w:rsidP="00D60789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987165">
              <w:rPr>
                <w:rFonts w:eastAsia="Times New Roman" w:cs="Times New Roman"/>
                <w:b/>
                <w:szCs w:val="24"/>
                <w:lang w:eastAsia="zh-CN"/>
              </w:rPr>
              <w:t>ZA RAZDOBLJE 202</w:t>
            </w:r>
            <w:r w:rsidR="00163EAD">
              <w:rPr>
                <w:rFonts w:eastAsia="Times New Roman" w:cs="Times New Roman"/>
                <w:b/>
                <w:szCs w:val="24"/>
                <w:lang w:eastAsia="zh-CN"/>
              </w:rPr>
              <w:t>2.</w:t>
            </w:r>
            <w:r w:rsidRPr="00987165">
              <w:rPr>
                <w:rFonts w:eastAsia="Times New Roman" w:cs="Times New Roman"/>
                <w:b/>
                <w:szCs w:val="24"/>
                <w:lang w:eastAsia="zh-CN"/>
              </w:rPr>
              <w:t xml:space="preserve"> </w:t>
            </w:r>
            <w:r w:rsidR="00163EAD">
              <w:rPr>
                <w:rFonts w:eastAsia="Times New Roman" w:cs="Times New Roman"/>
                <w:b/>
                <w:szCs w:val="24"/>
                <w:lang w:eastAsia="zh-CN"/>
              </w:rPr>
              <w:t>–</w:t>
            </w:r>
            <w:r w:rsidRPr="00987165">
              <w:rPr>
                <w:rFonts w:eastAsia="Times New Roman" w:cs="Times New Roman"/>
                <w:b/>
                <w:szCs w:val="24"/>
                <w:lang w:eastAsia="zh-CN"/>
              </w:rPr>
              <w:t xml:space="preserve"> 2024</w:t>
            </w:r>
            <w:r w:rsidR="00163EAD">
              <w:rPr>
                <w:rFonts w:eastAsia="Times New Roman" w:cs="Times New Roman"/>
                <w:b/>
                <w:szCs w:val="24"/>
                <w:lang w:eastAsia="zh-CN"/>
              </w:rPr>
              <w:t>.</w:t>
            </w:r>
            <w:r w:rsidRPr="00987165">
              <w:rPr>
                <w:rFonts w:eastAsia="Times New Roman" w:cs="Times New Roman"/>
                <w:b/>
                <w:szCs w:val="24"/>
                <w:lang w:eastAsia="zh-CN"/>
              </w:rPr>
              <w:t xml:space="preserve"> </w:t>
            </w:r>
            <w:r w:rsidRPr="000D578F">
              <w:rPr>
                <w:rFonts w:eastAsia="Times New Roman" w:cs="Times New Roman"/>
                <w:b/>
                <w:szCs w:val="24"/>
                <w:lang w:eastAsia="zh-CN"/>
              </w:rPr>
              <w:t>GODIN</w:t>
            </w:r>
            <w:r w:rsidR="00545AC3">
              <w:rPr>
                <w:rFonts w:eastAsia="Times New Roman" w:cs="Times New Roman"/>
                <w:b/>
                <w:szCs w:val="24"/>
                <w:lang w:eastAsia="zh-CN"/>
              </w:rPr>
              <w:t>E</w:t>
            </w:r>
          </w:p>
          <w:p w14:paraId="0CE9407B" w14:textId="77777777" w:rsidR="000A553A" w:rsidRPr="00554CCE" w:rsidRDefault="000A553A" w:rsidP="000A553A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Cs/>
                <w:szCs w:val="24"/>
                <w:lang w:eastAsia="zh-CN"/>
              </w:rPr>
              <w:t xml:space="preserve">Nositelj izrade izvješća: Grad Pula - Pola, Upravni odjel za </w:t>
            </w:r>
            <w:r w:rsidR="003960C5">
              <w:rPr>
                <w:rFonts w:eastAsia="Times New Roman" w:cs="Times New Roman"/>
                <w:szCs w:val="24"/>
                <w:lang w:eastAsia="zh-CN"/>
              </w:rPr>
              <w:t>komunalni sustav i upravljanje imovinom</w:t>
            </w:r>
          </w:p>
          <w:p w14:paraId="6B5B5C76" w14:textId="0CC1AE6C" w:rsidR="00FC5539" w:rsidRPr="00554CCE" w:rsidRDefault="00FC5539" w:rsidP="00FC5539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Cs/>
                <w:szCs w:val="24"/>
                <w:lang w:eastAsia="zh-CN"/>
              </w:rPr>
              <w:t>Pula</w:t>
            </w:r>
            <w:r w:rsidRPr="00B02F15">
              <w:rPr>
                <w:rFonts w:eastAsia="Times New Roman" w:cs="Times New Roman"/>
                <w:bCs/>
                <w:szCs w:val="24"/>
                <w:lang w:eastAsia="zh-CN"/>
              </w:rPr>
              <w:t xml:space="preserve">,  </w:t>
            </w:r>
            <w:r w:rsidR="00163EAD">
              <w:rPr>
                <w:rFonts w:eastAsia="Times New Roman" w:cs="Times New Roman"/>
                <w:bCs/>
                <w:szCs w:val="24"/>
                <w:lang w:eastAsia="zh-CN"/>
              </w:rPr>
              <w:t>12</w:t>
            </w:r>
            <w:r w:rsidRPr="00B02F15">
              <w:rPr>
                <w:rFonts w:eastAsia="Times New Roman" w:cs="Times New Roman"/>
                <w:bCs/>
                <w:szCs w:val="24"/>
                <w:lang w:eastAsia="zh-CN"/>
              </w:rPr>
              <w:t xml:space="preserve">. </w:t>
            </w:r>
            <w:r>
              <w:rPr>
                <w:rFonts w:eastAsia="Times New Roman" w:cs="Times New Roman"/>
                <w:bCs/>
                <w:szCs w:val="24"/>
                <w:lang w:eastAsia="zh-CN"/>
              </w:rPr>
              <w:t>prosinca</w:t>
            </w:r>
            <w:r w:rsidRPr="00B02F15">
              <w:rPr>
                <w:rFonts w:eastAsia="Times New Roman" w:cs="Times New Roman"/>
                <w:bCs/>
                <w:szCs w:val="24"/>
                <w:lang w:eastAsia="zh-CN"/>
              </w:rPr>
              <w:t xml:space="preserve"> 202</w:t>
            </w:r>
            <w:r w:rsidR="00163EAD">
              <w:rPr>
                <w:rFonts w:eastAsia="Times New Roman" w:cs="Times New Roman"/>
                <w:bCs/>
                <w:szCs w:val="24"/>
                <w:lang w:eastAsia="zh-CN"/>
              </w:rPr>
              <w:t>2</w:t>
            </w:r>
            <w:r w:rsidRPr="00B02F15">
              <w:rPr>
                <w:rFonts w:eastAsia="Times New Roman" w:cs="Times New Roman"/>
                <w:bCs/>
                <w:szCs w:val="24"/>
                <w:lang w:eastAsia="zh-CN"/>
              </w:rPr>
              <w:t>. godine</w:t>
            </w:r>
          </w:p>
          <w:p w14:paraId="2AF71A66" w14:textId="77777777" w:rsidR="000A553A" w:rsidRPr="00554CCE" w:rsidRDefault="000A553A" w:rsidP="00FC553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A553A" w:rsidRPr="00554CCE" w14:paraId="0626B47B" w14:textId="77777777" w:rsidTr="00F05661">
        <w:trPr>
          <w:trHeight w:val="1118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CCF1EBC" w14:textId="77777777"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Naziv akta za koji je provedeno savjetovanje s javnošću 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0DAD4E9" w14:textId="23E7923D" w:rsidR="000A553A" w:rsidRPr="00987165" w:rsidRDefault="00987165" w:rsidP="00545AC3">
            <w:pPr>
              <w:widowControl w:val="0"/>
              <w:autoSpaceDE w:val="0"/>
              <w:autoSpaceDN w:val="0"/>
              <w:adjustRightInd w:val="0"/>
              <w:spacing w:before="120"/>
              <w:ind w:right="28"/>
              <w:jc w:val="center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987165">
              <w:rPr>
                <w:rFonts w:eastAsia="Times New Roman" w:cs="Times New Roman"/>
                <w:b/>
                <w:szCs w:val="24"/>
                <w:lang w:eastAsia="zh-CN"/>
              </w:rPr>
              <w:t xml:space="preserve">Nacrtu prijedloga </w:t>
            </w:r>
            <w:r w:rsidR="00163EAD">
              <w:rPr>
                <w:rFonts w:eastAsia="Times New Roman" w:cs="Times New Roman"/>
                <w:b/>
                <w:szCs w:val="24"/>
                <w:lang w:eastAsia="zh-CN"/>
              </w:rPr>
              <w:t xml:space="preserve">Odluke o izmjeni </w:t>
            </w:r>
            <w:r w:rsidRPr="00987165">
              <w:rPr>
                <w:rFonts w:eastAsia="Times New Roman" w:cs="Times New Roman"/>
                <w:b/>
                <w:szCs w:val="24"/>
                <w:lang w:eastAsia="zh-CN"/>
              </w:rPr>
              <w:t xml:space="preserve">Odluke o donošenju </w:t>
            </w:r>
            <w:r w:rsidR="00163EAD">
              <w:rPr>
                <w:rFonts w:eastAsia="Times New Roman" w:cs="Times New Roman"/>
                <w:b/>
                <w:szCs w:val="24"/>
                <w:lang w:eastAsia="zh-CN"/>
              </w:rPr>
              <w:t>s</w:t>
            </w:r>
            <w:r w:rsidRPr="00987165">
              <w:rPr>
                <w:rFonts w:eastAsia="Times New Roman" w:cs="Times New Roman"/>
                <w:b/>
                <w:szCs w:val="24"/>
                <w:lang w:eastAsia="zh-CN"/>
              </w:rPr>
              <w:t>rednjoročnog (trogodišnjeg) plana davanja koncesija za razdoblje 202</w:t>
            </w:r>
            <w:r w:rsidR="00163EAD">
              <w:rPr>
                <w:rFonts w:eastAsia="Times New Roman" w:cs="Times New Roman"/>
                <w:b/>
                <w:szCs w:val="24"/>
                <w:lang w:eastAsia="zh-CN"/>
              </w:rPr>
              <w:t>2.</w:t>
            </w:r>
            <w:r w:rsidRPr="00987165">
              <w:rPr>
                <w:rFonts w:eastAsia="Times New Roman" w:cs="Times New Roman"/>
                <w:b/>
                <w:szCs w:val="24"/>
                <w:lang w:eastAsia="zh-CN"/>
              </w:rPr>
              <w:t xml:space="preserve"> </w:t>
            </w:r>
            <w:r w:rsidR="00163EAD">
              <w:rPr>
                <w:rFonts w:eastAsia="Times New Roman" w:cs="Times New Roman"/>
                <w:b/>
                <w:szCs w:val="24"/>
                <w:lang w:eastAsia="zh-CN"/>
              </w:rPr>
              <w:t>–</w:t>
            </w:r>
            <w:r w:rsidRPr="00987165">
              <w:rPr>
                <w:rFonts w:eastAsia="Times New Roman" w:cs="Times New Roman"/>
                <w:b/>
                <w:szCs w:val="24"/>
                <w:lang w:eastAsia="zh-CN"/>
              </w:rPr>
              <w:t xml:space="preserve"> 2024</w:t>
            </w:r>
            <w:r w:rsidR="00163EAD">
              <w:rPr>
                <w:rFonts w:eastAsia="Times New Roman" w:cs="Times New Roman"/>
                <w:b/>
                <w:szCs w:val="24"/>
                <w:lang w:eastAsia="zh-CN"/>
              </w:rPr>
              <w:t>.</w:t>
            </w:r>
            <w:r w:rsidRPr="00987165">
              <w:rPr>
                <w:rFonts w:eastAsia="Times New Roman" w:cs="Times New Roman"/>
                <w:b/>
                <w:szCs w:val="24"/>
                <w:lang w:eastAsia="zh-CN"/>
              </w:rPr>
              <w:t xml:space="preserve"> </w:t>
            </w:r>
            <w:r w:rsidR="00545AC3">
              <w:rPr>
                <w:rFonts w:eastAsia="Times New Roman" w:cs="Times New Roman"/>
                <w:b/>
                <w:szCs w:val="24"/>
                <w:lang w:eastAsia="zh-CN"/>
              </w:rPr>
              <w:t>godine</w:t>
            </w:r>
          </w:p>
        </w:tc>
      </w:tr>
      <w:tr w:rsidR="000A553A" w:rsidRPr="00554CCE" w14:paraId="5F2C5FE2" w14:textId="77777777" w:rsidTr="00042466">
        <w:trPr>
          <w:trHeight w:val="778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5E69140" w14:textId="77777777"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Naziv tijela nadležnog za izradu nacrta / provedbu savjetovanja 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95F116D" w14:textId="77777777" w:rsidR="000A553A" w:rsidRPr="00554CCE" w:rsidRDefault="000A553A" w:rsidP="00F05661">
            <w:pPr>
              <w:spacing w:after="12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szCs w:val="24"/>
                <w:lang w:eastAsia="zh-CN"/>
              </w:rPr>
              <w:t xml:space="preserve">Upravni odjel za </w:t>
            </w:r>
            <w:r w:rsidR="008058C5">
              <w:rPr>
                <w:rFonts w:eastAsia="Times New Roman" w:cs="Times New Roman"/>
                <w:szCs w:val="24"/>
                <w:lang w:eastAsia="zh-CN"/>
              </w:rPr>
              <w:t>komunalni sustav</w:t>
            </w:r>
            <w:r w:rsidR="00F05661">
              <w:rPr>
                <w:rFonts w:eastAsia="Times New Roman" w:cs="Times New Roman"/>
                <w:szCs w:val="24"/>
                <w:lang w:eastAsia="zh-CN"/>
              </w:rPr>
              <w:t xml:space="preserve"> i </w:t>
            </w:r>
            <w:r w:rsidR="008058C5">
              <w:rPr>
                <w:rFonts w:eastAsia="Times New Roman" w:cs="Times New Roman"/>
                <w:szCs w:val="24"/>
                <w:lang w:eastAsia="zh-CN"/>
              </w:rPr>
              <w:t>upravljanje imovinom</w:t>
            </w:r>
          </w:p>
        </w:tc>
      </w:tr>
      <w:tr w:rsidR="000A553A" w:rsidRPr="00554CCE" w14:paraId="6248F31D" w14:textId="77777777" w:rsidTr="003E6C8B">
        <w:trPr>
          <w:trHeight w:val="2675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4674069" w14:textId="77777777"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>Razlozi za donošenje akta i ciljevi koji se njime žele postići uz sažetak ključnih pitanja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81ED7C8" w14:textId="3E70A0AF" w:rsidR="000A553A" w:rsidRPr="00554CCE" w:rsidRDefault="003E6C8B" w:rsidP="003E6C8B">
            <w:pPr>
              <w:pStyle w:val="box455020"/>
              <w:shd w:val="clear" w:color="auto" w:fill="FFFFFF"/>
              <w:spacing w:before="0" w:beforeAutospacing="0" w:after="48" w:afterAutospacing="0"/>
              <w:jc w:val="both"/>
              <w:textAlignment w:val="baseline"/>
            </w:pPr>
            <w:r>
              <w:t xml:space="preserve">     Gradsko vijeće Grada Pule  donijelo je 20. prosinca 2021. godine </w:t>
            </w:r>
            <w:r w:rsidRPr="008037FE">
              <w:rPr>
                <w:bCs/>
              </w:rPr>
              <w:t>Odlu</w:t>
            </w:r>
            <w:r>
              <w:rPr>
                <w:bCs/>
              </w:rPr>
              <w:t>ku</w:t>
            </w:r>
            <w:r w:rsidRPr="008037FE">
              <w:rPr>
                <w:bCs/>
              </w:rPr>
              <w:t xml:space="preserve"> o donošenju srednjoročnog (trogodišnjeg) plana davanja</w:t>
            </w:r>
            <w:r>
              <w:rPr>
                <w:bCs/>
              </w:rPr>
              <w:t xml:space="preserve"> </w:t>
            </w:r>
            <w:r w:rsidRPr="00351A83">
              <w:t>koncesija za razdoblje 20</w:t>
            </w:r>
            <w:r>
              <w:t>22. -</w:t>
            </w:r>
            <w:r w:rsidRPr="00351A83">
              <w:t xml:space="preserve"> 202</w:t>
            </w:r>
            <w:r>
              <w:t>4.</w:t>
            </w:r>
            <w:r w:rsidRPr="00351A83">
              <w:t xml:space="preserve"> godine</w:t>
            </w:r>
            <w:r>
              <w:t xml:space="preserve">. Navedenom odlukom  određeno je da Grad Pula - Pola neće davati koncesije u </w:t>
            </w:r>
            <w:r w:rsidRPr="00BC0FC6">
              <w:rPr>
                <w:lang w:val="pt-BR"/>
              </w:rPr>
              <w:t>razdoblj</w:t>
            </w:r>
            <w:r>
              <w:rPr>
                <w:lang w:val="pt-BR"/>
              </w:rPr>
              <w:t>u</w:t>
            </w:r>
            <w:r w:rsidRPr="00BC0FC6">
              <w:rPr>
                <w:lang w:val="pt-BR"/>
              </w:rPr>
              <w:t xml:space="preserve"> 202</w:t>
            </w:r>
            <w:r>
              <w:rPr>
                <w:lang w:val="pt-BR"/>
              </w:rPr>
              <w:t>2.</w:t>
            </w:r>
            <w:r w:rsidRPr="00BC0FC6">
              <w:rPr>
                <w:lang w:val="pt-BR"/>
              </w:rPr>
              <w:t xml:space="preserve"> </w:t>
            </w:r>
            <w:r>
              <w:rPr>
                <w:lang w:val="pt-BR"/>
              </w:rPr>
              <w:t>-</w:t>
            </w:r>
            <w:r w:rsidRPr="00BC0FC6">
              <w:rPr>
                <w:lang w:val="pt-BR"/>
              </w:rPr>
              <w:t xml:space="preserve"> 202</w:t>
            </w:r>
            <w:r>
              <w:rPr>
                <w:lang w:val="pt-BR"/>
              </w:rPr>
              <w:t>4.</w:t>
            </w:r>
            <w:r w:rsidRPr="00BC0FC6">
              <w:rPr>
                <w:lang w:val="pt-BR"/>
              </w:rPr>
              <w:t xml:space="preserve"> </w:t>
            </w:r>
            <w:r>
              <w:rPr>
                <w:lang w:val="pt-BR"/>
              </w:rPr>
              <w:t>godine.</w:t>
            </w:r>
            <w:r>
              <w:t xml:space="preserve">  Dana 21. 10. 2022. godine Gradu Puli se obratilo trgovačko društvo </w:t>
            </w:r>
            <w:proofErr w:type="spellStart"/>
            <w:r>
              <w:t>Aquarium</w:t>
            </w:r>
            <w:proofErr w:type="spellEnd"/>
            <w:r>
              <w:t xml:space="preserve"> d.o.o. Pula sa zahtjevom za dodjelu nove koncesije za </w:t>
            </w:r>
            <w:r w:rsidRPr="00351A83">
              <w:t xml:space="preserve">korištenje </w:t>
            </w:r>
            <w:r>
              <w:t>(crpljenje) morske vode, budući da trenutna koncesija istječe krajem 2022. godine. Kako bi se mogao pokrenuti postupak za dodjelu nove predmetne koncesije potrebno je izmijeniti S</w:t>
            </w:r>
            <w:r>
              <w:rPr>
                <w:lang w:val="pt-BR"/>
              </w:rPr>
              <w:t xml:space="preserve">rednjoročni (trogodišnji) </w:t>
            </w:r>
            <w:r w:rsidRPr="00BC0FC6">
              <w:rPr>
                <w:lang w:val="pt-BR"/>
              </w:rPr>
              <w:t>plan</w:t>
            </w:r>
            <w:r>
              <w:rPr>
                <w:lang w:val="pt-BR"/>
              </w:rPr>
              <w:t>a</w:t>
            </w:r>
            <w:r w:rsidRPr="00BC0FC6">
              <w:rPr>
                <w:lang w:val="pt-BR"/>
              </w:rPr>
              <w:t xml:space="preserve"> davanja koncesija za razdoblje 202</w:t>
            </w:r>
            <w:r>
              <w:rPr>
                <w:lang w:val="pt-BR"/>
              </w:rPr>
              <w:t>2.</w:t>
            </w:r>
            <w:r w:rsidRPr="00BC0FC6">
              <w:rPr>
                <w:lang w:val="pt-BR"/>
              </w:rPr>
              <w:t xml:space="preserve"> </w:t>
            </w:r>
            <w:r>
              <w:rPr>
                <w:lang w:val="pt-BR"/>
              </w:rPr>
              <w:t>-</w:t>
            </w:r>
            <w:r w:rsidRPr="00BC0FC6">
              <w:rPr>
                <w:lang w:val="pt-BR"/>
              </w:rPr>
              <w:t xml:space="preserve"> 202</w:t>
            </w:r>
            <w:r>
              <w:rPr>
                <w:lang w:val="pt-BR"/>
              </w:rPr>
              <w:t>4.</w:t>
            </w:r>
            <w:r w:rsidRPr="00BC0FC6">
              <w:rPr>
                <w:lang w:val="pt-BR"/>
              </w:rPr>
              <w:t xml:space="preserve"> </w:t>
            </w:r>
            <w:r>
              <w:rPr>
                <w:lang w:val="pt-BR"/>
              </w:rPr>
              <w:t>godine.</w:t>
            </w:r>
          </w:p>
        </w:tc>
      </w:tr>
      <w:tr w:rsidR="000A553A" w:rsidRPr="00554CCE" w14:paraId="2BF8B54F" w14:textId="77777777" w:rsidTr="00F05661">
        <w:trPr>
          <w:trHeight w:val="982"/>
        </w:trPr>
        <w:tc>
          <w:tcPr>
            <w:tcW w:w="4301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3A3891C" w14:textId="77777777"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Objava dokumenata za savjetovanje </w:t>
            </w:r>
          </w:p>
          <w:p w14:paraId="53CFCE63" w14:textId="77777777"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  <w:p w14:paraId="662D9649" w14:textId="77777777"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Razdoblje provedbe savjetovanja </w:t>
            </w:r>
          </w:p>
          <w:p w14:paraId="7DEB650D" w14:textId="77777777"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A90B190" w14:textId="0C81001D" w:rsidR="008058C5" w:rsidRPr="00554CCE" w:rsidRDefault="001F70CC" w:rsidP="00F05661">
            <w:pPr>
              <w:spacing w:after="120" w:line="240" w:lineRule="auto"/>
              <w:jc w:val="left"/>
              <w:rPr>
                <w:rFonts w:eastAsia="Times New Roman" w:cs="Times New Roman"/>
                <w:bCs/>
                <w:color w:val="0000FF"/>
                <w:szCs w:val="24"/>
                <w:u w:val="single"/>
                <w:lang w:eastAsia="zh-CN"/>
              </w:rPr>
            </w:pPr>
            <w:hyperlink r:id="rId7" w:history="1">
              <w:r w:rsidR="00163EAD" w:rsidRPr="00163EAD">
                <w:rPr>
                  <w:rStyle w:val="Hiperveza"/>
                  <w:rFonts w:eastAsia="Times New Roman" w:cs="Times New Roman"/>
                  <w:bCs/>
                  <w:szCs w:val="24"/>
                  <w:lang w:eastAsia="zh-CN"/>
                </w:rPr>
                <w:t>https://www.pula.hr/hr/eusluge/ekonzultacije/ekonzultacije-u-tijeku/89/nacrt-prijedloga-odluke-o-izmjeni-odluke-o-donosenju-srednjorocnog-trogodisnjeg-plana-davanja-koncesija-za-razdoblje-2022-2024-godine/</w:t>
              </w:r>
            </w:hyperlink>
          </w:p>
        </w:tc>
      </w:tr>
      <w:tr w:rsidR="000A553A" w:rsidRPr="00554CCE" w14:paraId="1823EBA0" w14:textId="77777777" w:rsidTr="003E6C8B">
        <w:trPr>
          <w:trHeight w:val="700"/>
        </w:trPr>
        <w:tc>
          <w:tcPr>
            <w:tcW w:w="4301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F5062EC" w14:textId="77777777"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9F00606" w14:textId="1369DAB9" w:rsidR="007E0CB9" w:rsidRPr="00554CCE" w:rsidRDefault="00163EAD" w:rsidP="000D578F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0D578F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>Internetsko</w:t>
            </w:r>
            <w:r w:rsidRPr="00554CCE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 xml:space="preserve"> savjetovanje s javnošću provedeno je u razdoblju od</w:t>
            </w:r>
            <w:r w:rsidRPr="001E4E98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 xml:space="preserve"> </w:t>
            </w:r>
            <w:r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>11</w:t>
            </w:r>
            <w:r w:rsidRPr="000D578F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>. studenoga 202</w:t>
            </w:r>
            <w:r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>2</w:t>
            </w:r>
            <w:r w:rsidRPr="000D578F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 xml:space="preserve">. godine do </w:t>
            </w:r>
            <w:r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>11</w:t>
            </w:r>
            <w:r w:rsidRPr="000D578F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>. prosinca 202</w:t>
            </w:r>
            <w:r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>2</w:t>
            </w:r>
            <w:r w:rsidRPr="000D578F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>. godine</w:t>
            </w:r>
            <w:r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>.</w:t>
            </w:r>
          </w:p>
        </w:tc>
      </w:tr>
      <w:tr w:rsidR="000A553A" w:rsidRPr="00554CCE" w14:paraId="6169C335" w14:textId="77777777" w:rsidTr="00F05661">
        <w:trPr>
          <w:trHeight w:val="880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5130BA1" w14:textId="77777777"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Pregled osnovnih pokazatelja  uključenosti savjetovanja s javnošću 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6B1E34D" w14:textId="759C96AD" w:rsidR="000A553A" w:rsidRPr="00554CCE" w:rsidRDefault="00FC5539" w:rsidP="00FC5539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Cs/>
                <w:szCs w:val="24"/>
                <w:lang w:eastAsia="zh-CN"/>
              </w:rPr>
              <w:t xml:space="preserve">U za to propisanom roku zaprimljeno </w:t>
            </w:r>
            <w:r w:rsidRPr="00B02F15">
              <w:rPr>
                <w:rFonts w:eastAsia="Times New Roman" w:cs="Times New Roman"/>
                <w:bCs/>
                <w:szCs w:val="24"/>
                <w:lang w:eastAsia="zh-CN"/>
              </w:rPr>
              <w:t xml:space="preserve">je </w:t>
            </w:r>
            <w:r w:rsidR="003E6C8B">
              <w:rPr>
                <w:rFonts w:eastAsia="Times New Roman" w:cs="Times New Roman"/>
                <w:bCs/>
                <w:szCs w:val="24"/>
                <w:lang w:eastAsia="zh-CN"/>
              </w:rPr>
              <w:t>1 mišljenje i 1</w:t>
            </w:r>
            <w:r w:rsidRPr="00B02F15">
              <w:rPr>
                <w:rFonts w:eastAsia="Times New Roman" w:cs="Times New Roman"/>
                <w:bCs/>
                <w:szCs w:val="24"/>
                <w:lang w:eastAsia="zh-CN"/>
              </w:rPr>
              <w:t xml:space="preserve"> prijedlog</w:t>
            </w:r>
            <w:r w:rsidRPr="00554CCE">
              <w:rPr>
                <w:rFonts w:eastAsia="Times New Roman" w:cs="Times New Roman"/>
                <w:bCs/>
                <w:szCs w:val="24"/>
                <w:lang w:eastAsia="zh-CN"/>
              </w:rPr>
              <w:t xml:space="preserve"> podneseni od strane zainteresirane javnosti</w:t>
            </w:r>
            <w:r w:rsidR="003E6C8B">
              <w:rPr>
                <w:rFonts w:eastAsia="Times New Roman" w:cs="Times New Roman"/>
                <w:bCs/>
                <w:szCs w:val="24"/>
                <w:lang w:eastAsia="zh-CN"/>
              </w:rPr>
              <w:t>.</w:t>
            </w:r>
            <w:r>
              <w:rPr>
                <w:rFonts w:eastAsia="Times New Roman" w:cs="Times New Roman"/>
                <w:bCs/>
                <w:szCs w:val="24"/>
                <w:lang w:eastAsia="zh-CN"/>
              </w:rPr>
              <w:t xml:space="preserve"> </w:t>
            </w:r>
            <w:r w:rsidR="003E6C8B">
              <w:rPr>
                <w:rFonts w:eastAsia="Times New Roman" w:cs="Times New Roman"/>
                <w:bCs/>
                <w:szCs w:val="24"/>
                <w:lang w:eastAsia="zh-CN"/>
              </w:rPr>
              <w:t xml:space="preserve">Mišljenje je djelomično prihvaćeno, a prijedlog </w:t>
            </w:r>
            <w:r>
              <w:rPr>
                <w:rFonts w:eastAsia="Times New Roman" w:cs="Times New Roman"/>
                <w:bCs/>
                <w:szCs w:val="24"/>
                <w:lang w:eastAsia="zh-CN"/>
              </w:rPr>
              <w:t xml:space="preserve">nije prihvaćen.  </w:t>
            </w:r>
          </w:p>
        </w:tc>
      </w:tr>
      <w:tr w:rsidR="000A553A" w:rsidRPr="00554CCE" w14:paraId="7ABA51CA" w14:textId="77777777" w:rsidTr="00822594">
        <w:trPr>
          <w:trHeight w:val="432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172B7F9" w14:textId="77777777"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>Troškovi provedenog savjetovanja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19089EA1" w14:textId="241AD10A" w:rsidR="000A553A" w:rsidRPr="00554CCE" w:rsidRDefault="00163EAD" w:rsidP="00F05661">
            <w:pPr>
              <w:spacing w:before="240" w:after="240" w:line="240" w:lineRule="auto"/>
              <w:ind w:left="94" w:right="176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Cs/>
                <w:szCs w:val="24"/>
                <w:lang w:eastAsia="zh-CN"/>
              </w:rPr>
              <w:t xml:space="preserve">Provedba javnog savjetovanja nije </w:t>
            </w:r>
            <w:r>
              <w:rPr>
                <w:rFonts w:eastAsia="Times New Roman" w:cs="Times New Roman"/>
                <w:bCs/>
                <w:szCs w:val="24"/>
                <w:lang w:eastAsia="zh-CN"/>
              </w:rPr>
              <w:t>zahtije</w:t>
            </w:r>
            <w:r w:rsidRPr="00554CCE">
              <w:rPr>
                <w:rFonts w:eastAsia="Times New Roman" w:cs="Times New Roman"/>
                <w:bCs/>
                <w:szCs w:val="24"/>
                <w:lang w:eastAsia="zh-CN"/>
              </w:rPr>
              <w:t>vala dodatne financijske troškove</w:t>
            </w:r>
            <w:r>
              <w:rPr>
                <w:rFonts w:eastAsia="Times New Roman" w:cs="Times New Roman"/>
                <w:bCs/>
                <w:szCs w:val="24"/>
                <w:lang w:eastAsia="zh-CN"/>
              </w:rPr>
              <w:t>.</w:t>
            </w:r>
          </w:p>
        </w:tc>
      </w:tr>
    </w:tbl>
    <w:p w14:paraId="58E0A147" w14:textId="77777777" w:rsidR="00D47E56" w:rsidRDefault="00D47E56" w:rsidP="006D0278">
      <w:pPr>
        <w:sectPr w:rsidR="00D47E56" w:rsidSect="00F740D4">
          <w:pgSz w:w="16840" w:h="11910" w:orient="landscape" w:code="9"/>
          <w:pgMar w:top="1134" w:right="840" w:bottom="1135" w:left="1380" w:header="0" w:footer="1191" w:gutter="0"/>
          <w:cols w:space="708"/>
          <w:docGrid w:linePitch="326"/>
        </w:sectPr>
      </w:pPr>
    </w:p>
    <w:p w14:paraId="3C97F40A" w14:textId="77777777" w:rsidR="00566A7F" w:rsidRDefault="00D47E56" w:rsidP="00D47E56">
      <w:pPr>
        <w:jc w:val="center"/>
      </w:pPr>
      <w:r w:rsidRPr="00554CCE">
        <w:rPr>
          <w:rFonts w:eastAsia="Times New Roman" w:cs="Times New Roman"/>
          <w:b/>
          <w:bCs/>
          <w:szCs w:val="24"/>
          <w:lang w:eastAsia="zh-CN"/>
        </w:rPr>
        <w:lastRenderedPageBreak/>
        <w:t>Pregled prihvaćenih i neprihvaćenih mišljenja i prijedloga s obrazloženjem razloga za neprihvaćanje</w:t>
      </w:r>
    </w:p>
    <w:tbl>
      <w:tblPr>
        <w:tblW w:w="148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276"/>
        <w:gridCol w:w="7786"/>
        <w:gridCol w:w="5244"/>
      </w:tblGrid>
      <w:tr w:rsidR="00566A7F" w:rsidRPr="00905D4D" w14:paraId="2B12F537" w14:textId="77777777" w:rsidTr="005F75EB">
        <w:tc>
          <w:tcPr>
            <w:tcW w:w="544" w:type="dxa"/>
            <w:vAlign w:val="center"/>
          </w:tcPr>
          <w:p w14:paraId="2C79F5E8" w14:textId="77777777" w:rsidR="00566A7F" w:rsidRPr="00905D4D" w:rsidRDefault="00566A7F" w:rsidP="00F549D6">
            <w:pPr>
              <w:spacing w:after="12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05D4D">
              <w:rPr>
                <w:rFonts w:cs="Times New Roman"/>
                <w:b/>
                <w:sz w:val="18"/>
                <w:szCs w:val="18"/>
              </w:rPr>
              <w:t>R</w:t>
            </w:r>
            <w:r w:rsidR="00D47E56">
              <w:rPr>
                <w:rFonts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1276" w:type="dxa"/>
            <w:vAlign w:val="center"/>
          </w:tcPr>
          <w:p w14:paraId="5DDB89B0" w14:textId="77777777" w:rsidR="00566A7F" w:rsidRPr="00905D4D" w:rsidRDefault="00566A7F" w:rsidP="00F549D6">
            <w:pPr>
              <w:spacing w:after="12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05D4D">
              <w:rPr>
                <w:rFonts w:cs="Times New Roman"/>
                <w:b/>
                <w:sz w:val="18"/>
                <w:szCs w:val="18"/>
              </w:rPr>
              <w:t>Sudionik savjetovanja (ime i prezime pojedinca, naziv organizacije)</w:t>
            </w:r>
          </w:p>
        </w:tc>
        <w:tc>
          <w:tcPr>
            <w:tcW w:w="7786" w:type="dxa"/>
            <w:vAlign w:val="center"/>
          </w:tcPr>
          <w:p w14:paraId="4A3E1EEC" w14:textId="77777777" w:rsidR="00566A7F" w:rsidRPr="00905D4D" w:rsidRDefault="00566A7F" w:rsidP="00F549D6">
            <w:pPr>
              <w:spacing w:after="12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05D4D">
              <w:rPr>
                <w:rFonts w:cs="Times New Roman"/>
                <w:b/>
                <w:sz w:val="18"/>
                <w:szCs w:val="18"/>
              </w:rPr>
              <w:t>Tekst zaprimljenog prijedloga ili mišljenja</w:t>
            </w:r>
          </w:p>
        </w:tc>
        <w:tc>
          <w:tcPr>
            <w:tcW w:w="5244" w:type="dxa"/>
            <w:vAlign w:val="center"/>
          </w:tcPr>
          <w:p w14:paraId="4C35127C" w14:textId="77777777" w:rsidR="00566A7F" w:rsidRPr="00905D4D" w:rsidRDefault="00566A7F" w:rsidP="00F549D6">
            <w:pPr>
              <w:spacing w:after="12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05D4D">
              <w:rPr>
                <w:rFonts w:cs="Times New Roman"/>
                <w:b/>
                <w:sz w:val="18"/>
                <w:szCs w:val="18"/>
              </w:rPr>
              <w:t>Status prijedloga ili mišljenja (prihvaćanje/neprihvaćanje s  obrazloženjem)</w:t>
            </w:r>
          </w:p>
        </w:tc>
      </w:tr>
      <w:tr w:rsidR="00566A7F" w:rsidRPr="00905D4D" w14:paraId="73F6E784" w14:textId="77777777" w:rsidTr="005F75EB">
        <w:trPr>
          <w:trHeight w:val="567"/>
        </w:trPr>
        <w:tc>
          <w:tcPr>
            <w:tcW w:w="544" w:type="dxa"/>
            <w:shd w:val="clear" w:color="auto" w:fill="auto"/>
            <w:vAlign w:val="center"/>
          </w:tcPr>
          <w:p w14:paraId="1156147A" w14:textId="77777777" w:rsidR="00566A7F" w:rsidRPr="00905D4D" w:rsidRDefault="00566A7F" w:rsidP="00F549D6">
            <w:pPr>
              <w:spacing w:after="120" w:line="240" w:lineRule="auto"/>
              <w:rPr>
                <w:rFonts w:cs="Times New Roman"/>
                <w:b/>
                <w:sz w:val="18"/>
                <w:szCs w:val="18"/>
              </w:rPr>
            </w:pPr>
            <w:r w:rsidRPr="00905D4D">
              <w:rPr>
                <w:rFonts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16B30D" w14:textId="77777777" w:rsidR="00566A7F" w:rsidRDefault="00164222" w:rsidP="00F549D6">
            <w:pPr>
              <w:spacing w:after="120"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Milan</w:t>
            </w:r>
          </w:p>
          <w:p w14:paraId="2E5C4977" w14:textId="11E4008B" w:rsidR="00164222" w:rsidRPr="00F740D4" w:rsidRDefault="00164222" w:rsidP="00F549D6">
            <w:pPr>
              <w:spacing w:after="120" w:line="240" w:lineRule="auto"/>
              <w:rPr>
                <w:rFonts w:cs="Times New Roman"/>
                <w:b/>
                <w:bCs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Cs w:val="24"/>
              </w:rPr>
              <w:t>Nenezic</w:t>
            </w:r>
            <w:proofErr w:type="spellEnd"/>
          </w:p>
        </w:tc>
        <w:tc>
          <w:tcPr>
            <w:tcW w:w="7786" w:type="dxa"/>
            <w:shd w:val="clear" w:color="auto" w:fill="auto"/>
            <w:vAlign w:val="center"/>
          </w:tcPr>
          <w:p w14:paraId="257B161A" w14:textId="266C6F14" w:rsidR="002B7A06" w:rsidRDefault="002B7A06" w:rsidP="00F4663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F740D4">
              <w:rPr>
                <w:rFonts w:eastAsia="Times New Roman" w:cs="Times New Roman"/>
                <w:b/>
                <w:bCs/>
                <w:szCs w:val="24"/>
                <w:lang w:val="en-US"/>
              </w:rPr>
              <w:t>Zaprimljeno</w:t>
            </w:r>
            <w:proofErr w:type="spellEnd"/>
            <w:r w:rsidRPr="00F740D4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r w:rsidR="00164222">
              <w:rPr>
                <w:rFonts w:eastAsia="Times New Roman" w:cs="Times New Roman"/>
                <w:b/>
                <w:bCs/>
                <w:szCs w:val="24"/>
                <w:lang w:val="en-US"/>
              </w:rPr>
              <w:t>15</w:t>
            </w:r>
            <w:r w:rsidRPr="00F740D4">
              <w:rPr>
                <w:rFonts w:eastAsia="Times New Roman" w:cs="Times New Roman"/>
                <w:b/>
                <w:bCs/>
                <w:szCs w:val="24"/>
                <w:lang w:val="en-US"/>
              </w:rPr>
              <w:t>.</w:t>
            </w:r>
            <w:r w:rsidR="00164222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r w:rsidRPr="00F740D4">
              <w:rPr>
                <w:rFonts w:eastAsia="Times New Roman" w:cs="Times New Roman"/>
                <w:b/>
                <w:bCs/>
                <w:szCs w:val="24"/>
                <w:lang w:val="en-US"/>
              </w:rPr>
              <w:t>11.</w:t>
            </w:r>
            <w:r w:rsidR="00164222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r w:rsidRPr="00F740D4">
              <w:rPr>
                <w:rFonts w:eastAsia="Times New Roman" w:cs="Times New Roman"/>
                <w:b/>
                <w:bCs/>
                <w:szCs w:val="24"/>
                <w:lang w:val="en-US"/>
              </w:rPr>
              <w:t>202</w:t>
            </w:r>
            <w:r w:rsidR="00325901">
              <w:rPr>
                <w:rFonts w:eastAsia="Times New Roman" w:cs="Times New Roman"/>
                <w:b/>
                <w:bCs/>
                <w:szCs w:val="24"/>
                <w:lang w:val="en-US"/>
              </w:rPr>
              <w:t>2</w:t>
            </w:r>
            <w:r w:rsidRPr="00F740D4">
              <w:rPr>
                <w:rFonts w:eastAsia="Times New Roman" w:cs="Times New Roman"/>
                <w:b/>
                <w:bCs/>
                <w:szCs w:val="24"/>
                <w:lang w:val="en-US"/>
              </w:rPr>
              <w:t>.</w:t>
            </w:r>
          </w:p>
          <w:p w14:paraId="518A7696" w14:textId="77777777" w:rsidR="00A0054E" w:rsidRDefault="00A0054E" w:rsidP="00F46638">
            <w:pPr>
              <w:spacing w:after="0" w:line="240" w:lineRule="auto"/>
              <w:jc w:val="left"/>
              <w:rPr>
                <w:rFonts w:eastAsia="Times New Roman"/>
              </w:rPr>
            </w:pPr>
          </w:p>
          <w:p w14:paraId="24A7F513" w14:textId="629D67CB" w:rsidR="00325901" w:rsidRDefault="00325901" w:rsidP="00F46638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</w:rPr>
              <w:t>Članak 1.</w:t>
            </w:r>
            <w:r>
              <w:rPr>
                <w:rFonts w:eastAsia="Times New Roman"/>
              </w:rPr>
              <w:br/>
              <w:t>Procijenjena godišnja naknada za koncesiju: 280,00 kn.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Obrazloženje:</w:t>
            </w:r>
            <w:r>
              <w:rPr>
                <w:rFonts w:eastAsia="Times New Roman"/>
              </w:rPr>
              <w:br/>
              <w:t>1. Akt koji donosite je nezakonit, naime cijene moraju biti napisane u kunama i eurima, jer od 01.01.2023 godine RH prelazi na Euro.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 w:rsidR="00F46638">
              <w:rPr>
                <w:rFonts w:eastAsia="Times New Roman"/>
              </w:rPr>
              <w:t>S</w:t>
            </w:r>
            <w:r>
              <w:rPr>
                <w:rFonts w:eastAsia="Times New Roman"/>
              </w:rPr>
              <w:t xml:space="preserve"> osobitim poštovanjem</w:t>
            </w:r>
          </w:p>
          <w:p w14:paraId="1E6A44BE" w14:textId="62BDC128" w:rsidR="00566A7F" w:rsidRPr="00F740D4" w:rsidRDefault="00566A7F" w:rsidP="00D47E56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6DDBFEEB" w14:textId="2933FEB4" w:rsidR="00545AC3" w:rsidRPr="00AA4B1F" w:rsidRDefault="00A0054E" w:rsidP="00545AC3">
            <w:pPr>
              <w:spacing w:after="12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Dj</w:t>
            </w:r>
            <w:r w:rsidR="00545AC3" w:rsidRPr="00AA4B1F">
              <w:rPr>
                <w:rFonts w:cs="Times New Roman"/>
                <w:b/>
                <w:szCs w:val="24"/>
              </w:rPr>
              <w:t>e</w:t>
            </w:r>
            <w:r>
              <w:rPr>
                <w:rFonts w:cs="Times New Roman"/>
                <w:b/>
                <w:szCs w:val="24"/>
              </w:rPr>
              <w:t>lomično se</w:t>
            </w:r>
            <w:r w:rsidR="00545AC3" w:rsidRPr="00AA4B1F">
              <w:rPr>
                <w:rFonts w:cs="Times New Roman"/>
                <w:b/>
                <w:szCs w:val="24"/>
              </w:rPr>
              <w:t xml:space="preserve"> prihvaća. </w:t>
            </w:r>
          </w:p>
          <w:p w14:paraId="3A820090" w14:textId="77777777" w:rsidR="00F46638" w:rsidRDefault="00A0054E" w:rsidP="00F46638">
            <w:pPr>
              <w:spacing w:after="0" w:line="240" w:lineRule="auto"/>
              <w:jc w:val="left"/>
              <w:rPr>
                <w:rFonts w:eastAsia="Times New Roman"/>
              </w:rPr>
            </w:pPr>
            <w:r w:rsidRPr="00A0054E">
              <w:rPr>
                <w:rFonts w:cs="Times New Roman"/>
                <w:bCs/>
                <w:szCs w:val="24"/>
              </w:rPr>
              <w:t xml:space="preserve">Akt je </w:t>
            </w:r>
            <w:r>
              <w:rPr>
                <w:rFonts w:cs="Times New Roman"/>
                <w:bCs/>
                <w:szCs w:val="24"/>
              </w:rPr>
              <w:t xml:space="preserve">zakonit jer je </w:t>
            </w:r>
            <w:r w:rsidR="00A970F4">
              <w:rPr>
                <w:rFonts w:cs="Times New Roman"/>
                <w:bCs/>
                <w:szCs w:val="24"/>
              </w:rPr>
              <w:t>d</w:t>
            </w:r>
            <w:r w:rsidR="00A970F4" w:rsidRPr="00A970F4">
              <w:rPr>
                <w:rFonts w:cs="Times New Roman"/>
                <w:color w:val="000000"/>
                <w:shd w:val="clear" w:color="auto" w:fill="FFFFFF"/>
              </w:rPr>
              <w:t>o 31.</w:t>
            </w:r>
            <w:r w:rsidR="00F46638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 w:rsidR="00A970F4" w:rsidRPr="00A970F4">
              <w:rPr>
                <w:rFonts w:cs="Times New Roman"/>
                <w:color w:val="000000"/>
                <w:shd w:val="clear" w:color="auto" w:fill="FFFFFF"/>
              </w:rPr>
              <w:t>12.</w:t>
            </w:r>
            <w:r w:rsidR="00F46638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 w:rsidR="00A970F4" w:rsidRPr="00A970F4">
              <w:rPr>
                <w:rFonts w:cs="Times New Roman"/>
                <w:color w:val="000000"/>
                <w:shd w:val="clear" w:color="auto" w:fill="FFFFFF"/>
              </w:rPr>
              <w:t>2022.</w:t>
            </w:r>
            <w:r w:rsidR="00F46638"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  <w:r w:rsidR="00A970F4">
              <w:rPr>
                <w:rFonts w:cs="Times New Roman"/>
                <w:color w:val="000000"/>
                <w:shd w:val="clear" w:color="auto" w:fill="FFFFFF"/>
              </w:rPr>
              <w:t>godine</w:t>
            </w:r>
            <w:r w:rsidR="00A970F4" w:rsidRPr="00A970F4">
              <w:rPr>
                <w:rFonts w:cs="Times New Roman"/>
                <w:color w:val="000000"/>
                <w:shd w:val="clear" w:color="auto" w:fill="FFFFFF"/>
              </w:rPr>
              <w:t xml:space="preserve">, </w:t>
            </w:r>
            <w:r w:rsidR="00A970F4">
              <w:rPr>
                <w:rFonts w:cs="Times New Roman"/>
                <w:color w:val="000000"/>
                <w:shd w:val="clear" w:color="auto" w:fill="FFFFFF"/>
              </w:rPr>
              <w:t>h</w:t>
            </w:r>
            <w:r w:rsidR="00A970F4" w:rsidRPr="00A970F4">
              <w:rPr>
                <w:rFonts w:cs="Times New Roman"/>
                <w:color w:val="000000"/>
                <w:shd w:val="clear" w:color="auto" w:fill="FFFFFF"/>
              </w:rPr>
              <w:t xml:space="preserve">rvatska kuna službena valuta </w:t>
            </w:r>
            <w:r w:rsidR="00A970F4">
              <w:rPr>
                <w:rFonts w:cs="Times New Roman"/>
                <w:color w:val="000000"/>
                <w:shd w:val="clear" w:color="auto" w:fill="FFFFFF"/>
              </w:rPr>
              <w:t xml:space="preserve">u RH. Međutim, </w:t>
            </w:r>
            <w:r w:rsidR="00A970F4" w:rsidRPr="00A970F4">
              <w:rPr>
                <w:rFonts w:cs="Times New Roman"/>
                <w:color w:val="000000"/>
                <w:szCs w:val="24"/>
                <w:shd w:val="clear" w:color="auto" w:fill="FFFFFF"/>
              </w:rPr>
              <w:t>Zakon o uvođenju eura kao službene valute u Republici Hrvatskoj (N</w:t>
            </w:r>
            <w:r w:rsidR="00A970F4">
              <w:rPr>
                <w:rFonts w:cs="Times New Roman"/>
                <w:color w:val="000000"/>
                <w:szCs w:val="24"/>
                <w:shd w:val="clear" w:color="auto" w:fill="FFFFFF"/>
              </w:rPr>
              <w:t>N</w:t>
            </w:r>
            <w:r w:rsidR="00A970F4" w:rsidRPr="00A970F4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br.</w:t>
            </w:r>
            <w:r w:rsidR="00F46638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 w:rsidR="00A970F4" w:rsidRPr="00A970F4">
              <w:rPr>
                <w:rFonts w:cs="Times New Roman"/>
                <w:color w:val="000000"/>
                <w:szCs w:val="24"/>
                <w:shd w:val="clear" w:color="auto" w:fill="FFFFFF"/>
              </w:rPr>
              <w:t>57/22</w:t>
            </w:r>
            <w:r w:rsidR="00A970F4">
              <w:rPr>
                <w:rFonts w:cs="Times New Roman"/>
                <w:color w:val="000000"/>
                <w:szCs w:val="24"/>
                <w:shd w:val="clear" w:color="auto" w:fill="FFFFFF"/>
              </w:rPr>
              <w:t>) propisuje d</w:t>
            </w:r>
            <w:r w:rsidR="00A970F4" w:rsidRPr="00A970F4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vojno iskazivanje </w:t>
            </w:r>
            <w:r w:rsidR="00325901" w:rsidRPr="00325901">
              <w:rPr>
                <w:rStyle w:val="Istaknuto"/>
                <w:rFonts w:cs="Times New Roman"/>
                <w:i w:val="0"/>
                <w:iCs w:val="0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cijena i drugih novčanih vrijednosti</w:t>
            </w:r>
            <w:r w:rsidR="00325901">
              <w:rPr>
                <w:rStyle w:val="Istaknuto"/>
                <w:rFonts w:cs="Times New Roman"/>
                <w:i w:val="0"/>
                <w:iCs w:val="0"/>
                <w:color w:val="000000"/>
                <w:szCs w:val="24"/>
                <w:bdr w:val="none" w:sz="0" w:space="0" w:color="auto" w:frame="1"/>
                <w:shd w:val="clear" w:color="auto" w:fill="FFFFFF"/>
              </w:rPr>
              <w:t>. Stoga</w:t>
            </w:r>
            <w:r w:rsidR="00325901">
              <w:rPr>
                <w:rStyle w:val="Istaknuto"/>
                <w:rFonts w:ascii="Arial" w:hAnsi="Arial" w:cs="Arial"/>
                <w:color w:val="000000"/>
                <w:sz w:val="21"/>
                <w:szCs w:val="21"/>
                <w:bdr w:val="none" w:sz="0" w:space="0" w:color="auto" w:frame="1"/>
                <w:shd w:val="clear" w:color="auto" w:fill="FFFFFF"/>
              </w:rPr>
              <w:t> </w:t>
            </w:r>
            <w:r w:rsidR="00A970F4" w:rsidRPr="00A970F4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 se </w:t>
            </w:r>
            <w:r w:rsidR="00325901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primjedba djelomično prihvaća te se iznos od </w:t>
            </w:r>
            <w:r w:rsidR="00325901">
              <w:rPr>
                <w:rFonts w:eastAsia="Times New Roman"/>
              </w:rPr>
              <w:t>280,00 kn</w:t>
            </w:r>
            <w:r w:rsidR="00F46638">
              <w:rPr>
                <w:rFonts w:eastAsia="Times New Roman"/>
              </w:rPr>
              <w:t xml:space="preserve"> iskazuje </w:t>
            </w:r>
          </w:p>
          <w:p w14:paraId="452BEB7E" w14:textId="40F60DF3" w:rsidR="00F46638" w:rsidRDefault="00F46638" w:rsidP="00F46638">
            <w:pPr>
              <w:spacing w:after="0" w:line="240" w:lineRule="auto"/>
              <w:jc w:val="left"/>
            </w:pPr>
            <w:r>
              <w:rPr>
                <w:rFonts w:eastAsia="Times New Roman"/>
              </w:rPr>
              <w:t xml:space="preserve">i kao </w:t>
            </w:r>
            <w:r w:rsidR="00325901">
              <w:t xml:space="preserve">37,16 EUR po fiksnom tečaju konverzije </w:t>
            </w:r>
          </w:p>
          <w:p w14:paraId="1B3FA703" w14:textId="0CEB97D1" w:rsidR="00566A7F" w:rsidRPr="00F46638" w:rsidRDefault="00325901" w:rsidP="00F46638">
            <w:pPr>
              <w:spacing w:after="0" w:line="240" w:lineRule="auto"/>
              <w:jc w:val="left"/>
            </w:pPr>
            <w:r>
              <w:t>1 EUR = 7,53450 HRK).</w:t>
            </w:r>
          </w:p>
        </w:tc>
      </w:tr>
      <w:tr w:rsidR="00566A7F" w:rsidRPr="00905D4D" w14:paraId="4DB1F086" w14:textId="77777777" w:rsidTr="005F75EB">
        <w:trPr>
          <w:trHeight w:val="567"/>
        </w:trPr>
        <w:tc>
          <w:tcPr>
            <w:tcW w:w="544" w:type="dxa"/>
            <w:vAlign w:val="center"/>
          </w:tcPr>
          <w:p w14:paraId="621CB374" w14:textId="77777777" w:rsidR="00566A7F" w:rsidRPr="00905D4D" w:rsidRDefault="00566A7F" w:rsidP="00F549D6">
            <w:pPr>
              <w:spacing w:after="120" w:line="240" w:lineRule="auto"/>
              <w:rPr>
                <w:rFonts w:cs="Times New Roman"/>
                <w:b/>
                <w:sz w:val="18"/>
                <w:szCs w:val="18"/>
              </w:rPr>
            </w:pPr>
            <w:r w:rsidRPr="00905D4D">
              <w:rPr>
                <w:rFonts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276" w:type="dxa"/>
            <w:vAlign w:val="center"/>
          </w:tcPr>
          <w:p w14:paraId="2D62162D" w14:textId="77777777" w:rsidR="00325901" w:rsidRDefault="00325901" w:rsidP="00325901">
            <w:pPr>
              <w:spacing w:after="120" w:line="240" w:lineRule="auto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Milan</w:t>
            </w:r>
          </w:p>
          <w:p w14:paraId="021D56C4" w14:textId="26F97E83" w:rsidR="00566A7F" w:rsidRPr="00F740D4" w:rsidRDefault="00325901" w:rsidP="00325901">
            <w:pPr>
              <w:spacing w:after="120" w:line="240" w:lineRule="auto"/>
              <w:rPr>
                <w:rFonts w:cs="Times New Roman"/>
                <w:b/>
                <w:bCs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zCs w:val="24"/>
              </w:rPr>
              <w:t>Nenezic</w:t>
            </w:r>
            <w:proofErr w:type="spellEnd"/>
          </w:p>
        </w:tc>
        <w:tc>
          <w:tcPr>
            <w:tcW w:w="7786" w:type="dxa"/>
            <w:vAlign w:val="center"/>
          </w:tcPr>
          <w:p w14:paraId="6BE8C3E2" w14:textId="77777777" w:rsidR="00325901" w:rsidRDefault="00325901" w:rsidP="00325901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</w:p>
          <w:p w14:paraId="231CA902" w14:textId="7BBF107F" w:rsidR="00325901" w:rsidRDefault="00325901" w:rsidP="00F46638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val="en-US"/>
              </w:rPr>
            </w:pPr>
            <w:proofErr w:type="spellStart"/>
            <w:r w:rsidRPr="00F740D4">
              <w:rPr>
                <w:rFonts w:eastAsia="Times New Roman" w:cs="Times New Roman"/>
                <w:b/>
                <w:bCs/>
                <w:szCs w:val="24"/>
                <w:lang w:val="en-US"/>
              </w:rPr>
              <w:t>Zaprimljeno</w:t>
            </w:r>
            <w:proofErr w:type="spellEnd"/>
            <w:r w:rsidRPr="00F740D4"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Cs w:val="24"/>
                <w:lang w:val="en-US"/>
              </w:rPr>
              <w:t>15</w:t>
            </w:r>
            <w:r w:rsidRPr="00F740D4">
              <w:rPr>
                <w:rFonts w:eastAsia="Times New Roman" w:cs="Times New Roman"/>
                <w:b/>
                <w:bCs/>
                <w:szCs w:val="24"/>
                <w:lang w:val="en-US"/>
              </w:rPr>
              <w:t>.</w:t>
            </w:r>
            <w:r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r w:rsidRPr="00F740D4">
              <w:rPr>
                <w:rFonts w:eastAsia="Times New Roman" w:cs="Times New Roman"/>
                <w:b/>
                <w:bCs/>
                <w:szCs w:val="24"/>
                <w:lang w:val="en-US"/>
              </w:rPr>
              <w:t>11.</w:t>
            </w:r>
            <w:r>
              <w:rPr>
                <w:rFonts w:eastAsia="Times New Roman" w:cs="Times New Roman"/>
                <w:b/>
                <w:bCs/>
                <w:szCs w:val="24"/>
                <w:lang w:val="en-US"/>
              </w:rPr>
              <w:t xml:space="preserve"> </w:t>
            </w:r>
            <w:r w:rsidRPr="00F740D4">
              <w:rPr>
                <w:rFonts w:eastAsia="Times New Roman" w:cs="Times New Roman"/>
                <w:b/>
                <w:bCs/>
                <w:szCs w:val="24"/>
                <w:lang w:val="en-US"/>
              </w:rPr>
              <w:t>202</w:t>
            </w:r>
            <w:r>
              <w:rPr>
                <w:rFonts w:eastAsia="Times New Roman" w:cs="Times New Roman"/>
                <w:b/>
                <w:bCs/>
                <w:szCs w:val="24"/>
                <w:lang w:val="en-US"/>
              </w:rPr>
              <w:t>2</w:t>
            </w:r>
            <w:r w:rsidRPr="00F740D4">
              <w:rPr>
                <w:rFonts w:eastAsia="Times New Roman" w:cs="Times New Roman"/>
                <w:b/>
                <w:bCs/>
                <w:szCs w:val="24"/>
                <w:lang w:val="en-US"/>
              </w:rPr>
              <w:t>.</w:t>
            </w:r>
          </w:p>
          <w:p w14:paraId="1D8C8221" w14:textId="77777777" w:rsidR="00325901" w:rsidRDefault="00325901" w:rsidP="00F46638">
            <w:pPr>
              <w:spacing w:after="0" w:line="240" w:lineRule="auto"/>
              <w:jc w:val="left"/>
              <w:rPr>
                <w:rFonts w:eastAsia="Times New Roman"/>
              </w:rPr>
            </w:pPr>
          </w:p>
          <w:p w14:paraId="3268DBA5" w14:textId="538AA0CB" w:rsidR="00325901" w:rsidRDefault="00325901" w:rsidP="00F46638">
            <w:pPr>
              <w:spacing w:after="0" w:line="240" w:lineRule="auto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Članak 1.</w:t>
            </w:r>
            <w:r>
              <w:rPr>
                <w:rFonts w:eastAsia="Times New Roman"/>
              </w:rPr>
              <w:br/>
              <w:t>Procijenjena godišnja naknada za koncesiju: 280,00 kn.</w:t>
            </w:r>
          </w:p>
          <w:p w14:paraId="6221B782" w14:textId="77777777" w:rsidR="00F46638" w:rsidRDefault="00F46638" w:rsidP="00F46638">
            <w:pPr>
              <w:spacing w:after="0" w:line="240" w:lineRule="auto"/>
              <w:jc w:val="left"/>
              <w:rPr>
                <w:rFonts w:eastAsia="Times New Roman"/>
              </w:rPr>
            </w:pPr>
          </w:p>
          <w:p w14:paraId="388960B7" w14:textId="4BA3B348" w:rsidR="00F46638" w:rsidRDefault="00F46638" w:rsidP="00F46638">
            <w:pPr>
              <w:spacing w:after="0" w:line="240" w:lineRule="auto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Godišnju naknadu povećati sa 280,00 kn na 16.999,00 kn/ 2.256,16 € , te tako dobivene novce iskoristiti za podizanje </w:t>
            </w:r>
            <w:proofErr w:type="spellStart"/>
            <w:r>
              <w:rPr>
                <w:rFonts w:eastAsia="Times New Roman"/>
              </w:rPr>
              <w:t>standrada</w:t>
            </w:r>
            <w:proofErr w:type="spellEnd"/>
            <w:r>
              <w:rPr>
                <w:rFonts w:eastAsia="Times New Roman"/>
              </w:rPr>
              <w:t xml:space="preserve"> u </w:t>
            </w:r>
            <w:proofErr w:type="spellStart"/>
            <w:r>
              <w:rPr>
                <w:rFonts w:eastAsia="Times New Roman"/>
              </w:rPr>
              <w:t>dječnim</w:t>
            </w:r>
            <w:proofErr w:type="spellEnd"/>
            <w:r>
              <w:rPr>
                <w:rFonts w:eastAsia="Times New Roman"/>
              </w:rPr>
              <w:t xml:space="preserve"> vrtićima kojim je osnivač Grad Pula.</w:t>
            </w:r>
          </w:p>
          <w:p w14:paraId="09500D99" w14:textId="77777777" w:rsidR="00F46638" w:rsidRDefault="00F46638" w:rsidP="00F46638">
            <w:pPr>
              <w:spacing w:after="0" w:line="240" w:lineRule="auto"/>
              <w:jc w:val="left"/>
              <w:rPr>
                <w:rFonts w:eastAsia="Times New Roman"/>
                <w:sz w:val="22"/>
              </w:rPr>
            </w:pPr>
            <w:r>
              <w:rPr>
                <w:rFonts w:eastAsia="Times New Roman"/>
              </w:rPr>
              <w:br/>
              <w:t>S osobitim poštovanjem</w:t>
            </w:r>
          </w:p>
          <w:p w14:paraId="08477613" w14:textId="77777777" w:rsidR="00F46638" w:rsidRDefault="00F46638" w:rsidP="00325901">
            <w:pPr>
              <w:spacing w:after="0" w:line="240" w:lineRule="auto"/>
              <w:jc w:val="left"/>
              <w:rPr>
                <w:rFonts w:eastAsia="Times New Roman"/>
              </w:rPr>
            </w:pPr>
          </w:p>
          <w:p w14:paraId="5E5B8C53" w14:textId="77777777" w:rsidR="004F6EF3" w:rsidRPr="00F740D4" w:rsidRDefault="004F6EF3" w:rsidP="004F6EF3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en-GB"/>
              </w:rPr>
            </w:pPr>
            <w:r w:rsidRPr="00F740D4">
              <w:rPr>
                <w:rFonts w:eastAsia="Times New Roman" w:cs="Times New Roman"/>
                <w:szCs w:val="24"/>
                <w:lang w:val="en-GB"/>
              </w:rPr>
              <w:t> </w:t>
            </w:r>
          </w:p>
          <w:p w14:paraId="35E9E252" w14:textId="77777777" w:rsidR="00566A7F" w:rsidRPr="00F740D4" w:rsidRDefault="00566A7F" w:rsidP="00325901">
            <w:pPr>
              <w:spacing w:after="0" w:line="240" w:lineRule="auto"/>
              <w:jc w:val="left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5244" w:type="dxa"/>
            <w:vAlign w:val="center"/>
          </w:tcPr>
          <w:p w14:paraId="689C3D40" w14:textId="77777777" w:rsidR="00545AC3" w:rsidRPr="00AA4B1F" w:rsidRDefault="00545AC3" w:rsidP="00F46638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AA4B1F">
              <w:rPr>
                <w:rFonts w:cs="Times New Roman"/>
                <w:b/>
                <w:szCs w:val="24"/>
              </w:rPr>
              <w:t>Ne prihvaća se.</w:t>
            </w:r>
          </w:p>
          <w:p w14:paraId="0C335F7E" w14:textId="77777777" w:rsidR="008B3784" w:rsidRDefault="00F46638" w:rsidP="00F46638">
            <w:pPr>
              <w:spacing w:after="0" w:line="240" w:lineRule="auto"/>
              <w:jc w:val="left"/>
            </w:pPr>
            <w:r w:rsidRPr="00EF16F5">
              <w:t xml:space="preserve">Navedeni iznos obuhvaća </w:t>
            </w:r>
            <w:r w:rsidR="00E32C9E">
              <w:t xml:space="preserve">početni </w:t>
            </w:r>
            <w:r w:rsidRPr="00EF16F5">
              <w:t>stalni dio koncesijske naknade koji je obračunat po površini korištenja pomorskog dobra (2,00 kn/m2).</w:t>
            </w:r>
            <w:r>
              <w:t xml:space="preserve"> </w:t>
            </w:r>
            <w:r w:rsidRPr="00EF16F5">
              <w:t>Stalni dio</w:t>
            </w:r>
            <w:r w:rsidRPr="00EF16F5">
              <w:rPr>
                <w:spacing w:val="1"/>
              </w:rPr>
              <w:t xml:space="preserve"> </w:t>
            </w:r>
            <w:r w:rsidRPr="00EF16F5">
              <w:t>koncesijske naknade određen je člankom 16. Uredbe o postupku davanja koncesije na pomorskom dobru („Narodne novine“ broj 23/04, 101/04, 39/06, 63/08, 125/10, 102/11, 83/12 i 10/17)</w:t>
            </w:r>
            <w:r>
              <w:t xml:space="preserve"> te se ne može</w:t>
            </w:r>
            <w:r w:rsidR="00E32C9E">
              <w:t xml:space="preserve"> proizvoljno mijenjati. Sukladno odredbama </w:t>
            </w:r>
            <w:r w:rsidR="00E32C9E" w:rsidRPr="00FE3258">
              <w:t>Zakon</w:t>
            </w:r>
            <w:r w:rsidR="00E32C9E">
              <w:t>a</w:t>
            </w:r>
            <w:r w:rsidR="00E32C9E" w:rsidRPr="00FE3258">
              <w:t xml:space="preserve"> o pomorskom dobru i morskim lukama</w:t>
            </w:r>
            <w:r w:rsidR="008B3784">
              <w:t>, sredstva uprihođena od koncesija su namjenska i mogu se utrošiti samo kroz godišnji</w:t>
            </w:r>
          </w:p>
          <w:p w14:paraId="602A314B" w14:textId="03F3A57F" w:rsidR="00566A7F" w:rsidRPr="00AA4B1F" w:rsidRDefault="008B3784" w:rsidP="008B3784">
            <w:pPr>
              <w:spacing w:after="0" w:line="240" w:lineRule="auto"/>
              <w:jc w:val="left"/>
              <w:rPr>
                <w:rFonts w:cs="Times New Roman"/>
                <w:b/>
                <w:szCs w:val="24"/>
              </w:rPr>
            </w:pPr>
            <w:r>
              <w:t>plan upravljanja pomorskim dobrom.</w:t>
            </w:r>
            <w:r w:rsidR="00F46638">
              <w:t xml:space="preserve">  </w:t>
            </w:r>
          </w:p>
        </w:tc>
      </w:tr>
    </w:tbl>
    <w:p w14:paraId="47F789FF" w14:textId="77777777" w:rsidR="00566A7F" w:rsidRPr="00554CCE" w:rsidRDefault="00566A7F" w:rsidP="006D0278"/>
    <w:sectPr w:rsidR="00566A7F" w:rsidRPr="00554CCE" w:rsidSect="006553E4">
      <w:pgSz w:w="16840" w:h="11910" w:orient="landscape" w:code="9"/>
      <w:pgMar w:top="1134" w:right="839" w:bottom="1418" w:left="1378" w:header="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9991B" w14:textId="77777777" w:rsidR="005E508B" w:rsidRDefault="005E508B" w:rsidP="00C07820">
      <w:pPr>
        <w:spacing w:after="0" w:line="240" w:lineRule="auto"/>
      </w:pPr>
      <w:r>
        <w:separator/>
      </w:r>
    </w:p>
  </w:endnote>
  <w:endnote w:type="continuationSeparator" w:id="0">
    <w:p w14:paraId="4A3A57E4" w14:textId="77777777" w:rsidR="005E508B" w:rsidRDefault="005E508B" w:rsidP="00C0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5D952" w14:textId="77777777" w:rsidR="005E508B" w:rsidRDefault="005E508B" w:rsidP="00C07820">
      <w:pPr>
        <w:spacing w:after="0" w:line="240" w:lineRule="auto"/>
      </w:pPr>
      <w:r>
        <w:separator/>
      </w:r>
    </w:p>
  </w:footnote>
  <w:footnote w:type="continuationSeparator" w:id="0">
    <w:p w14:paraId="4BEAB959" w14:textId="77777777" w:rsidR="005E508B" w:rsidRDefault="005E508B" w:rsidP="00C07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45BCB"/>
    <w:multiLevelType w:val="hybridMultilevel"/>
    <w:tmpl w:val="9CF020B0"/>
    <w:lvl w:ilvl="0" w:tplc="2FBEE44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38116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2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52"/>
    <w:rsid w:val="0001029F"/>
    <w:rsid w:val="000222E3"/>
    <w:rsid w:val="000254EE"/>
    <w:rsid w:val="00035EF8"/>
    <w:rsid w:val="00036AF1"/>
    <w:rsid w:val="00042466"/>
    <w:rsid w:val="000453A8"/>
    <w:rsid w:val="00067970"/>
    <w:rsid w:val="00093CFA"/>
    <w:rsid w:val="000A060C"/>
    <w:rsid w:val="000A289E"/>
    <w:rsid w:val="000A553A"/>
    <w:rsid w:val="000B0B68"/>
    <w:rsid w:val="000C112A"/>
    <w:rsid w:val="000D578F"/>
    <w:rsid w:val="000E3886"/>
    <w:rsid w:val="000F2680"/>
    <w:rsid w:val="001116C3"/>
    <w:rsid w:val="001211C4"/>
    <w:rsid w:val="00144C05"/>
    <w:rsid w:val="001525BB"/>
    <w:rsid w:val="001529EE"/>
    <w:rsid w:val="001551AC"/>
    <w:rsid w:val="00163EAD"/>
    <w:rsid w:val="00164222"/>
    <w:rsid w:val="00167701"/>
    <w:rsid w:val="001876C3"/>
    <w:rsid w:val="00191D84"/>
    <w:rsid w:val="00193D55"/>
    <w:rsid w:val="001A56E2"/>
    <w:rsid w:val="001B1437"/>
    <w:rsid w:val="001B5350"/>
    <w:rsid w:val="001D5B36"/>
    <w:rsid w:val="001E4E98"/>
    <w:rsid w:val="001F0AB0"/>
    <w:rsid w:val="001F5FDF"/>
    <w:rsid w:val="001F70CC"/>
    <w:rsid w:val="00226220"/>
    <w:rsid w:val="00231129"/>
    <w:rsid w:val="002A0A9C"/>
    <w:rsid w:val="002B64AC"/>
    <w:rsid w:val="002B7A06"/>
    <w:rsid w:val="002E1DE0"/>
    <w:rsid w:val="002F32A8"/>
    <w:rsid w:val="003064B6"/>
    <w:rsid w:val="003128AD"/>
    <w:rsid w:val="003139F8"/>
    <w:rsid w:val="003147A4"/>
    <w:rsid w:val="00317D53"/>
    <w:rsid w:val="00325901"/>
    <w:rsid w:val="00357273"/>
    <w:rsid w:val="00365EC9"/>
    <w:rsid w:val="0036657D"/>
    <w:rsid w:val="0036707F"/>
    <w:rsid w:val="003860DA"/>
    <w:rsid w:val="003960C5"/>
    <w:rsid w:val="003A5B39"/>
    <w:rsid w:val="003B0809"/>
    <w:rsid w:val="003B3A67"/>
    <w:rsid w:val="003B4E83"/>
    <w:rsid w:val="003B7AB7"/>
    <w:rsid w:val="003D2C63"/>
    <w:rsid w:val="003D2CEA"/>
    <w:rsid w:val="003D714F"/>
    <w:rsid w:val="003E40E5"/>
    <w:rsid w:val="003E6C8B"/>
    <w:rsid w:val="003F5C69"/>
    <w:rsid w:val="003F7626"/>
    <w:rsid w:val="004133C5"/>
    <w:rsid w:val="004136CA"/>
    <w:rsid w:val="00414951"/>
    <w:rsid w:val="00443FCE"/>
    <w:rsid w:val="0045334C"/>
    <w:rsid w:val="0046208D"/>
    <w:rsid w:val="004654A5"/>
    <w:rsid w:val="0047016E"/>
    <w:rsid w:val="004708EC"/>
    <w:rsid w:val="00472A5B"/>
    <w:rsid w:val="004762D4"/>
    <w:rsid w:val="004C1029"/>
    <w:rsid w:val="004F6EF3"/>
    <w:rsid w:val="00507D8B"/>
    <w:rsid w:val="00520C0F"/>
    <w:rsid w:val="00534446"/>
    <w:rsid w:val="00545AC3"/>
    <w:rsid w:val="0055262D"/>
    <w:rsid w:val="00554CCE"/>
    <w:rsid w:val="0055662F"/>
    <w:rsid w:val="00557F53"/>
    <w:rsid w:val="00566A7F"/>
    <w:rsid w:val="00574A64"/>
    <w:rsid w:val="005921A4"/>
    <w:rsid w:val="005959C6"/>
    <w:rsid w:val="00597FB5"/>
    <w:rsid w:val="005A3AAC"/>
    <w:rsid w:val="005A51C2"/>
    <w:rsid w:val="005B004B"/>
    <w:rsid w:val="005D4167"/>
    <w:rsid w:val="005E03E9"/>
    <w:rsid w:val="005E508B"/>
    <w:rsid w:val="005F1074"/>
    <w:rsid w:val="005F5230"/>
    <w:rsid w:val="005F638D"/>
    <w:rsid w:val="005F75EB"/>
    <w:rsid w:val="00620010"/>
    <w:rsid w:val="006553E4"/>
    <w:rsid w:val="00656106"/>
    <w:rsid w:val="00663EFB"/>
    <w:rsid w:val="00674EFD"/>
    <w:rsid w:val="00691137"/>
    <w:rsid w:val="006A6F6C"/>
    <w:rsid w:val="006D0278"/>
    <w:rsid w:val="006D0439"/>
    <w:rsid w:val="006D70D8"/>
    <w:rsid w:val="0074133C"/>
    <w:rsid w:val="00745252"/>
    <w:rsid w:val="00767DCF"/>
    <w:rsid w:val="007720D8"/>
    <w:rsid w:val="00772306"/>
    <w:rsid w:val="0078062A"/>
    <w:rsid w:val="007B7C3E"/>
    <w:rsid w:val="007C0CC7"/>
    <w:rsid w:val="007C1B68"/>
    <w:rsid w:val="007C72F9"/>
    <w:rsid w:val="007E0403"/>
    <w:rsid w:val="007E0CB9"/>
    <w:rsid w:val="007E298A"/>
    <w:rsid w:val="007E4CBE"/>
    <w:rsid w:val="008058C5"/>
    <w:rsid w:val="0080707F"/>
    <w:rsid w:val="00822594"/>
    <w:rsid w:val="00827690"/>
    <w:rsid w:val="00830EF1"/>
    <w:rsid w:val="00835496"/>
    <w:rsid w:val="00850880"/>
    <w:rsid w:val="008661DA"/>
    <w:rsid w:val="008839FE"/>
    <w:rsid w:val="00884DD8"/>
    <w:rsid w:val="00890612"/>
    <w:rsid w:val="00896259"/>
    <w:rsid w:val="008A349F"/>
    <w:rsid w:val="008A7687"/>
    <w:rsid w:val="008B3784"/>
    <w:rsid w:val="008C5898"/>
    <w:rsid w:val="008E0508"/>
    <w:rsid w:val="008F35EF"/>
    <w:rsid w:val="00905D4D"/>
    <w:rsid w:val="00921417"/>
    <w:rsid w:val="00923A1D"/>
    <w:rsid w:val="0093014E"/>
    <w:rsid w:val="00933579"/>
    <w:rsid w:val="0094090F"/>
    <w:rsid w:val="00973BA7"/>
    <w:rsid w:val="0098341A"/>
    <w:rsid w:val="00985354"/>
    <w:rsid w:val="00987165"/>
    <w:rsid w:val="009925C3"/>
    <w:rsid w:val="00996478"/>
    <w:rsid w:val="00997AEA"/>
    <w:rsid w:val="009E6E97"/>
    <w:rsid w:val="00A0054E"/>
    <w:rsid w:val="00A0653A"/>
    <w:rsid w:val="00A1264F"/>
    <w:rsid w:val="00A25C99"/>
    <w:rsid w:val="00A42359"/>
    <w:rsid w:val="00A505B7"/>
    <w:rsid w:val="00A76ABA"/>
    <w:rsid w:val="00A80486"/>
    <w:rsid w:val="00A81515"/>
    <w:rsid w:val="00A94543"/>
    <w:rsid w:val="00A970F4"/>
    <w:rsid w:val="00AA4B1F"/>
    <w:rsid w:val="00B0464E"/>
    <w:rsid w:val="00B06FE1"/>
    <w:rsid w:val="00B27FDA"/>
    <w:rsid w:val="00B352DA"/>
    <w:rsid w:val="00B41518"/>
    <w:rsid w:val="00B443D7"/>
    <w:rsid w:val="00B574AE"/>
    <w:rsid w:val="00B67CD3"/>
    <w:rsid w:val="00B70243"/>
    <w:rsid w:val="00B83BBF"/>
    <w:rsid w:val="00BA2674"/>
    <w:rsid w:val="00BB42D7"/>
    <w:rsid w:val="00BB6B4E"/>
    <w:rsid w:val="00BC0DE1"/>
    <w:rsid w:val="00BD083B"/>
    <w:rsid w:val="00BD23C3"/>
    <w:rsid w:val="00BE437C"/>
    <w:rsid w:val="00BE6D92"/>
    <w:rsid w:val="00BE7068"/>
    <w:rsid w:val="00BF2135"/>
    <w:rsid w:val="00C07076"/>
    <w:rsid w:val="00C07820"/>
    <w:rsid w:val="00C30027"/>
    <w:rsid w:val="00C366F5"/>
    <w:rsid w:val="00C42EE4"/>
    <w:rsid w:val="00C61D4F"/>
    <w:rsid w:val="00C7205A"/>
    <w:rsid w:val="00C75E48"/>
    <w:rsid w:val="00C869D7"/>
    <w:rsid w:val="00C87E4A"/>
    <w:rsid w:val="00C94D7E"/>
    <w:rsid w:val="00CA0194"/>
    <w:rsid w:val="00CA1640"/>
    <w:rsid w:val="00CE47E1"/>
    <w:rsid w:val="00CF5EDA"/>
    <w:rsid w:val="00D105AB"/>
    <w:rsid w:val="00D355CE"/>
    <w:rsid w:val="00D37D1B"/>
    <w:rsid w:val="00D47E56"/>
    <w:rsid w:val="00D60789"/>
    <w:rsid w:val="00D63D5D"/>
    <w:rsid w:val="00D82E74"/>
    <w:rsid w:val="00D95616"/>
    <w:rsid w:val="00DC6CFF"/>
    <w:rsid w:val="00DD09B8"/>
    <w:rsid w:val="00DD3692"/>
    <w:rsid w:val="00DE1CC0"/>
    <w:rsid w:val="00DE7E3F"/>
    <w:rsid w:val="00DF3995"/>
    <w:rsid w:val="00DF4284"/>
    <w:rsid w:val="00E1517D"/>
    <w:rsid w:val="00E305CF"/>
    <w:rsid w:val="00E30F57"/>
    <w:rsid w:val="00E32C9E"/>
    <w:rsid w:val="00E35AA7"/>
    <w:rsid w:val="00E3764E"/>
    <w:rsid w:val="00E5632B"/>
    <w:rsid w:val="00E65B56"/>
    <w:rsid w:val="00E93977"/>
    <w:rsid w:val="00EB3C83"/>
    <w:rsid w:val="00ED1F54"/>
    <w:rsid w:val="00EE5476"/>
    <w:rsid w:val="00EE56D0"/>
    <w:rsid w:val="00F017FF"/>
    <w:rsid w:val="00F05661"/>
    <w:rsid w:val="00F13749"/>
    <w:rsid w:val="00F17382"/>
    <w:rsid w:val="00F21E37"/>
    <w:rsid w:val="00F2334A"/>
    <w:rsid w:val="00F30835"/>
    <w:rsid w:val="00F34F0B"/>
    <w:rsid w:val="00F46638"/>
    <w:rsid w:val="00F47281"/>
    <w:rsid w:val="00F57A89"/>
    <w:rsid w:val="00F61A63"/>
    <w:rsid w:val="00F62AC5"/>
    <w:rsid w:val="00F7198E"/>
    <w:rsid w:val="00F71F2A"/>
    <w:rsid w:val="00F740D4"/>
    <w:rsid w:val="00F7572F"/>
    <w:rsid w:val="00F80872"/>
    <w:rsid w:val="00F9707F"/>
    <w:rsid w:val="00FA4296"/>
    <w:rsid w:val="00FA721C"/>
    <w:rsid w:val="00FB7C72"/>
    <w:rsid w:val="00FC4E63"/>
    <w:rsid w:val="00FC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E627"/>
  <w15:docId w15:val="{4D99CAD3-22A6-44E1-A0C1-8507F9DF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9F"/>
    <w:pPr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8A34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A3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4">
    <w:name w:val="heading 4"/>
    <w:basedOn w:val="Normal"/>
    <w:link w:val="Naslov4Char"/>
    <w:uiPriority w:val="1"/>
    <w:qFormat/>
    <w:rsid w:val="008A349F"/>
    <w:pPr>
      <w:widowControl w:val="0"/>
      <w:autoSpaceDE w:val="0"/>
      <w:autoSpaceDN w:val="0"/>
      <w:spacing w:before="55" w:after="0" w:line="240" w:lineRule="auto"/>
      <w:ind w:left="1368"/>
      <w:outlineLvl w:val="3"/>
    </w:pPr>
    <w:rPr>
      <w:rFonts w:ascii="Arial" w:eastAsia="Arial" w:hAnsi="Arial" w:cs="Arial"/>
      <w:szCs w:val="24"/>
      <w:lang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A3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8A3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1"/>
    <w:rsid w:val="008A349F"/>
    <w:rPr>
      <w:rFonts w:ascii="Arial" w:eastAsia="Arial" w:hAnsi="Arial" w:cs="Arial"/>
      <w:sz w:val="24"/>
      <w:szCs w:val="24"/>
      <w:lang w:bidi="hr-HR"/>
    </w:rPr>
  </w:style>
  <w:style w:type="paragraph" w:styleId="Tijeloteksta">
    <w:name w:val="Body Text"/>
    <w:basedOn w:val="Normal"/>
    <w:link w:val="TijelotekstaChar"/>
    <w:uiPriority w:val="1"/>
    <w:qFormat/>
    <w:rsid w:val="008A34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8A349F"/>
    <w:rPr>
      <w:rFonts w:ascii="Arial" w:eastAsia="Arial" w:hAnsi="Arial" w:cs="Arial"/>
      <w:lang w:bidi="hr-HR"/>
    </w:rPr>
  </w:style>
  <w:style w:type="paragraph" w:styleId="Bezproreda">
    <w:name w:val="No Spacing"/>
    <w:uiPriority w:val="1"/>
    <w:qFormat/>
    <w:rsid w:val="008A349F"/>
    <w:pPr>
      <w:spacing w:after="0" w:line="240" w:lineRule="auto"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8A34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A349F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Neupadljivareferenca">
    <w:name w:val="Subtle Reference"/>
    <w:basedOn w:val="Zadanifontodlomka"/>
    <w:uiPriority w:val="31"/>
    <w:qFormat/>
    <w:rsid w:val="008A349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8A349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8A349F"/>
    <w:rPr>
      <w:b/>
      <w:bCs/>
      <w:smallCaps/>
      <w:spacing w:val="5"/>
    </w:rPr>
  </w:style>
  <w:style w:type="character" w:styleId="Hiperveza">
    <w:name w:val="Hyperlink"/>
    <w:basedOn w:val="Zadanifontodlomka"/>
    <w:uiPriority w:val="99"/>
    <w:unhideWhenUsed/>
    <w:rsid w:val="00231129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07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7820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C07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7820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687"/>
    <w:rPr>
      <w:rFonts w:ascii="Tahoma" w:hAnsi="Tahoma" w:cs="Tahoma"/>
      <w:sz w:val="16"/>
      <w:szCs w:val="16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058C5"/>
    <w:rPr>
      <w:color w:val="605E5C"/>
      <w:shd w:val="clear" w:color="auto" w:fill="E1DFDD"/>
    </w:rPr>
  </w:style>
  <w:style w:type="paragraph" w:customStyle="1" w:styleId="Default">
    <w:name w:val="Default"/>
    <w:rsid w:val="003064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163EAD"/>
    <w:rPr>
      <w:color w:val="605E5C"/>
      <w:shd w:val="clear" w:color="auto" w:fill="E1DFDD"/>
    </w:rPr>
  </w:style>
  <w:style w:type="paragraph" w:customStyle="1" w:styleId="box455020">
    <w:name w:val="box_455020"/>
    <w:basedOn w:val="Normal"/>
    <w:rsid w:val="003E6C8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3259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8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12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0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70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31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9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88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ula.hr/hr/eusluge/ekonzultacije/ekonzultacije-u-tijeku/89/nacrt-prijedloga-odluke-o-izmjeni-odluke-o-donosenju-srednjorocnog-trogodisnjeg-plana-davanja-koncesija-za-razdoblje-2022-2024-god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Šabanagić Marina</dc:creator>
  <cp:lastModifiedBy>Žufić Nenad</cp:lastModifiedBy>
  <cp:revision>2</cp:revision>
  <cp:lastPrinted>2021-03-01T08:43:00Z</cp:lastPrinted>
  <dcterms:created xsi:type="dcterms:W3CDTF">2022-12-20T10:59:00Z</dcterms:created>
  <dcterms:modified xsi:type="dcterms:W3CDTF">2022-12-20T10:59:00Z</dcterms:modified>
</cp:coreProperties>
</file>