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4BFE" w14:textId="1025E9F7" w:rsidR="00F86754" w:rsidRDefault="006D3D7B" w:rsidP="00D77601">
      <w:pPr>
        <w:jc w:val="center"/>
        <w:rPr>
          <w:b/>
          <w:color w:val="000000" w:themeColor="text1"/>
        </w:rPr>
      </w:pPr>
      <w:r w:rsidRPr="00906C88">
        <w:rPr>
          <w:b/>
          <w:color w:val="000000" w:themeColor="text1"/>
        </w:rPr>
        <w:t>GRAD</w:t>
      </w:r>
      <w:r w:rsidR="00B07599" w:rsidRPr="00906C88">
        <w:rPr>
          <w:b/>
          <w:color w:val="000000" w:themeColor="text1"/>
        </w:rPr>
        <w:t xml:space="preserve"> PULA</w:t>
      </w:r>
      <w:r w:rsidR="001C4D5E" w:rsidRPr="00906C88">
        <w:rPr>
          <w:b/>
          <w:color w:val="000000" w:themeColor="text1"/>
        </w:rPr>
        <w:t>-POLA</w:t>
      </w:r>
    </w:p>
    <w:p w14:paraId="7153C66D" w14:textId="397FC63C" w:rsidR="00B07599" w:rsidRDefault="00F86754" w:rsidP="00D7760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UPRAVNI ODJEL ZA </w:t>
      </w:r>
      <w:r w:rsidR="00DF27AA">
        <w:rPr>
          <w:b/>
          <w:color w:val="000000" w:themeColor="text1"/>
        </w:rPr>
        <w:t>FINANCIJE I GOSPODARSTVO</w:t>
      </w:r>
    </w:p>
    <w:p w14:paraId="1356022B" w14:textId="77777777" w:rsidR="00F25189" w:rsidRPr="00906C88" w:rsidRDefault="00F25189" w:rsidP="00D77601">
      <w:pPr>
        <w:jc w:val="center"/>
        <w:rPr>
          <w:b/>
          <w:color w:val="000000" w:themeColor="text1"/>
        </w:rPr>
      </w:pPr>
    </w:p>
    <w:p w14:paraId="5B047CA3" w14:textId="006314B2" w:rsidR="00522F59" w:rsidRDefault="00E045B6" w:rsidP="00F86754">
      <w:pPr>
        <w:ind w:firstLine="708"/>
        <w:jc w:val="both"/>
        <w:rPr>
          <w:bCs/>
          <w:color w:val="000000" w:themeColor="text1"/>
        </w:rPr>
      </w:pPr>
      <w:r w:rsidRPr="00906C88">
        <w:rPr>
          <w:color w:val="000000" w:themeColor="text1"/>
        </w:rPr>
        <w:t xml:space="preserve">Sukladno članku </w:t>
      </w:r>
      <w:r w:rsidR="00851FAD">
        <w:rPr>
          <w:color w:val="000000" w:themeColor="text1"/>
        </w:rPr>
        <w:t>29</w:t>
      </w:r>
      <w:r w:rsidRPr="00906C88">
        <w:rPr>
          <w:color w:val="000000" w:themeColor="text1"/>
        </w:rPr>
        <w:t>.</w:t>
      </w:r>
      <w:r w:rsidR="00851FAD">
        <w:rPr>
          <w:color w:val="000000" w:themeColor="text1"/>
        </w:rPr>
        <w:t>, a u svezi s člankom</w:t>
      </w:r>
      <w:r w:rsidRPr="00906C88">
        <w:rPr>
          <w:color w:val="000000" w:themeColor="text1"/>
        </w:rPr>
        <w:t xml:space="preserve"> 19. Zakona o službenicima i namještenicima u lokalnoj i područnoj (regionalnoj) samoupravi („Narodne novine“ broj 86/08</w:t>
      </w:r>
      <w:r w:rsidR="008D510A" w:rsidRPr="00906C88">
        <w:rPr>
          <w:color w:val="000000" w:themeColor="text1"/>
        </w:rPr>
        <w:t>, 61/11</w:t>
      </w:r>
      <w:r w:rsidR="008A2C87" w:rsidRPr="00906C88">
        <w:t xml:space="preserve">, </w:t>
      </w:r>
      <w:r w:rsidR="0041311C" w:rsidRPr="00906C88">
        <w:t>4/18</w:t>
      </w:r>
      <w:r w:rsidR="008A2C87" w:rsidRPr="00906C88">
        <w:t xml:space="preserve"> i 112/19</w:t>
      </w:r>
      <w:r w:rsidRPr="00906C88">
        <w:rPr>
          <w:color w:val="000000" w:themeColor="text1"/>
        </w:rPr>
        <w:t>),</w:t>
      </w:r>
      <w:r w:rsidR="00723E73" w:rsidRPr="00906C88">
        <w:rPr>
          <w:color w:val="000000" w:themeColor="text1"/>
        </w:rPr>
        <w:t xml:space="preserve"> </w:t>
      </w:r>
      <w:r w:rsidR="00DF27AA">
        <w:rPr>
          <w:color w:val="000000" w:themeColor="text1"/>
        </w:rPr>
        <w:t>pročelni</w:t>
      </w:r>
      <w:r w:rsidR="002565EB">
        <w:rPr>
          <w:color w:val="000000" w:themeColor="text1"/>
        </w:rPr>
        <w:t>k</w:t>
      </w:r>
      <w:r w:rsidR="00F86754" w:rsidRPr="00F86754">
        <w:rPr>
          <w:color w:val="000000" w:themeColor="text1"/>
        </w:rPr>
        <w:t xml:space="preserve"> Upravnog odjela za </w:t>
      </w:r>
      <w:r w:rsidR="00DF27AA">
        <w:rPr>
          <w:color w:val="000000" w:themeColor="text1"/>
        </w:rPr>
        <w:t>financije</w:t>
      </w:r>
      <w:r w:rsidR="002565EB">
        <w:rPr>
          <w:color w:val="000000" w:themeColor="text1"/>
        </w:rPr>
        <w:t>,</w:t>
      </w:r>
      <w:r w:rsidR="00DF27AA">
        <w:rPr>
          <w:color w:val="000000" w:themeColor="text1"/>
        </w:rPr>
        <w:t xml:space="preserve"> gospodarstvo</w:t>
      </w:r>
      <w:r w:rsidR="002565EB">
        <w:rPr>
          <w:color w:val="000000" w:themeColor="text1"/>
        </w:rPr>
        <w:t xml:space="preserve"> i provedbu ITU mehanizma</w:t>
      </w:r>
      <w:r w:rsidR="00F72216">
        <w:rPr>
          <w:color w:val="000000" w:themeColor="text1"/>
        </w:rPr>
        <w:t xml:space="preserve"> Grada Pula-Pola</w:t>
      </w:r>
      <w:r w:rsidR="00723E73" w:rsidRPr="00906C88">
        <w:rPr>
          <w:color w:val="000000" w:themeColor="text1"/>
        </w:rPr>
        <w:t xml:space="preserve"> </w:t>
      </w:r>
      <w:r w:rsidR="002565EB" w:rsidRPr="002565EB">
        <w:rPr>
          <w:color w:val="000000" w:themeColor="text1"/>
        </w:rPr>
        <w:t>raspisa</w:t>
      </w:r>
      <w:r w:rsidR="008D18F4">
        <w:rPr>
          <w:color w:val="000000" w:themeColor="text1"/>
        </w:rPr>
        <w:t>o</w:t>
      </w:r>
      <w:r w:rsidR="002565EB" w:rsidRPr="002565EB">
        <w:rPr>
          <w:color w:val="000000" w:themeColor="text1"/>
        </w:rPr>
        <w:t xml:space="preserve"> je javni natječaj objavljen u „Narodnim novinama“ Republike Hrvatske, Hrvatskom zavodu za zapošljavanje, Područni ured Pula i web stranici Grada Pula - Pola za radno mjesto:</w:t>
      </w:r>
      <w:r w:rsidRPr="00906C88">
        <w:rPr>
          <w:bCs/>
          <w:color w:val="000000" w:themeColor="text1"/>
        </w:rPr>
        <w:t xml:space="preserve"> </w:t>
      </w:r>
    </w:p>
    <w:p w14:paraId="7605CDEC" w14:textId="77777777" w:rsidR="00F25189" w:rsidRPr="00906C88" w:rsidRDefault="00F25189" w:rsidP="00906C88">
      <w:pPr>
        <w:jc w:val="both"/>
        <w:rPr>
          <w:bCs/>
          <w:color w:val="000000" w:themeColor="text1"/>
        </w:rPr>
      </w:pPr>
    </w:p>
    <w:p w14:paraId="72FD1A09" w14:textId="6046979C" w:rsidR="00E045B6" w:rsidRPr="00906C88" w:rsidRDefault="00511C19" w:rsidP="00F93EEC">
      <w:pPr>
        <w:pStyle w:val="Odlomakpopisa"/>
        <w:numPr>
          <w:ilvl w:val="0"/>
          <w:numId w:val="5"/>
        </w:numPr>
        <w:jc w:val="both"/>
        <w:rPr>
          <w:bCs/>
          <w:color w:val="000000" w:themeColor="text1"/>
        </w:rPr>
      </w:pPr>
      <w:r>
        <w:rPr>
          <w:b/>
          <w:lang w:eastAsia="en-US"/>
        </w:rPr>
        <w:t>R</w:t>
      </w:r>
      <w:r w:rsidR="00AE3C1A">
        <w:rPr>
          <w:b/>
          <w:lang w:eastAsia="en-US"/>
        </w:rPr>
        <w:t>eferent</w:t>
      </w:r>
      <w:r>
        <w:rPr>
          <w:b/>
          <w:lang w:eastAsia="en-US"/>
        </w:rPr>
        <w:t xml:space="preserve"> </w:t>
      </w:r>
      <w:r w:rsidR="00DF27AA">
        <w:rPr>
          <w:b/>
          <w:lang w:eastAsia="en-US"/>
        </w:rPr>
        <w:t xml:space="preserve"> za gradske prihode</w:t>
      </w:r>
      <w:r w:rsidR="006E406E" w:rsidRPr="006E406E">
        <w:rPr>
          <w:b/>
          <w:lang w:eastAsia="en-US"/>
        </w:rPr>
        <w:t xml:space="preserve"> – 1 izvršitelj</w:t>
      </w:r>
      <w:r w:rsidR="00AE3C1A">
        <w:rPr>
          <w:b/>
          <w:lang w:eastAsia="en-US"/>
        </w:rPr>
        <w:t>/</w:t>
      </w:r>
      <w:proofErr w:type="spellStart"/>
      <w:r w:rsidR="00AE3C1A">
        <w:rPr>
          <w:b/>
          <w:lang w:eastAsia="en-US"/>
        </w:rPr>
        <w:t>ica</w:t>
      </w:r>
      <w:proofErr w:type="spellEnd"/>
      <w:r w:rsidR="006E406E" w:rsidRPr="006E406E">
        <w:rPr>
          <w:b/>
          <w:lang w:eastAsia="en-US"/>
        </w:rPr>
        <w:t xml:space="preserve"> na </w:t>
      </w:r>
      <w:r w:rsidR="00F93EEC">
        <w:rPr>
          <w:b/>
          <w:lang w:eastAsia="en-US"/>
        </w:rPr>
        <w:t>ne</w:t>
      </w:r>
      <w:r w:rsidR="006E406E" w:rsidRPr="006E406E">
        <w:rPr>
          <w:b/>
          <w:lang w:eastAsia="en-US"/>
        </w:rPr>
        <w:t xml:space="preserve">određeno vrijeme </w:t>
      </w:r>
      <w:r w:rsidR="00E045B6" w:rsidRPr="00906C88">
        <w:rPr>
          <w:bCs/>
          <w:color w:val="000000" w:themeColor="text1"/>
        </w:rPr>
        <w:t>pa se sukladno navedenom daju sljedeće:</w:t>
      </w:r>
    </w:p>
    <w:p w14:paraId="72DCB4FE" w14:textId="77777777" w:rsidR="00E045B6" w:rsidRPr="00906C88" w:rsidRDefault="00E045B6" w:rsidP="00095C68">
      <w:pPr>
        <w:jc w:val="center"/>
        <w:rPr>
          <w:bCs/>
          <w:color w:val="000000" w:themeColor="text1"/>
        </w:rPr>
      </w:pPr>
    </w:p>
    <w:p w14:paraId="18185981" w14:textId="46D5E6E4" w:rsidR="00594661" w:rsidRDefault="00E045B6" w:rsidP="00095C68">
      <w:pPr>
        <w:jc w:val="center"/>
        <w:rPr>
          <w:b/>
          <w:bCs/>
          <w:color w:val="000000" w:themeColor="text1"/>
        </w:rPr>
      </w:pPr>
      <w:r w:rsidRPr="00906C88">
        <w:rPr>
          <w:b/>
          <w:bCs/>
          <w:color w:val="000000" w:themeColor="text1"/>
        </w:rPr>
        <w:t>OBAVIJESTI I UPUTE</w:t>
      </w:r>
    </w:p>
    <w:p w14:paraId="170791C5" w14:textId="77777777" w:rsidR="00F25189" w:rsidRDefault="00F25189" w:rsidP="00906C88">
      <w:pPr>
        <w:jc w:val="both"/>
        <w:rPr>
          <w:b/>
          <w:bCs/>
          <w:color w:val="000000" w:themeColor="text1"/>
        </w:rPr>
      </w:pPr>
    </w:p>
    <w:p w14:paraId="792E6C9F" w14:textId="77777777" w:rsidR="00E0236E" w:rsidRDefault="00E0236E" w:rsidP="00906C88">
      <w:pPr>
        <w:jc w:val="both"/>
        <w:rPr>
          <w:b/>
          <w:noProof/>
        </w:rPr>
      </w:pPr>
      <w:r w:rsidRPr="00906C88">
        <w:rPr>
          <w:b/>
          <w:noProof/>
        </w:rPr>
        <w:t>Opis poslova radnog mjesta:</w:t>
      </w:r>
    </w:p>
    <w:p w14:paraId="6D219F2D" w14:textId="77777777" w:rsidR="00511C19" w:rsidRPr="00906C88" w:rsidRDefault="00511C19" w:rsidP="00906C88">
      <w:pPr>
        <w:jc w:val="both"/>
        <w:rPr>
          <w:b/>
          <w:noProof/>
        </w:rPr>
      </w:pPr>
    </w:p>
    <w:p w14:paraId="30CD706E" w14:textId="77777777" w:rsidR="00511C19" w:rsidRDefault="00F93EEC" w:rsidP="00511C19">
      <w:pPr>
        <w:pStyle w:val="StyleBodyText2ArialLeft15cmHanging064c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93EEC">
        <w:rPr>
          <w:rFonts w:ascii="Times New Roman" w:hAnsi="Times New Roman"/>
          <w:sz w:val="24"/>
          <w:szCs w:val="24"/>
        </w:rPr>
        <w:t xml:space="preserve">vodi analitičku evidenciju zaduženja i naplate prihoda Grada i naknade za uređenje voda, </w:t>
      </w:r>
      <w:r w:rsidR="00511C19" w:rsidRPr="00F93EEC">
        <w:rPr>
          <w:rFonts w:ascii="Times New Roman" w:hAnsi="Times New Roman"/>
          <w:sz w:val="24"/>
          <w:szCs w:val="24"/>
        </w:rPr>
        <w:t>obavlja sve poslove</w:t>
      </w:r>
      <w:r w:rsidR="00511C19">
        <w:rPr>
          <w:rFonts w:ascii="Times New Roman" w:hAnsi="Times New Roman"/>
          <w:sz w:val="24"/>
          <w:szCs w:val="24"/>
        </w:rPr>
        <w:t xml:space="preserve"> </w:t>
      </w:r>
      <w:r w:rsidR="00511C19" w:rsidRPr="00F93EEC">
        <w:rPr>
          <w:rFonts w:ascii="Times New Roman" w:hAnsi="Times New Roman"/>
          <w:sz w:val="24"/>
          <w:szCs w:val="24"/>
        </w:rPr>
        <w:t xml:space="preserve">knjiženja, zaduživanja, usklađenja, kontrole i evidentiranja podataka po zaduženjima obveznika prihoda Grada, vodi brigu o pravodobnosti knjiženja poslovnih događaja, dostavlja opomene dužnicima, priprema dokumentaciju za prisilnu naplatu odnosno </w:t>
      </w:r>
      <w:proofErr w:type="spellStart"/>
      <w:r w:rsidR="00511C19" w:rsidRPr="00F93EEC">
        <w:rPr>
          <w:rFonts w:ascii="Times New Roman" w:hAnsi="Times New Roman"/>
          <w:sz w:val="24"/>
          <w:szCs w:val="24"/>
        </w:rPr>
        <w:t>utuživanje</w:t>
      </w:r>
      <w:proofErr w:type="spellEnd"/>
      <w:r w:rsidR="00511C19" w:rsidRPr="00F93EEC">
        <w:rPr>
          <w:rFonts w:ascii="Times New Roman" w:hAnsi="Times New Roman"/>
          <w:sz w:val="24"/>
          <w:szCs w:val="24"/>
        </w:rPr>
        <w:t>, poduzima radnje vezano za pravovremenu naplatu gradskih potraživanja, vrši usklađivanje s financijskim knjigovodstvom, izrađuje izvještaje o stanju zaduženja i naplate prihoda, rješava izvode otvorenih stavaka kupaca</w:t>
      </w:r>
      <w:r w:rsidR="00511C19">
        <w:rPr>
          <w:rFonts w:ascii="Times New Roman" w:hAnsi="Times New Roman"/>
          <w:sz w:val="24"/>
          <w:szCs w:val="24"/>
        </w:rPr>
        <w:t xml:space="preserve"> </w:t>
      </w:r>
      <w:r w:rsidRPr="00511C19">
        <w:rPr>
          <w:rFonts w:ascii="Times New Roman" w:hAnsi="Times New Roman"/>
          <w:sz w:val="24"/>
          <w:szCs w:val="24"/>
        </w:rPr>
        <w:t xml:space="preserve">(70%), </w:t>
      </w:r>
    </w:p>
    <w:p w14:paraId="4482E147" w14:textId="77777777" w:rsidR="00511C19" w:rsidRDefault="00F93EEC" w:rsidP="00511C19">
      <w:pPr>
        <w:pStyle w:val="StyleBodyText2ArialLeft15cmHanging064c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11C19">
        <w:rPr>
          <w:rFonts w:ascii="Times New Roman" w:hAnsi="Times New Roman"/>
          <w:sz w:val="24"/>
          <w:szCs w:val="24"/>
        </w:rPr>
        <w:t xml:space="preserve">izdaje rješenja za naknadu za uređenje voda (10%), </w:t>
      </w:r>
    </w:p>
    <w:p w14:paraId="3C58D3FE" w14:textId="77777777" w:rsidR="00511C19" w:rsidRDefault="00F93EEC" w:rsidP="00511C19">
      <w:pPr>
        <w:pStyle w:val="StyleBodyText2ArialLeft15cmHanging064c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11C19">
        <w:rPr>
          <w:rFonts w:ascii="Times New Roman" w:hAnsi="Times New Roman"/>
          <w:sz w:val="24"/>
          <w:szCs w:val="24"/>
        </w:rPr>
        <w:t xml:space="preserve">vodi i ažurira evidencije iz djelokruga rada Upravnog odjela (10%), </w:t>
      </w:r>
    </w:p>
    <w:p w14:paraId="46B9C326" w14:textId="2CF0C677" w:rsidR="00511C19" w:rsidRDefault="00F93EEC" w:rsidP="00511C19">
      <w:pPr>
        <w:pStyle w:val="StyleBodyText2ArialLeft15cmHanging064c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11C19">
        <w:rPr>
          <w:rFonts w:ascii="Times New Roman" w:hAnsi="Times New Roman"/>
          <w:sz w:val="24"/>
          <w:szCs w:val="24"/>
        </w:rPr>
        <w:t xml:space="preserve">izdaje potvrde o činjenicama o kojima vodi evidencije (5%), </w:t>
      </w:r>
    </w:p>
    <w:p w14:paraId="32098009" w14:textId="77777777" w:rsidR="00511C19" w:rsidRPr="00611D67" w:rsidRDefault="00511C19" w:rsidP="00511C19">
      <w:pPr>
        <w:pStyle w:val="StyleBodyText2ArialLeft15cmHanging064c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93EEC">
        <w:rPr>
          <w:rFonts w:ascii="Times New Roman" w:hAnsi="Times New Roman"/>
          <w:sz w:val="24"/>
          <w:szCs w:val="24"/>
        </w:rPr>
        <w:t>obavlja ostale poslove po nalogu pročelnika, zamjenika pročelnika, pomoćnika pročelnika i voditelja Odsjeka (5%).</w:t>
      </w:r>
    </w:p>
    <w:p w14:paraId="4549712A" w14:textId="77777777" w:rsidR="00511C19" w:rsidRPr="00511C19" w:rsidRDefault="00511C19" w:rsidP="00511C19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</w:p>
    <w:p w14:paraId="59809AB1" w14:textId="77777777" w:rsidR="00511C19" w:rsidRDefault="00511C19" w:rsidP="00906C88">
      <w:pPr>
        <w:pStyle w:val="StyleBodyText2ArialLeft15cmHanging064cm"/>
        <w:numPr>
          <w:ilvl w:val="0"/>
          <w:numId w:val="0"/>
        </w:numPr>
        <w:ind w:left="-48" w:firstLine="48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</w:p>
    <w:p w14:paraId="7E3D60CC" w14:textId="5F80566E" w:rsidR="00E045B6" w:rsidRPr="00906C88" w:rsidRDefault="00E045B6" w:rsidP="00906C88">
      <w:pPr>
        <w:pStyle w:val="StyleBodyText2ArialLeft15cmHanging064cm"/>
        <w:numPr>
          <w:ilvl w:val="0"/>
          <w:numId w:val="0"/>
        </w:numPr>
        <w:ind w:left="-48" w:firstLine="48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Podaci o plaći:</w:t>
      </w:r>
    </w:p>
    <w:p w14:paraId="03973DB3" w14:textId="4B530ED3" w:rsidR="00511C19" w:rsidRPr="000E384A" w:rsidRDefault="00511C19" w:rsidP="00511C19">
      <w:pPr>
        <w:tabs>
          <w:tab w:val="left" w:pos="708"/>
        </w:tabs>
        <w:spacing w:line="276" w:lineRule="auto"/>
        <w:jc w:val="both"/>
      </w:pPr>
      <w:r w:rsidRPr="000E384A">
        <w:rPr>
          <w:noProof/>
        </w:rPr>
        <w:t xml:space="preserve">Podaci o plaći navedenog radnog mjesta propisani su Odlukom o koeficijentima za obračun plaće službenika i namještenika (Službene novine – Bollettino ufficiale Pula-Pola br. 17/24). Slijedom toga, plaću radnog mjesta </w:t>
      </w:r>
      <w:r>
        <w:rPr>
          <w:bCs/>
        </w:rPr>
        <w:t>Referent za gradske prihode</w:t>
      </w:r>
      <w:r w:rsidRPr="000E384A">
        <w:rPr>
          <w:noProof/>
        </w:rPr>
        <w:t xml:space="preserve"> či</w:t>
      </w:r>
      <w:r w:rsidRPr="000E384A">
        <w:t xml:space="preserve">ni umnožak koeficijenta složenosti poslova radnog mjesta </w:t>
      </w:r>
      <w:r>
        <w:t>1</w:t>
      </w:r>
      <w:r w:rsidRPr="000E384A">
        <w:t>,</w:t>
      </w:r>
      <w:r>
        <w:t>7</w:t>
      </w:r>
      <w:r w:rsidRPr="000E384A">
        <w:t xml:space="preserve">0 i osnovice za izračun plaće (iznos osnovice je 880,00 eura, bruto) uvećan za 0,5 % za svaku navršenu godinu radnog staža. </w:t>
      </w:r>
    </w:p>
    <w:p w14:paraId="7D2B1584" w14:textId="77777777" w:rsidR="00906C88" w:rsidRPr="00906C88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8E569D4" w14:textId="4D77EC4D" w:rsidR="00906C88" w:rsidRDefault="00906C88" w:rsidP="00430CC6">
      <w:pPr>
        <w:pStyle w:val="StyleBodyText2ArialLeft15cmHanging064cm"/>
        <w:numPr>
          <w:ilvl w:val="0"/>
          <w:numId w:val="3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TESTIRANJE KANDIDATA</w:t>
      </w:r>
    </w:p>
    <w:p w14:paraId="0CB11FBE" w14:textId="77777777" w:rsidR="006E3C51" w:rsidRPr="00906C88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DE85E5F" w14:textId="77777777" w:rsidR="00E045B6" w:rsidRPr="00906C88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bCs/>
          <w:color w:val="000000" w:themeColor="text1"/>
          <w:sz w:val="24"/>
          <w:szCs w:val="24"/>
        </w:rPr>
        <w:t>Testiranje kandidata:</w:t>
      </w:r>
    </w:p>
    <w:p w14:paraId="16793B14" w14:textId="39BB9A0D" w:rsidR="00E045B6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906C88">
        <w:rPr>
          <w:rFonts w:ascii="Times New Roman" w:hAnsi="Times New Roman"/>
          <w:color w:val="000000" w:themeColor="text1"/>
          <w:sz w:val="24"/>
          <w:szCs w:val="24"/>
        </w:rPr>
        <w:t>je se kandidat prima - pismeni te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st.</w:t>
      </w:r>
    </w:p>
    <w:p w14:paraId="6D11C215" w14:textId="77777777" w:rsidR="006E3C51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</w:p>
    <w:p w14:paraId="730C5965" w14:textId="77777777" w:rsidR="00723522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Pravni izvori za pripremanje kandidata za testiranje: </w:t>
      </w:r>
    </w:p>
    <w:p w14:paraId="3BCE65E9" w14:textId="5B46189B" w:rsidR="003E2165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 xml:space="preserve">Pitanja kojima se testira provjera znanja, sposobnosti i vještina bitnih za obavljanje </w:t>
      </w:r>
      <w:r w:rsidR="00723522">
        <w:rPr>
          <w:rFonts w:ascii="Times New Roman" w:hAnsi="Times New Roman"/>
          <w:color w:val="000000" w:themeColor="text1"/>
          <w:sz w:val="24"/>
          <w:szCs w:val="24"/>
        </w:rPr>
        <w:t>poslova</w:t>
      </w:r>
      <w:r w:rsidR="00E43D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3522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adnog mjesta na koje se kandidat prima temelje se na sljedećim propisima:</w:t>
      </w:r>
    </w:p>
    <w:p w14:paraId="2B2AE10E" w14:textId="77777777" w:rsidR="00EA5BD5" w:rsidRDefault="00EA5BD5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</w:p>
    <w:p w14:paraId="26D54A5D" w14:textId="57ECDE3E" w:rsidR="00E76A4C" w:rsidRPr="000D6780" w:rsidRDefault="00E76A4C" w:rsidP="00430CC6">
      <w:pPr>
        <w:pStyle w:val="Odlomakpopisa"/>
        <w:numPr>
          <w:ilvl w:val="0"/>
          <w:numId w:val="7"/>
        </w:numPr>
        <w:spacing w:line="259" w:lineRule="auto"/>
        <w:ind w:left="851" w:hanging="425"/>
        <w:jc w:val="both"/>
      </w:pPr>
      <w:r w:rsidRPr="000D6780">
        <w:lastRenderedPageBreak/>
        <w:t>Zakon o lokalnoj i područnoj (regionalnoj) samoupravi ("Narodne novine" br. 33/01, 60/01, 129/05, 109/07, 125/08, 36/09, 150/11, 144/12, 19/13, 137/15, 123/17, 98/19, 144/20)</w:t>
      </w:r>
      <w:r>
        <w:t>;</w:t>
      </w:r>
    </w:p>
    <w:p w14:paraId="167345F5" w14:textId="0DC9DAC4" w:rsidR="00E76A4C" w:rsidRPr="000D6780" w:rsidRDefault="00E76A4C" w:rsidP="00430CC6">
      <w:pPr>
        <w:pStyle w:val="Odlomakpopisa"/>
        <w:numPr>
          <w:ilvl w:val="0"/>
          <w:numId w:val="7"/>
        </w:numPr>
        <w:spacing w:line="259" w:lineRule="auto"/>
        <w:ind w:left="851" w:hanging="425"/>
        <w:jc w:val="both"/>
      </w:pPr>
      <w:r w:rsidRPr="000D6780">
        <w:t>Odluka o komunalnoj naknadi (“Službene novine“ Grada Pule br. 21/18, 3/19, 4/20, 20/21</w:t>
      </w:r>
      <w:r w:rsidR="00F304D0">
        <w:t xml:space="preserve"> i 7/24</w:t>
      </w:r>
      <w:r w:rsidRPr="000D6780">
        <w:t>)</w:t>
      </w:r>
      <w:r>
        <w:t>;</w:t>
      </w:r>
    </w:p>
    <w:p w14:paraId="5F4F9075" w14:textId="4828F7A0" w:rsidR="00E76A4C" w:rsidRPr="000D6780" w:rsidRDefault="00E76A4C" w:rsidP="00430CC6">
      <w:pPr>
        <w:pStyle w:val="Odlomakpopisa"/>
        <w:numPr>
          <w:ilvl w:val="0"/>
          <w:numId w:val="7"/>
        </w:numPr>
        <w:spacing w:line="259" w:lineRule="auto"/>
        <w:ind w:left="851" w:hanging="425"/>
        <w:jc w:val="both"/>
      </w:pPr>
      <w:r w:rsidRPr="000D6780">
        <w:t>Odluka o komunalnom doprinosu Grada Pule (“Službene novine“ Grada Pule br. 21/18, 4/20)</w:t>
      </w:r>
      <w:r>
        <w:t>.</w:t>
      </w:r>
    </w:p>
    <w:p w14:paraId="0F20AE5D" w14:textId="77777777" w:rsidR="001D6E7A" w:rsidRPr="003B5FC6" w:rsidRDefault="001D6E7A" w:rsidP="001D6E7A">
      <w:pPr>
        <w:pStyle w:val="Odlomakpopisa"/>
        <w:tabs>
          <w:tab w:val="left" w:pos="360"/>
          <w:tab w:val="left" w:pos="720"/>
        </w:tabs>
        <w:autoSpaceDE w:val="0"/>
        <w:autoSpaceDN w:val="0"/>
        <w:adjustRightInd w:val="0"/>
        <w:ind w:left="709"/>
        <w:jc w:val="both"/>
        <w:rPr>
          <w:color w:val="000000" w:themeColor="text1"/>
        </w:rPr>
      </w:pPr>
    </w:p>
    <w:p w14:paraId="75EA8BD9" w14:textId="6ACC9F1C" w:rsidR="00E045B6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b/>
          <w:color w:val="000000" w:themeColor="text1"/>
          <w:sz w:val="24"/>
          <w:szCs w:val="24"/>
        </w:rPr>
        <w:t>Pravila testiranja</w:t>
      </w:r>
      <w:r w:rsidR="00906C8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700F6F3" w14:textId="77777777" w:rsidR="00B34FA6" w:rsidRPr="00906C88" w:rsidRDefault="00B34FA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03FF8A" w14:textId="77777777" w:rsidR="00E045B6" w:rsidRPr="00906C88" w:rsidRDefault="00E045B6" w:rsidP="00430CC6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06C88">
        <w:rPr>
          <w:rFonts w:ascii="Times New Roman" w:hAnsi="Times New Roman"/>
          <w:color w:val="000000" w:themeColor="text1"/>
          <w:sz w:val="24"/>
          <w:szCs w:val="24"/>
        </w:rPr>
        <w:t>Po dolasku na testira</w:t>
      </w:r>
      <w:r w:rsidR="00EF6C73" w:rsidRPr="00906C8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906C88">
        <w:rPr>
          <w:rFonts w:ascii="Times New Roman" w:hAnsi="Times New Roman"/>
          <w:color w:val="000000" w:themeColor="text1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906C88" w:rsidRDefault="00E045B6" w:rsidP="00430CC6">
      <w:pPr>
        <w:numPr>
          <w:ilvl w:val="0"/>
          <w:numId w:val="2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Za vrijeme provjere znanja i sposobnosti nije dopušteno: </w:t>
      </w:r>
      <w:r w:rsidR="00EF6C73" w:rsidRPr="00906C88">
        <w:rPr>
          <w:color w:val="000000" w:themeColor="text1"/>
        </w:rPr>
        <w:t>korištenje literature, bilješki</w:t>
      </w:r>
      <w:r w:rsidRPr="00906C88">
        <w:rPr>
          <w:color w:val="000000" w:themeColor="text1"/>
        </w:rPr>
        <w:t>, mobitela, napuštati prostorije u kojoj se obavlja provjera, razgovarati ili na</w:t>
      </w:r>
      <w:r w:rsidR="004454C3">
        <w:rPr>
          <w:color w:val="000000" w:themeColor="text1"/>
        </w:rPr>
        <w:t xml:space="preserve"> </w:t>
      </w:r>
      <w:r w:rsidRPr="00906C88">
        <w:rPr>
          <w:color w:val="000000" w:themeColor="text1"/>
        </w:rPr>
        <w:t>drugi način ometati ostale kandidate.</w:t>
      </w:r>
    </w:p>
    <w:p w14:paraId="7AEA1774" w14:textId="77777777" w:rsidR="00E045B6" w:rsidRPr="00906C88" w:rsidRDefault="00E045B6" w:rsidP="00430CC6">
      <w:pPr>
        <w:numPr>
          <w:ilvl w:val="0"/>
          <w:numId w:val="2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Nakon uvodnih radnji, započinje testiranje na način da će kandidatima biti podijeljena pitanja za provjeru znanja i sposobnosti za obavljanje poslova radnog mjesta za kojeg    </w:t>
      </w:r>
      <w:r w:rsidR="00EF6C73" w:rsidRPr="00906C88">
        <w:rPr>
          <w:color w:val="000000" w:themeColor="text1"/>
        </w:rPr>
        <w:t xml:space="preserve"> </w:t>
      </w:r>
      <w:r w:rsidRPr="00906C88">
        <w:rPr>
          <w:color w:val="000000" w:themeColor="text1"/>
        </w:rPr>
        <w:t>se kandidat prijavio.</w:t>
      </w:r>
    </w:p>
    <w:p w14:paraId="0192A8AB" w14:textId="77777777" w:rsidR="00E43D77" w:rsidRDefault="00E045B6" w:rsidP="00430CC6">
      <w:pPr>
        <w:numPr>
          <w:ilvl w:val="0"/>
          <w:numId w:val="2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Za provjeru znanja i sposobnosti testiranjem dodjeljuje se od 1 do 10 bodova. </w:t>
      </w:r>
    </w:p>
    <w:p w14:paraId="725D4E68" w14:textId="77777777" w:rsidR="00E045B6" w:rsidRPr="00E43D77" w:rsidRDefault="00E045B6" w:rsidP="00430CC6">
      <w:pPr>
        <w:numPr>
          <w:ilvl w:val="0"/>
          <w:numId w:val="2"/>
        </w:numPr>
        <w:jc w:val="both"/>
        <w:rPr>
          <w:color w:val="000000" w:themeColor="text1"/>
        </w:rPr>
      </w:pPr>
      <w:r w:rsidRPr="00E43D77">
        <w:rPr>
          <w:color w:val="000000" w:themeColor="text1"/>
        </w:rPr>
        <w:t>Smatra se da je kandidat položio</w:t>
      </w:r>
      <w:r w:rsidR="00EF6C73" w:rsidRPr="00E43D77">
        <w:rPr>
          <w:color w:val="000000" w:themeColor="text1"/>
        </w:rPr>
        <w:t xml:space="preserve"> test </w:t>
      </w:r>
      <w:r w:rsidRPr="00E43D77">
        <w:rPr>
          <w:color w:val="000000" w:themeColor="text1"/>
        </w:rPr>
        <w:t>ako je od provjere navedene u točki 4. postigao</w:t>
      </w:r>
      <w:r w:rsidR="00E43D77" w:rsidRPr="00E43D77">
        <w:rPr>
          <w:color w:val="000000" w:themeColor="text1"/>
        </w:rPr>
        <w:t xml:space="preserve"> </w:t>
      </w:r>
      <w:r w:rsidRPr="00E43D77">
        <w:rPr>
          <w:color w:val="000000" w:themeColor="text1"/>
        </w:rPr>
        <w:t xml:space="preserve">      najmanje 50% ukupnog broja bodova.  </w:t>
      </w:r>
    </w:p>
    <w:p w14:paraId="0095E505" w14:textId="77777777" w:rsidR="00906C88" w:rsidRDefault="00906C88" w:rsidP="00906C88">
      <w:pPr>
        <w:ind w:left="360"/>
        <w:jc w:val="both"/>
        <w:rPr>
          <w:color w:val="000000" w:themeColor="text1"/>
        </w:rPr>
      </w:pPr>
    </w:p>
    <w:p w14:paraId="1DA3C2F0" w14:textId="0B0E92D6" w:rsidR="001B0F4A" w:rsidRDefault="00906C88" w:rsidP="00430CC6">
      <w:pPr>
        <w:pStyle w:val="Odlomakpopisa"/>
        <w:numPr>
          <w:ilvl w:val="0"/>
          <w:numId w:val="3"/>
        </w:numPr>
        <w:jc w:val="both"/>
        <w:rPr>
          <w:b/>
          <w:color w:val="000000" w:themeColor="text1"/>
        </w:rPr>
      </w:pPr>
      <w:r w:rsidRPr="00170672">
        <w:rPr>
          <w:b/>
          <w:color w:val="000000" w:themeColor="text1"/>
        </w:rPr>
        <w:t>INTERVJU</w:t>
      </w:r>
    </w:p>
    <w:p w14:paraId="4923C4F4" w14:textId="77777777" w:rsidR="00B34FA6" w:rsidRPr="00FD7772" w:rsidRDefault="00B34FA6" w:rsidP="00B34FA6">
      <w:pPr>
        <w:pStyle w:val="Odlomakpopisa"/>
        <w:jc w:val="both"/>
        <w:rPr>
          <w:b/>
          <w:color w:val="000000" w:themeColor="text1"/>
        </w:rPr>
      </w:pPr>
    </w:p>
    <w:p w14:paraId="6DCE5353" w14:textId="77777777" w:rsidR="00906C88" w:rsidRDefault="00906C88" w:rsidP="00430CC6">
      <w:pPr>
        <w:pStyle w:val="Odlomakpopisa"/>
        <w:numPr>
          <w:ilvl w:val="0"/>
          <w:numId w:val="4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>Razgovor (intervju) se provodi samo s onim kandidatima koji su ostvarili 50% i više broja bodova na testiranju</w:t>
      </w:r>
      <w:r w:rsidR="00544DBF">
        <w:rPr>
          <w:color w:val="000000" w:themeColor="text1"/>
        </w:rPr>
        <w:t>.</w:t>
      </w:r>
    </w:p>
    <w:p w14:paraId="1F5F9988" w14:textId="422999BA" w:rsidR="00906C88" w:rsidRPr="00906C88" w:rsidRDefault="00906C88" w:rsidP="00430CC6">
      <w:pPr>
        <w:pStyle w:val="Odlomakpopisa"/>
        <w:numPr>
          <w:ilvl w:val="0"/>
          <w:numId w:val="4"/>
        </w:num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Povjerenstvo za provedbu </w:t>
      </w:r>
      <w:r w:rsidR="006E3C51">
        <w:rPr>
          <w:color w:val="000000" w:themeColor="text1"/>
        </w:rPr>
        <w:t>oglasa</w:t>
      </w:r>
      <w:r w:rsidRPr="00906C88">
        <w:rPr>
          <w:color w:val="000000" w:themeColor="text1"/>
        </w:rPr>
        <w:t xml:space="preserve"> kroz razgovor (intervju) sa kandidatima utvrđuje interese, ciljeve i motivaciju kandidata za rad. Rezultati razgovora (intervjua) boduju se od 1 do 10 bodova.</w:t>
      </w:r>
    </w:p>
    <w:p w14:paraId="3191ABFB" w14:textId="77777777" w:rsidR="00906C88" w:rsidRPr="00906C88" w:rsidRDefault="00906C88" w:rsidP="00906C88">
      <w:pPr>
        <w:ind w:left="360"/>
        <w:jc w:val="both"/>
        <w:rPr>
          <w:color w:val="000000" w:themeColor="text1"/>
        </w:rPr>
      </w:pPr>
    </w:p>
    <w:p w14:paraId="3C7F9127" w14:textId="186FFD59" w:rsidR="00E045B6" w:rsidRDefault="00EF6C73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>Ukupan broj bodova kojeg</w:t>
      </w:r>
      <w:r w:rsidR="00E045B6" w:rsidRPr="00906C88">
        <w:rPr>
          <w:color w:val="000000" w:themeColor="text1"/>
        </w:rPr>
        <w:t xml:space="preserve"> kandidat može postići testiranjem i intervjuom je 20.</w:t>
      </w:r>
    </w:p>
    <w:p w14:paraId="1B56FD73" w14:textId="77777777" w:rsidR="00F25189" w:rsidRDefault="00F25189" w:rsidP="00906C88">
      <w:pPr>
        <w:jc w:val="both"/>
        <w:rPr>
          <w:color w:val="000000" w:themeColor="text1"/>
        </w:rPr>
      </w:pPr>
    </w:p>
    <w:p w14:paraId="145CE2B2" w14:textId="25533BC0" w:rsidR="00E045B6" w:rsidRDefault="00E045B6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Nakon provedenog postupka, Povjerenstvo za provedbu </w:t>
      </w:r>
      <w:r w:rsidR="00851FAD">
        <w:rPr>
          <w:color w:val="000000" w:themeColor="text1"/>
        </w:rPr>
        <w:t>oglasa</w:t>
      </w:r>
      <w:r w:rsidR="00EF6C73" w:rsidRPr="00906C88">
        <w:rPr>
          <w:color w:val="000000" w:themeColor="text1"/>
        </w:rPr>
        <w:t xml:space="preserve"> utvrđuje rang listu </w:t>
      </w:r>
      <w:r w:rsidRPr="00906C88">
        <w:rPr>
          <w:color w:val="000000" w:themeColor="text1"/>
        </w:rPr>
        <w:t xml:space="preserve">kandidata prema ukupnom broju ostvarenih bodova te dostavlja </w:t>
      </w:r>
      <w:r w:rsidR="00593A9C">
        <w:rPr>
          <w:color w:val="000000" w:themeColor="text1"/>
        </w:rPr>
        <w:t>pročelni</w:t>
      </w:r>
      <w:r w:rsidR="00C33BEA">
        <w:rPr>
          <w:color w:val="000000" w:themeColor="text1"/>
        </w:rPr>
        <w:t>ku</w:t>
      </w:r>
      <w:r w:rsidR="00E553CE">
        <w:rPr>
          <w:color w:val="000000" w:themeColor="text1"/>
        </w:rPr>
        <w:t xml:space="preserve"> </w:t>
      </w:r>
      <w:bookmarkStart w:id="0" w:name="_Hlk198721073"/>
      <w:r w:rsidR="00E553CE">
        <w:rPr>
          <w:color w:val="000000" w:themeColor="text1"/>
        </w:rPr>
        <w:t xml:space="preserve">Upravnog odjela za </w:t>
      </w:r>
      <w:r w:rsidR="00593A9C">
        <w:rPr>
          <w:color w:val="000000" w:themeColor="text1"/>
        </w:rPr>
        <w:t>financije</w:t>
      </w:r>
      <w:r w:rsidR="00C33BEA">
        <w:rPr>
          <w:color w:val="000000" w:themeColor="text1"/>
        </w:rPr>
        <w:t xml:space="preserve">, </w:t>
      </w:r>
      <w:r w:rsidR="00593A9C">
        <w:rPr>
          <w:color w:val="000000" w:themeColor="text1"/>
        </w:rPr>
        <w:t xml:space="preserve"> gospodarstvo</w:t>
      </w:r>
      <w:r w:rsidR="00C33BEA">
        <w:rPr>
          <w:color w:val="000000" w:themeColor="text1"/>
        </w:rPr>
        <w:t xml:space="preserve"> i provedbu ITU mehanizma</w:t>
      </w:r>
      <w:r w:rsidR="00593A9C">
        <w:rPr>
          <w:color w:val="000000" w:themeColor="text1"/>
        </w:rPr>
        <w:t xml:space="preserve"> </w:t>
      </w:r>
      <w:r w:rsidR="0006360D" w:rsidRPr="00906C88">
        <w:rPr>
          <w:color w:val="000000" w:themeColor="text1"/>
        </w:rPr>
        <w:t xml:space="preserve">Grada </w:t>
      </w:r>
      <w:r w:rsidRPr="00906C88">
        <w:rPr>
          <w:color w:val="000000" w:themeColor="text1"/>
        </w:rPr>
        <w:t>Pul</w:t>
      </w:r>
      <w:r w:rsidR="0006360D" w:rsidRPr="00906C88">
        <w:rPr>
          <w:color w:val="000000" w:themeColor="text1"/>
        </w:rPr>
        <w:t>a-Pola</w:t>
      </w:r>
      <w:r w:rsidRPr="00906C88">
        <w:rPr>
          <w:color w:val="000000" w:themeColor="text1"/>
        </w:rPr>
        <w:t xml:space="preserve"> </w:t>
      </w:r>
      <w:bookmarkEnd w:id="0"/>
      <w:r w:rsidRPr="00906C88">
        <w:rPr>
          <w:color w:val="000000" w:themeColor="text1"/>
        </w:rPr>
        <w:t xml:space="preserve">rang listu kandidata i izvješće o provedenom postupku koje potpisuju svi članovi Povjerenstva za provedbu </w:t>
      </w:r>
      <w:r w:rsidR="006E3C51">
        <w:rPr>
          <w:color w:val="000000" w:themeColor="text1"/>
        </w:rPr>
        <w:t>oglasa</w:t>
      </w:r>
      <w:r w:rsidRPr="00906C88">
        <w:rPr>
          <w:color w:val="000000" w:themeColor="text1"/>
        </w:rPr>
        <w:t>.</w:t>
      </w:r>
    </w:p>
    <w:p w14:paraId="5CDBC0E0" w14:textId="77777777" w:rsidR="00F25189" w:rsidRDefault="00F25189" w:rsidP="00906C88">
      <w:pPr>
        <w:jc w:val="both"/>
        <w:rPr>
          <w:color w:val="000000" w:themeColor="text1"/>
        </w:rPr>
      </w:pPr>
    </w:p>
    <w:p w14:paraId="7EC3849C" w14:textId="75832E82" w:rsidR="00E045B6" w:rsidRDefault="00E045B6" w:rsidP="00906C88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 xml:space="preserve">Izabrani kandidat, po obavijesti o izboru, dostavlja uvjerenje o zdravstvenoj sposobnosti za obavljanje poslova radnog mjesta, a </w:t>
      </w:r>
      <w:r w:rsidR="00544DBF">
        <w:rPr>
          <w:color w:val="000000" w:themeColor="text1"/>
        </w:rPr>
        <w:t>prije donošenja Rješenja o prij</w:t>
      </w:r>
      <w:r w:rsidRPr="00906C88">
        <w:rPr>
          <w:color w:val="000000" w:themeColor="text1"/>
        </w:rPr>
        <w:t>mu u službu.</w:t>
      </w:r>
    </w:p>
    <w:p w14:paraId="449C28F6" w14:textId="77777777" w:rsidR="00F25189" w:rsidRDefault="00F25189" w:rsidP="00906C88">
      <w:pPr>
        <w:jc w:val="both"/>
        <w:rPr>
          <w:color w:val="000000" w:themeColor="text1"/>
        </w:rPr>
      </w:pPr>
    </w:p>
    <w:p w14:paraId="3706C4DE" w14:textId="756AEFB2" w:rsidR="00E045B6" w:rsidRDefault="00593A9C" w:rsidP="00906C88">
      <w:pPr>
        <w:jc w:val="both"/>
        <w:rPr>
          <w:color w:val="000000" w:themeColor="text1"/>
        </w:rPr>
      </w:pPr>
      <w:r>
        <w:rPr>
          <w:color w:val="000000" w:themeColor="text1"/>
        </w:rPr>
        <w:t>Pročelni</w:t>
      </w:r>
      <w:r w:rsidR="00C33BEA">
        <w:rPr>
          <w:color w:val="000000" w:themeColor="text1"/>
        </w:rPr>
        <w:t>k</w:t>
      </w:r>
      <w:r w:rsidR="00E553CE">
        <w:rPr>
          <w:color w:val="000000" w:themeColor="text1"/>
        </w:rPr>
        <w:t xml:space="preserve"> </w:t>
      </w:r>
      <w:r w:rsidR="00C33BEA" w:rsidRPr="00C33BEA">
        <w:rPr>
          <w:color w:val="000000" w:themeColor="text1"/>
        </w:rPr>
        <w:t xml:space="preserve">Upravnog odjela za financije,  gospodarstvo i provedbu ITU mehanizma Grada Pula-Pola </w:t>
      </w:r>
      <w:r w:rsidR="00544DBF">
        <w:rPr>
          <w:color w:val="000000" w:themeColor="text1"/>
        </w:rPr>
        <w:t>donosi Rješenje o prij</w:t>
      </w:r>
      <w:r w:rsidR="00E045B6" w:rsidRPr="00906C88">
        <w:rPr>
          <w:color w:val="000000" w:themeColor="text1"/>
        </w:rPr>
        <w:t xml:space="preserve">mu u službu koje se dostavlja svim kandidatima koji su se prijavili na </w:t>
      </w:r>
      <w:r w:rsidR="00851FAD">
        <w:rPr>
          <w:color w:val="000000" w:themeColor="text1"/>
        </w:rPr>
        <w:t xml:space="preserve">oglas i </w:t>
      </w:r>
      <w:r w:rsidR="001D6E7A">
        <w:rPr>
          <w:color w:val="000000" w:themeColor="text1"/>
        </w:rPr>
        <w:t xml:space="preserve">koji su </w:t>
      </w:r>
      <w:r w:rsidR="00851FAD">
        <w:rPr>
          <w:color w:val="000000" w:themeColor="text1"/>
        </w:rPr>
        <w:t>pristupili pisanom testiranju</w:t>
      </w:r>
      <w:r w:rsidR="00E045B6" w:rsidRPr="00906C88">
        <w:rPr>
          <w:color w:val="000000" w:themeColor="text1"/>
        </w:rPr>
        <w:t>.</w:t>
      </w:r>
    </w:p>
    <w:p w14:paraId="5EF89456" w14:textId="77777777" w:rsidR="00F25189" w:rsidRPr="00906C88" w:rsidRDefault="00F25189" w:rsidP="00906C88">
      <w:pPr>
        <w:jc w:val="both"/>
        <w:rPr>
          <w:color w:val="000000" w:themeColor="text1"/>
        </w:rPr>
      </w:pPr>
    </w:p>
    <w:p w14:paraId="41A33F3B" w14:textId="77777777" w:rsidR="00E045B6" w:rsidRDefault="00E045B6" w:rsidP="00723522">
      <w:pPr>
        <w:jc w:val="both"/>
        <w:rPr>
          <w:color w:val="000000" w:themeColor="text1"/>
        </w:rPr>
      </w:pPr>
      <w:r w:rsidRPr="00906C88">
        <w:rPr>
          <w:color w:val="000000" w:themeColor="text1"/>
        </w:rPr>
        <w:t>Kandidat koji n</w:t>
      </w:r>
      <w:r w:rsidR="00D938E3">
        <w:rPr>
          <w:color w:val="000000" w:themeColor="text1"/>
        </w:rPr>
        <w:t>ije zadovoljan Rješenjem o prij</w:t>
      </w:r>
      <w:r w:rsidRPr="00906C88">
        <w:rPr>
          <w:color w:val="000000" w:themeColor="text1"/>
        </w:rPr>
        <w:t>mu u službu izabranog kandidata, ima pravo podnijeti žalbu gradonačelniku Grada Pul</w:t>
      </w:r>
      <w:r w:rsidR="0006360D" w:rsidRPr="00906C88">
        <w:rPr>
          <w:color w:val="000000" w:themeColor="text1"/>
        </w:rPr>
        <w:t>a-Pola</w:t>
      </w:r>
      <w:r w:rsidRPr="00906C88">
        <w:rPr>
          <w:color w:val="000000" w:themeColor="text1"/>
        </w:rPr>
        <w:t xml:space="preserve"> u roku od 15 dana od dana dostave rješenja.</w:t>
      </w:r>
    </w:p>
    <w:p w14:paraId="2EBD8AE8" w14:textId="77777777" w:rsidR="008174F3" w:rsidRPr="00906C88" w:rsidRDefault="008174F3" w:rsidP="00723522">
      <w:pPr>
        <w:jc w:val="both"/>
        <w:rPr>
          <w:color w:val="000000" w:themeColor="text1"/>
        </w:rPr>
      </w:pPr>
    </w:p>
    <w:p w14:paraId="4745C123" w14:textId="19EC8D56" w:rsidR="001D6E7A" w:rsidRDefault="001D6E7A" w:rsidP="00D77601">
      <w:pPr>
        <w:jc w:val="center"/>
        <w:rPr>
          <w:b/>
          <w:color w:val="000000" w:themeColor="text1"/>
        </w:rPr>
      </w:pPr>
    </w:p>
    <w:p w14:paraId="22F6E380" w14:textId="267BFDE2" w:rsidR="001D6E7A" w:rsidRDefault="001D6E7A" w:rsidP="00FF402B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Povjerenstvo za provedbu oglasa</w:t>
      </w:r>
    </w:p>
    <w:p w14:paraId="5E67CA74" w14:textId="0A2151B5" w:rsidR="00430CC6" w:rsidRDefault="00430CC6" w:rsidP="00430CC6">
      <w:pPr>
        <w:rPr>
          <w:b/>
          <w:color w:val="000000" w:themeColor="text1"/>
        </w:rPr>
      </w:pPr>
    </w:p>
    <w:p w14:paraId="1124B45C" w14:textId="77777777" w:rsidR="005F2EB5" w:rsidRDefault="005F2EB5" w:rsidP="00430CC6">
      <w:pPr>
        <w:rPr>
          <w:b/>
          <w:color w:val="000000" w:themeColor="text1"/>
        </w:rPr>
      </w:pPr>
    </w:p>
    <w:p w14:paraId="6119EA3B" w14:textId="77777777" w:rsidR="005F2EB5" w:rsidRDefault="005F2EB5" w:rsidP="005F2EB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CITTÀ DI PULA-POLA</w:t>
      </w:r>
    </w:p>
    <w:p w14:paraId="3A3BD1D8" w14:textId="77777777" w:rsidR="005F2EB5" w:rsidRDefault="005F2EB5" w:rsidP="005F2EB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ASSESSORATO ALLE FINANZE E ALL’ECONOMIA</w:t>
      </w:r>
    </w:p>
    <w:p w14:paraId="23EE2157" w14:textId="77777777" w:rsidR="005F2EB5" w:rsidRDefault="005F2EB5" w:rsidP="005F2EB5">
      <w:pPr>
        <w:jc w:val="center"/>
        <w:rPr>
          <w:b/>
          <w:color w:val="000000" w:themeColor="text1"/>
        </w:rPr>
      </w:pPr>
    </w:p>
    <w:p w14:paraId="0181C03B" w14:textId="77777777" w:rsidR="005F2EB5" w:rsidRDefault="005F2EB5" w:rsidP="005F2EB5">
      <w:pPr>
        <w:ind w:firstLine="708"/>
        <w:jc w:val="both"/>
        <w:rPr>
          <w:bCs/>
          <w:color w:val="000000" w:themeColor="text1"/>
        </w:rPr>
      </w:pPr>
      <w:proofErr w:type="spellStart"/>
      <w:r>
        <w:rPr>
          <w:color w:val="000000" w:themeColor="text1"/>
        </w:rPr>
        <w:t>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sensi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dell’articolo</w:t>
      </w:r>
      <w:proofErr w:type="spellEnd"/>
      <w:r>
        <w:rPr>
          <w:color w:val="000000" w:themeColor="text1"/>
        </w:rPr>
        <w:t xml:space="preserve"> 29 e </w:t>
      </w:r>
      <w:proofErr w:type="spellStart"/>
      <w:r>
        <w:rPr>
          <w:color w:val="000000" w:themeColor="text1"/>
        </w:rPr>
        <w:t>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riferimento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all’articolo</w:t>
      </w:r>
      <w:proofErr w:type="spellEnd"/>
      <w:r>
        <w:rPr>
          <w:color w:val="000000" w:themeColor="text1"/>
        </w:rPr>
        <w:t xml:space="preserve"> 19 della </w:t>
      </w:r>
      <w:proofErr w:type="spellStart"/>
      <w:r>
        <w:rPr>
          <w:color w:val="000000" w:themeColor="text1"/>
        </w:rPr>
        <w:t>Legge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sugli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impiegati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sul</w:t>
      </w:r>
      <w:proofErr w:type="spellEnd"/>
      <w:r>
        <w:rPr>
          <w:color w:val="000000" w:themeColor="text1"/>
        </w:rPr>
        <w:t xml:space="preserve"> personale </w:t>
      </w:r>
      <w:proofErr w:type="spellStart"/>
      <w:r>
        <w:rPr>
          <w:color w:val="000000" w:themeColor="text1"/>
        </w:rPr>
        <w:t>tecnico-ausiliario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nell'autogoverno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locale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territoriale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regionale</w:t>
      </w:r>
      <w:proofErr w:type="spellEnd"/>
      <w:r>
        <w:rPr>
          <w:color w:val="000000" w:themeColor="text1"/>
        </w:rPr>
        <w:t>) ("</w:t>
      </w:r>
      <w:proofErr w:type="spellStart"/>
      <w:r>
        <w:rPr>
          <w:color w:val="000000" w:themeColor="text1"/>
        </w:rPr>
        <w:t>Gazzetta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ufficiale</w:t>
      </w:r>
      <w:proofErr w:type="spellEnd"/>
      <w:r>
        <w:rPr>
          <w:color w:val="000000" w:themeColor="text1"/>
        </w:rPr>
        <w:t>", n. 86/08, 61/11, 4/18 e 112/19)</w:t>
      </w:r>
      <w:r>
        <w:t xml:space="preserve">, </w:t>
      </w:r>
      <w:proofErr w:type="spellStart"/>
      <w:r>
        <w:t>l’Assessore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finanze</w:t>
      </w:r>
      <w:proofErr w:type="spellEnd"/>
      <w:r>
        <w:t xml:space="preserve">, </w:t>
      </w:r>
      <w:proofErr w:type="spellStart"/>
      <w:r>
        <w:t>all’economia</w:t>
      </w:r>
      <w:proofErr w:type="spellEnd"/>
      <w:r>
        <w:t xml:space="preserve"> e </w:t>
      </w:r>
      <w:proofErr w:type="spellStart"/>
      <w:r>
        <w:t>all’attuazione</w:t>
      </w:r>
      <w:proofErr w:type="spellEnd"/>
      <w:r>
        <w:t xml:space="preserve"> del </w:t>
      </w:r>
      <w:proofErr w:type="spellStart"/>
      <w:r>
        <w:t>meccanismo</w:t>
      </w:r>
      <w:proofErr w:type="spellEnd"/>
      <w:r>
        <w:t xml:space="preserve"> ITU della </w:t>
      </w:r>
      <w:proofErr w:type="spellStart"/>
      <w:r>
        <w:t>Città</w:t>
      </w:r>
      <w:proofErr w:type="spellEnd"/>
      <w:r>
        <w:t xml:space="preserve"> di Pula-Pola </w:t>
      </w:r>
      <w:proofErr w:type="spellStart"/>
      <w:r>
        <w:rPr>
          <w:color w:val="000000" w:themeColor="text1"/>
        </w:rPr>
        <w:t>bandisce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concorso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pubblico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nella</w:t>
      </w:r>
      <w:proofErr w:type="spellEnd"/>
      <w:r>
        <w:rPr>
          <w:color w:val="000000" w:themeColor="text1"/>
        </w:rPr>
        <w:t xml:space="preserve"> “</w:t>
      </w:r>
      <w:proofErr w:type="spellStart"/>
      <w:r>
        <w:rPr>
          <w:color w:val="000000" w:themeColor="text1"/>
        </w:rPr>
        <w:t>Gazzetta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ufficiale</w:t>
      </w:r>
      <w:proofErr w:type="spellEnd"/>
      <w:r>
        <w:rPr>
          <w:color w:val="000000" w:themeColor="text1"/>
        </w:rPr>
        <w:t xml:space="preserve">” della </w:t>
      </w:r>
      <w:proofErr w:type="spellStart"/>
      <w:r>
        <w:rPr>
          <w:color w:val="000000" w:themeColor="text1"/>
        </w:rPr>
        <w:t>Repubblica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Croazia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l’Ente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croato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collocamento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lavoro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Ufficio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territoriale</w:t>
      </w:r>
      <w:proofErr w:type="spellEnd"/>
      <w:r>
        <w:rPr>
          <w:color w:val="000000" w:themeColor="text1"/>
        </w:rPr>
        <w:t xml:space="preserve"> di Pola e </w:t>
      </w:r>
      <w:proofErr w:type="spellStart"/>
      <w:r>
        <w:rPr>
          <w:color w:val="000000" w:themeColor="text1"/>
        </w:rPr>
        <w:t>sul</w:t>
      </w:r>
      <w:proofErr w:type="spellEnd"/>
      <w:r>
        <w:rPr>
          <w:color w:val="000000" w:themeColor="text1"/>
        </w:rPr>
        <w:t xml:space="preserve"> sito </w:t>
      </w:r>
      <w:proofErr w:type="spellStart"/>
      <w:r>
        <w:rPr>
          <w:color w:val="000000" w:themeColor="text1"/>
        </w:rPr>
        <w:t>istituzionale</w:t>
      </w:r>
      <w:proofErr w:type="spellEnd"/>
      <w:r>
        <w:rPr>
          <w:color w:val="000000" w:themeColor="text1"/>
        </w:rPr>
        <w:t xml:space="preserve"> della </w:t>
      </w:r>
      <w:proofErr w:type="spellStart"/>
      <w:r>
        <w:rPr>
          <w:color w:val="000000" w:themeColor="text1"/>
        </w:rPr>
        <w:t>Città</w:t>
      </w:r>
      <w:proofErr w:type="spellEnd"/>
      <w:r>
        <w:rPr>
          <w:color w:val="000000" w:themeColor="text1"/>
        </w:rPr>
        <w:t xml:space="preserve"> di Pula-Pola di 1: </w:t>
      </w:r>
    </w:p>
    <w:p w14:paraId="69B83EB2" w14:textId="77777777" w:rsidR="005F2EB5" w:rsidRDefault="005F2EB5" w:rsidP="005F2EB5">
      <w:pPr>
        <w:jc w:val="both"/>
        <w:rPr>
          <w:bCs/>
          <w:color w:val="000000" w:themeColor="text1"/>
        </w:rPr>
      </w:pPr>
    </w:p>
    <w:p w14:paraId="5C4A1365" w14:textId="77777777" w:rsidR="005F2EB5" w:rsidRDefault="005F2EB5" w:rsidP="005F2EB5">
      <w:pPr>
        <w:pStyle w:val="Odlomakpopisa"/>
        <w:numPr>
          <w:ilvl w:val="0"/>
          <w:numId w:val="16"/>
        </w:numPr>
        <w:jc w:val="both"/>
        <w:rPr>
          <w:bCs/>
          <w:color w:val="000000" w:themeColor="text1"/>
        </w:rPr>
      </w:pPr>
      <w:proofErr w:type="spellStart"/>
      <w:r>
        <w:rPr>
          <w:b/>
          <w:bCs/>
        </w:rPr>
        <w:t>Addetto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entrate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cittadine</w:t>
      </w:r>
      <w:proofErr w:type="spellEnd"/>
      <w:r>
        <w:rPr>
          <w:b/>
          <w:bCs/>
        </w:rPr>
        <w:t xml:space="preserve"> - 1 </w:t>
      </w:r>
      <w:proofErr w:type="spellStart"/>
      <w:r>
        <w:rPr>
          <w:b/>
          <w:bCs/>
        </w:rPr>
        <w:t>esecutore</w:t>
      </w:r>
      <w:proofErr w:type="spellEnd"/>
      <w:r>
        <w:rPr>
          <w:b/>
          <w:bCs/>
        </w:rPr>
        <w:t xml:space="preserve">/trice a tempo </w:t>
      </w:r>
      <w:proofErr w:type="spellStart"/>
      <w:r>
        <w:rPr>
          <w:b/>
          <w:bCs/>
        </w:rPr>
        <w:t>indeterminato</w:t>
      </w:r>
      <w:proofErr w:type="spellEnd"/>
      <w:r>
        <w:t xml:space="preserve"> e </w:t>
      </w:r>
      <w:proofErr w:type="spellStart"/>
      <w:r>
        <w:t>in</w:t>
      </w:r>
      <w:proofErr w:type="spellEnd"/>
      <w:r>
        <w:t xml:space="preserve"> </w:t>
      </w:r>
      <w:proofErr w:type="spellStart"/>
      <w:r>
        <w:t>relazione</w:t>
      </w:r>
      <w:proofErr w:type="spellEnd"/>
      <w:r>
        <w:t xml:space="preserve"> a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si </w:t>
      </w:r>
      <w:proofErr w:type="spellStart"/>
      <w:r>
        <w:t>trasmettono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>:</w:t>
      </w:r>
    </w:p>
    <w:p w14:paraId="20D7021A" w14:textId="77777777" w:rsidR="005F2EB5" w:rsidRDefault="005F2EB5" w:rsidP="005F2EB5">
      <w:pPr>
        <w:jc w:val="center"/>
        <w:rPr>
          <w:bCs/>
          <w:color w:val="000000" w:themeColor="text1"/>
        </w:rPr>
      </w:pPr>
    </w:p>
    <w:p w14:paraId="7378754F" w14:textId="77777777" w:rsidR="005F2EB5" w:rsidRDefault="005F2EB5" w:rsidP="005F2EB5">
      <w:pPr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>INFORMAZIONI E ISTRUZIONI:</w:t>
      </w:r>
    </w:p>
    <w:p w14:paraId="6F395E0B" w14:textId="77777777" w:rsidR="005F2EB5" w:rsidRDefault="005F2EB5" w:rsidP="005F2EB5">
      <w:pPr>
        <w:jc w:val="both"/>
        <w:rPr>
          <w:b/>
          <w:bCs/>
          <w:color w:val="000000" w:themeColor="text1"/>
        </w:rPr>
      </w:pPr>
    </w:p>
    <w:p w14:paraId="06D9C010" w14:textId="77777777" w:rsidR="005F2EB5" w:rsidRDefault="005F2EB5" w:rsidP="005F2EB5">
      <w:pPr>
        <w:jc w:val="both"/>
        <w:rPr>
          <w:b/>
          <w:noProof/>
        </w:rPr>
      </w:pPr>
      <w:proofErr w:type="spellStart"/>
      <w:r>
        <w:rPr>
          <w:b/>
        </w:rPr>
        <w:t>Descrizione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mansioni</w:t>
      </w:r>
      <w:proofErr w:type="spellEnd"/>
      <w:r>
        <w:rPr>
          <w:b/>
        </w:rPr>
        <w:t xml:space="preserve"> del posto di </w:t>
      </w:r>
      <w:proofErr w:type="spellStart"/>
      <w:r>
        <w:rPr>
          <w:b/>
        </w:rPr>
        <w:t>lavoro</w:t>
      </w:r>
      <w:proofErr w:type="spellEnd"/>
      <w:r>
        <w:rPr>
          <w:b/>
        </w:rPr>
        <w:t>:</w:t>
      </w:r>
    </w:p>
    <w:p w14:paraId="6AA9E739" w14:textId="77777777" w:rsidR="005F2EB5" w:rsidRDefault="005F2EB5" w:rsidP="005F2EB5">
      <w:pPr>
        <w:jc w:val="both"/>
        <w:rPr>
          <w:b/>
          <w:noProof/>
        </w:rPr>
      </w:pPr>
    </w:p>
    <w:p w14:paraId="13186581" w14:textId="77777777" w:rsidR="005F2EB5" w:rsidRDefault="005F2EB5" w:rsidP="005F2EB5">
      <w:pPr>
        <w:pStyle w:val="StyleBodyText2ArialLeft15cmHanging064cm"/>
        <w:numPr>
          <w:ilvl w:val="0"/>
          <w:numId w:val="16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tiene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registrazioni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analitiche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addebiti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riscossioni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entrate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cittadine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imposte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gestione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risorse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idriche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svolge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tutte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attività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registrazione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addebito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armonizzazione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controllo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registrazione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dati </w:t>
      </w:r>
      <w:proofErr w:type="spellStart"/>
      <w:r>
        <w:rPr>
          <w:rFonts w:ascii="Times New Roman" w:hAnsi="Times New Roman"/>
          <w:sz w:val="24"/>
        </w:rPr>
        <w:t>sui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debiti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contribuenti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cittadini</w:t>
      </w:r>
      <w:proofErr w:type="spellEnd"/>
      <w:r>
        <w:rPr>
          <w:rFonts w:ascii="Times New Roman" w:hAnsi="Times New Roman"/>
          <w:sz w:val="24"/>
        </w:rPr>
        <w:t xml:space="preserve">, cura la </w:t>
      </w:r>
      <w:proofErr w:type="spellStart"/>
      <w:r>
        <w:rPr>
          <w:rFonts w:ascii="Times New Roman" w:hAnsi="Times New Roman"/>
          <w:sz w:val="24"/>
        </w:rPr>
        <w:t>tempestività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registrazione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eventi </w:t>
      </w:r>
      <w:proofErr w:type="spellStart"/>
      <w:r>
        <w:rPr>
          <w:rFonts w:ascii="Times New Roman" w:hAnsi="Times New Roman"/>
          <w:sz w:val="24"/>
        </w:rPr>
        <w:t>aziendali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effettua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solleciti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debitori, </w:t>
      </w:r>
      <w:proofErr w:type="spellStart"/>
      <w:r>
        <w:rPr>
          <w:rFonts w:ascii="Times New Roman" w:hAnsi="Times New Roman"/>
          <w:sz w:val="24"/>
        </w:rPr>
        <w:t>predispone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riscossione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forzata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ovvero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l'incasso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intraprende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tempestivo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incasso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crediti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esegue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coordinamento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contabilità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finanziaria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predispone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dell'indebitamento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riscossione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proventi</w:t>
      </w:r>
      <w:proofErr w:type="spellEnd"/>
      <w:r>
        <w:rPr>
          <w:rFonts w:ascii="Times New Roman" w:hAnsi="Times New Roman"/>
          <w:sz w:val="24"/>
        </w:rPr>
        <w:t xml:space="preserve"> (70%). </w:t>
      </w:r>
    </w:p>
    <w:p w14:paraId="29FAB9A4" w14:textId="77777777" w:rsidR="005F2EB5" w:rsidRDefault="005F2EB5" w:rsidP="005F2EB5">
      <w:pPr>
        <w:pStyle w:val="StyleBodyText2ArialLeft15cmHanging064cm"/>
        <w:numPr>
          <w:ilvl w:val="0"/>
          <w:numId w:val="16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rilascia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provvedimenti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inerenti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imposte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gestione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risorse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idriche</w:t>
      </w:r>
      <w:proofErr w:type="spellEnd"/>
      <w:r>
        <w:rPr>
          <w:rFonts w:ascii="Times New Roman" w:hAnsi="Times New Roman"/>
          <w:sz w:val="24"/>
        </w:rPr>
        <w:t xml:space="preserve"> (10%), </w:t>
      </w:r>
    </w:p>
    <w:p w14:paraId="12B08FC3" w14:textId="77777777" w:rsidR="005F2EB5" w:rsidRDefault="005F2EB5" w:rsidP="005F2EB5">
      <w:pPr>
        <w:pStyle w:val="StyleBodyText2ArialLeft15cmHanging064cm"/>
        <w:numPr>
          <w:ilvl w:val="0"/>
          <w:numId w:val="16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conserva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aggiorna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all'ambito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attività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dell’Assessorato</w:t>
      </w:r>
      <w:proofErr w:type="spellEnd"/>
      <w:r>
        <w:rPr>
          <w:rFonts w:ascii="Times New Roman" w:hAnsi="Times New Roman"/>
          <w:sz w:val="24"/>
        </w:rPr>
        <w:t xml:space="preserve"> (10%), </w:t>
      </w:r>
    </w:p>
    <w:p w14:paraId="1A87F4BF" w14:textId="77777777" w:rsidR="005F2EB5" w:rsidRDefault="005F2EB5" w:rsidP="005F2EB5">
      <w:pPr>
        <w:pStyle w:val="StyleBodyText2ArialLeft15cmHanging064cm"/>
        <w:numPr>
          <w:ilvl w:val="0"/>
          <w:numId w:val="16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rilascia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inerenti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materia</w:t>
      </w:r>
      <w:proofErr w:type="spellEnd"/>
      <w:r>
        <w:rPr>
          <w:rFonts w:ascii="Times New Roman" w:hAnsi="Times New Roman"/>
          <w:sz w:val="24"/>
        </w:rPr>
        <w:t xml:space="preserve"> su </w:t>
      </w:r>
      <w:proofErr w:type="spellStart"/>
      <w:r>
        <w:rPr>
          <w:rFonts w:ascii="Times New Roman" w:hAnsi="Times New Roman"/>
          <w:sz w:val="24"/>
        </w:rPr>
        <w:t>cui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tiene</w:t>
      </w:r>
      <w:proofErr w:type="spellEnd"/>
      <w:r>
        <w:rPr>
          <w:rFonts w:ascii="Times New Roman" w:hAnsi="Times New Roman"/>
          <w:sz w:val="24"/>
        </w:rPr>
        <w:t xml:space="preserve"> dati </w:t>
      </w:r>
      <w:proofErr w:type="spellStart"/>
      <w:r>
        <w:rPr>
          <w:rFonts w:ascii="Times New Roman" w:hAnsi="Times New Roman"/>
          <w:sz w:val="24"/>
        </w:rPr>
        <w:t>ufficiali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6CC5131C" w14:textId="77777777" w:rsidR="005F2EB5" w:rsidRDefault="005F2EB5" w:rsidP="005F2EB5">
      <w:pPr>
        <w:pStyle w:val="StyleBodyText2ArialLeft15cmHanging064cm"/>
        <w:numPr>
          <w:ilvl w:val="0"/>
          <w:numId w:val="16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svolge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compiti</w:t>
      </w:r>
      <w:proofErr w:type="spellEnd"/>
      <w:r>
        <w:rPr>
          <w:rFonts w:ascii="Times New Roman" w:hAnsi="Times New Roman"/>
          <w:sz w:val="24"/>
        </w:rPr>
        <w:t xml:space="preserve"> su </w:t>
      </w:r>
      <w:proofErr w:type="spellStart"/>
      <w:r>
        <w:rPr>
          <w:rFonts w:ascii="Times New Roman" w:hAnsi="Times New Roman"/>
          <w:sz w:val="24"/>
        </w:rPr>
        <w:t>ordine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indicazione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dell’assessore</w:t>
      </w:r>
      <w:proofErr w:type="spellEnd"/>
      <w:r>
        <w:rPr>
          <w:rFonts w:ascii="Times New Roman" w:hAnsi="Times New Roman"/>
          <w:sz w:val="24"/>
        </w:rPr>
        <w:t xml:space="preserve">, del vice </w:t>
      </w:r>
      <w:proofErr w:type="spellStart"/>
      <w:r>
        <w:rPr>
          <w:rFonts w:ascii="Times New Roman" w:hAnsi="Times New Roman"/>
          <w:sz w:val="24"/>
        </w:rPr>
        <w:t>assessore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dell’assistente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assessore</w:t>
      </w:r>
      <w:proofErr w:type="spellEnd"/>
      <w:r>
        <w:rPr>
          <w:rFonts w:ascii="Times New Roman" w:hAnsi="Times New Roman"/>
          <w:sz w:val="24"/>
        </w:rPr>
        <w:t xml:space="preserve"> e del </w:t>
      </w:r>
      <w:proofErr w:type="spellStart"/>
      <w:r>
        <w:rPr>
          <w:rFonts w:ascii="Times New Roman" w:hAnsi="Times New Roman"/>
          <w:sz w:val="24"/>
        </w:rPr>
        <w:t>caposezione</w:t>
      </w:r>
      <w:proofErr w:type="spellEnd"/>
      <w:r>
        <w:rPr>
          <w:rFonts w:ascii="Times New Roman" w:hAnsi="Times New Roman"/>
          <w:sz w:val="24"/>
        </w:rPr>
        <w:t xml:space="preserve"> (5%).</w:t>
      </w:r>
    </w:p>
    <w:p w14:paraId="5F7AFD33" w14:textId="77777777" w:rsidR="005F2EB5" w:rsidRDefault="005F2EB5" w:rsidP="005F2EB5">
      <w:pPr>
        <w:pStyle w:val="StyleBodyText2ArialLeft15cmHanging064cm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14:paraId="0C507A40" w14:textId="77777777" w:rsidR="005F2EB5" w:rsidRDefault="005F2EB5" w:rsidP="005F2EB5">
      <w:pPr>
        <w:pStyle w:val="StyleBodyText2ArialLeft15cmHanging064cm"/>
        <w:numPr>
          <w:ilvl w:val="0"/>
          <w:numId w:val="0"/>
        </w:numPr>
        <w:tabs>
          <w:tab w:val="left" w:pos="720"/>
        </w:tabs>
        <w:ind w:left="-48" w:firstLine="48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</w:p>
    <w:p w14:paraId="066EB23C" w14:textId="77777777" w:rsidR="005F2EB5" w:rsidRDefault="005F2EB5" w:rsidP="005F2EB5">
      <w:pPr>
        <w:pStyle w:val="StyleBodyText2ArialLeft15cmHanging064cm"/>
        <w:numPr>
          <w:ilvl w:val="0"/>
          <w:numId w:val="0"/>
        </w:numPr>
        <w:tabs>
          <w:tab w:val="left" w:pos="720"/>
        </w:tabs>
        <w:ind w:left="-48" w:firstLine="48"/>
        <w:rPr>
          <w:rFonts w:ascii="Times New Roman" w:hAnsi="Times New Roman"/>
          <w:noProof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</w:rPr>
        <w:t>Retribuzione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>:</w:t>
      </w:r>
    </w:p>
    <w:p w14:paraId="5FB85820" w14:textId="77777777" w:rsidR="005F2EB5" w:rsidRDefault="005F2EB5" w:rsidP="005F2EB5">
      <w:pPr>
        <w:tabs>
          <w:tab w:val="left" w:pos="708"/>
        </w:tabs>
        <w:spacing w:line="276" w:lineRule="auto"/>
        <w:jc w:val="both"/>
      </w:pPr>
      <w:r>
        <w:t xml:space="preserve">I dati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retribuzione</w:t>
      </w:r>
      <w:proofErr w:type="spellEnd"/>
      <w:r>
        <w:t xml:space="preserve"> del </w:t>
      </w:r>
      <w:proofErr w:type="spellStart"/>
      <w:r>
        <w:t>suddetto</w:t>
      </w:r>
      <w:proofErr w:type="spellEnd"/>
      <w:r>
        <w:t xml:space="preserve"> posto di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prescritti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Decisione</w:t>
      </w:r>
      <w:proofErr w:type="spellEnd"/>
      <w:r>
        <w:t xml:space="preserve"> </w:t>
      </w:r>
      <w:proofErr w:type="spellStart"/>
      <w:r>
        <w:t>sui</w:t>
      </w:r>
      <w:proofErr w:type="spellEnd"/>
      <w:r>
        <w:t xml:space="preserve"> </w:t>
      </w:r>
      <w:proofErr w:type="spellStart"/>
      <w:r>
        <w:t>coefficienti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calcolo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stipendi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impiegati</w:t>
      </w:r>
      <w:proofErr w:type="spellEnd"/>
      <w:r>
        <w:t xml:space="preserve"> e operatori </w:t>
      </w:r>
      <w:proofErr w:type="spellStart"/>
      <w:r>
        <w:t>tecnico-ausiliari</w:t>
      </w:r>
      <w:proofErr w:type="spellEnd"/>
      <w:r>
        <w:t xml:space="preserve"> (Službene novine – </w:t>
      </w:r>
      <w:proofErr w:type="spellStart"/>
      <w:r>
        <w:t>Bollettino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 Pula-Pola </w:t>
      </w:r>
      <w:proofErr w:type="spellStart"/>
      <w:r>
        <w:t>nn</w:t>
      </w:r>
      <w:proofErr w:type="spellEnd"/>
      <w:r>
        <w:t xml:space="preserve">. 17/24). In </w:t>
      </w:r>
      <w:proofErr w:type="spellStart"/>
      <w:r>
        <w:t>seguito</w:t>
      </w:r>
      <w:proofErr w:type="spellEnd"/>
      <w:r>
        <w:t xml:space="preserve"> a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stipendio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posto di </w:t>
      </w:r>
      <w:proofErr w:type="spellStart"/>
      <w:r>
        <w:t>lavoro</w:t>
      </w:r>
      <w:proofErr w:type="spellEnd"/>
      <w:r>
        <w:t xml:space="preserve"> “</w:t>
      </w:r>
      <w:proofErr w:type="spellStart"/>
      <w:r>
        <w:t>Addetto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entrate</w:t>
      </w:r>
      <w:proofErr w:type="spellEnd"/>
      <w:r>
        <w:t xml:space="preserve"> </w:t>
      </w:r>
      <w:proofErr w:type="spellStart"/>
      <w:r>
        <w:t>cittadine</w:t>
      </w:r>
      <w:proofErr w:type="spellEnd"/>
      <w:r>
        <w:t xml:space="preserve">”  è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prodotto</w:t>
      </w:r>
      <w:proofErr w:type="spellEnd"/>
      <w:r>
        <w:t xml:space="preserve"> del </w:t>
      </w:r>
      <w:proofErr w:type="spellStart"/>
      <w:r>
        <w:t>coefficiente</w:t>
      </w:r>
      <w:proofErr w:type="spellEnd"/>
      <w:r>
        <w:t xml:space="preserve"> del posto di </w:t>
      </w:r>
      <w:proofErr w:type="spellStart"/>
      <w:r>
        <w:t>lavoro</w:t>
      </w:r>
      <w:proofErr w:type="spellEnd"/>
      <w:r>
        <w:t xml:space="preserve"> di 1,70 e della base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calcolo</w:t>
      </w:r>
      <w:proofErr w:type="spellEnd"/>
      <w:r>
        <w:t xml:space="preserve"> della </w:t>
      </w:r>
      <w:proofErr w:type="spellStart"/>
      <w:r>
        <w:t>retribuzione</w:t>
      </w:r>
      <w:proofErr w:type="spellEnd"/>
      <w:r>
        <w:t xml:space="preserve"> (</w:t>
      </w:r>
      <w:proofErr w:type="spellStart"/>
      <w:r>
        <w:t>l'importo</w:t>
      </w:r>
      <w:proofErr w:type="spellEnd"/>
      <w:r>
        <w:t xml:space="preserve"> della base è 880,00 euro, </w:t>
      </w:r>
      <w:proofErr w:type="spellStart"/>
      <w:r>
        <w:t>lordi</w:t>
      </w:r>
      <w:proofErr w:type="spellEnd"/>
      <w:r>
        <w:t xml:space="preserve">) </w:t>
      </w:r>
      <w:proofErr w:type="spellStart"/>
      <w:r>
        <w:t>aumentato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0,5% per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anno</w:t>
      </w:r>
      <w:proofErr w:type="spellEnd"/>
      <w:r>
        <w:t xml:space="preserve"> di </w:t>
      </w:r>
      <w:proofErr w:type="spellStart"/>
      <w:r>
        <w:t>servizio</w:t>
      </w:r>
      <w:proofErr w:type="spellEnd"/>
      <w:r>
        <w:t xml:space="preserve">. </w:t>
      </w:r>
    </w:p>
    <w:p w14:paraId="3E19A389" w14:textId="77777777" w:rsidR="005F2EB5" w:rsidRDefault="005F2EB5" w:rsidP="005F2EB5">
      <w:pPr>
        <w:pStyle w:val="StyleBodyText2ArialLeft15cmHanging064cm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8A3856C" w14:textId="77777777" w:rsidR="005F2EB5" w:rsidRDefault="005F2EB5" w:rsidP="005F2EB5">
      <w:pPr>
        <w:pStyle w:val="StyleBodyText2ArialLeft15cmHanging064cm"/>
        <w:numPr>
          <w:ilvl w:val="0"/>
          <w:numId w:val="10"/>
        </w:numPr>
        <w:tabs>
          <w:tab w:val="left" w:pos="720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VERIFICA DELLE COMPETENZE PROFESSIONALI</w:t>
      </w:r>
    </w:p>
    <w:p w14:paraId="34428B74" w14:textId="77777777" w:rsidR="005F2EB5" w:rsidRDefault="005F2EB5" w:rsidP="005F2EB5">
      <w:pPr>
        <w:pStyle w:val="StyleBodyText2ArialLeft15cmHanging064cm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7ECA77F" w14:textId="77777777" w:rsidR="005F2EB5" w:rsidRDefault="005F2EB5" w:rsidP="005F2EB5">
      <w:pPr>
        <w:pStyle w:val="StyleBodyText2ArialLeft15cmHanging064cm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</w:rPr>
        <w:t>Verifica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delle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competenze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professionali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>:</w:t>
      </w:r>
    </w:p>
    <w:p w14:paraId="4CE2A27B" w14:textId="77777777" w:rsidR="005F2EB5" w:rsidRDefault="005F2EB5" w:rsidP="005F2EB5">
      <w:pPr>
        <w:pStyle w:val="StyleBodyText2ArialLeft15cmHanging064cm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La </w:t>
      </w:r>
      <w:proofErr w:type="spellStart"/>
      <w:r>
        <w:rPr>
          <w:rFonts w:ascii="Times New Roman" w:hAnsi="Times New Roman"/>
          <w:color w:val="000000" w:themeColor="text1"/>
          <w:sz w:val="24"/>
        </w:rPr>
        <w:t>verifica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delle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competenze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prevede la prova del sapere,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delle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capacità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e </w:t>
      </w:r>
      <w:proofErr w:type="spellStart"/>
      <w:r>
        <w:rPr>
          <w:rFonts w:ascii="Times New Roman" w:hAnsi="Times New Roman"/>
          <w:color w:val="000000" w:themeColor="text1"/>
          <w:sz w:val="24"/>
        </w:rPr>
        <w:t>competenze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importanti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per </w:t>
      </w:r>
      <w:proofErr w:type="spellStart"/>
      <w:r>
        <w:rPr>
          <w:rFonts w:ascii="Times New Roman" w:hAnsi="Times New Roman"/>
          <w:color w:val="000000" w:themeColor="text1"/>
          <w:sz w:val="24"/>
        </w:rPr>
        <w:t>l’espletamento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delle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mansioni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relative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al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posto di </w:t>
      </w:r>
      <w:proofErr w:type="spellStart"/>
      <w:r>
        <w:rPr>
          <w:rFonts w:ascii="Times New Roman" w:hAnsi="Times New Roman"/>
          <w:color w:val="000000" w:themeColor="text1"/>
          <w:sz w:val="24"/>
        </w:rPr>
        <w:t>lavoro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- </w:t>
      </w:r>
      <w:proofErr w:type="spellStart"/>
      <w:r>
        <w:rPr>
          <w:rFonts w:ascii="Times New Roman" w:hAnsi="Times New Roman"/>
          <w:color w:val="000000" w:themeColor="text1"/>
          <w:sz w:val="24"/>
        </w:rPr>
        <w:t>verifica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scritta</w:t>
      </w:r>
      <w:proofErr w:type="spellEnd"/>
      <w:r>
        <w:rPr>
          <w:rFonts w:ascii="Times New Roman" w:hAnsi="Times New Roman"/>
          <w:color w:val="000000" w:themeColor="text1"/>
          <w:sz w:val="24"/>
        </w:rPr>
        <w:t>.</w:t>
      </w:r>
    </w:p>
    <w:p w14:paraId="2D801F87" w14:textId="77777777" w:rsidR="005F2EB5" w:rsidRDefault="005F2EB5" w:rsidP="005F2EB5">
      <w:pPr>
        <w:pStyle w:val="StyleBodyText2ArialLeft15cmHanging064cm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14:paraId="27464587" w14:textId="77777777" w:rsidR="005F2EB5" w:rsidRDefault="005F2EB5" w:rsidP="005F2EB5">
      <w:pPr>
        <w:pStyle w:val="StyleBodyText2ArialLeft15cmHanging064cm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</w:rPr>
        <w:t>Fonti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giuridiche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</w:p>
    <w:p w14:paraId="4DE60A75" w14:textId="77777777" w:rsidR="005F2EB5" w:rsidRDefault="005F2EB5" w:rsidP="005F2EB5">
      <w:pPr>
        <w:pStyle w:val="StyleBodyText2ArialLeft15cmHanging064cm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Le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domande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per la </w:t>
      </w:r>
      <w:proofErr w:type="spellStart"/>
      <w:r>
        <w:rPr>
          <w:rFonts w:ascii="Times New Roman" w:hAnsi="Times New Roman"/>
          <w:color w:val="000000" w:themeColor="text1"/>
          <w:sz w:val="24"/>
        </w:rPr>
        <w:t>verifica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del sapere,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delle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capacità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e </w:t>
      </w:r>
      <w:proofErr w:type="spellStart"/>
      <w:r>
        <w:rPr>
          <w:rFonts w:ascii="Times New Roman" w:hAnsi="Times New Roman"/>
          <w:color w:val="000000" w:themeColor="text1"/>
          <w:sz w:val="24"/>
        </w:rPr>
        <w:t>competenze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 </w:t>
      </w:r>
      <w:proofErr w:type="spellStart"/>
      <w:r>
        <w:rPr>
          <w:rFonts w:ascii="Times New Roman" w:hAnsi="Times New Roman"/>
          <w:color w:val="000000" w:themeColor="text1"/>
          <w:sz w:val="24"/>
        </w:rPr>
        <w:t>importanti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per </w:t>
      </w:r>
      <w:proofErr w:type="spellStart"/>
      <w:r>
        <w:rPr>
          <w:rFonts w:ascii="Times New Roman" w:hAnsi="Times New Roman"/>
          <w:color w:val="000000" w:themeColor="text1"/>
          <w:sz w:val="24"/>
        </w:rPr>
        <w:t>l’espletamento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delle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mansioni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si </w:t>
      </w:r>
      <w:proofErr w:type="spellStart"/>
      <w:r>
        <w:rPr>
          <w:rFonts w:ascii="Times New Roman" w:hAnsi="Times New Roman"/>
          <w:color w:val="000000" w:themeColor="text1"/>
          <w:sz w:val="24"/>
        </w:rPr>
        <w:t>basano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sulle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seguenti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fonti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giuridiche</w:t>
      </w:r>
      <w:proofErr w:type="spellEnd"/>
      <w:r>
        <w:rPr>
          <w:rFonts w:ascii="Times New Roman" w:hAnsi="Times New Roman"/>
          <w:color w:val="000000" w:themeColor="text1"/>
          <w:sz w:val="24"/>
        </w:rPr>
        <w:t>:</w:t>
      </w:r>
    </w:p>
    <w:p w14:paraId="0D2C101C" w14:textId="77777777" w:rsidR="005F2EB5" w:rsidRDefault="005F2EB5" w:rsidP="005F2EB5">
      <w:pPr>
        <w:pStyle w:val="StyleBodyText2ArialLeft15cmHanging064cm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14:paraId="6E72C155" w14:textId="77777777" w:rsidR="005F2EB5" w:rsidRDefault="005F2EB5" w:rsidP="005F2EB5">
      <w:pPr>
        <w:pStyle w:val="Odlomakpopisa"/>
        <w:numPr>
          <w:ilvl w:val="0"/>
          <w:numId w:val="11"/>
        </w:numPr>
        <w:spacing w:line="256" w:lineRule="auto"/>
        <w:ind w:left="851" w:hanging="425"/>
        <w:jc w:val="both"/>
      </w:pPr>
      <w:proofErr w:type="spellStart"/>
      <w:r>
        <w:t>Legge</w:t>
      </w:r>
      <w:proofErr w:type="spellEnd"/>
      <w:r>
        <w:t xml:space="preserve"> </w:t>
      </w:r>
      <w:proofErr w:type="spellStart"/>
      <w:r>
        <w:t>sull'autogoverno</w:t>
      </w:r>
      <w:proofErr w:type="spellEnd"/>
      <w:r>
        <w:t xml:space="preserve"> </w:t>
      </w:r>
      <w:proofErr w:type="spellStart"/>
      <w:r>
        <w:t>locale</w:t>
      </w:r>
      <w:proofErr w:type="spellEnd"/>
      <w:r>
        <w:t xml:space="preserve"> e </w:t>
      </w:r>
      <w:proofErr w:type="spellStart"/>
      <w:r>
        <w:t>territoriale</w:t>
      </w:r>
      <w:proofErr w:type="spellEnd"/>
      <w:r>
        <w:t xml:space="preserve"> (</w:t>
      </w:r>
      <w:proofErr w:type="spellStart"/>
      <w:r>
        <w:t>regionale</w:t>
      </w:r>
      <w:proofErr w:type="spellEnd"/>
      <w:r>
        <w:t>) ("</w:t>
      </w:r>
      <w:proofErr w:type="spellStart"/>
      <w:r>
        <w:t>Gazzetta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>" n. 33/01, 60/01, 129/05, 109/07, 125/08, 36/09, 150/11, 144/12, 19/13, 137/15, 123/17, 98/19, 144/20);</w:t>
      </w:r>
    </w:p>
    <w:p w14:paraId="436FDECD" w14:textId="77777777" w:rsidR="005F2EB5" w:rsidRDefault="005F2EB5" w:rsidP="005F2EB5">
      <w:pPr>
        <w:pStyle w:val="Odlomakpopisa"/>
        <w:numPr>
          <w:ilvl w:val="0"/>
          <w:numId w:val="11"/>
        </w:numPr>
        <w:spacing w:line="256" w:lineRule="auto"/>
        <w:ind w:left="851" w:hanging="425"/>
        <w:jc w:val="both"/>
      </w:pPr>
      <w:proofErr w:type="spellStart"/>
      <w:r>
        <w:t>Delibera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imposte</w:t>
      </w:r>
      <w:proofErr w:type="spellEnd"/>
      <w:r>
        <w:t xml:space="preserve"> </w:t>
      </w:r>
      <w:proofErr w:type="spellStart"/>
      <w:r>
        <w:t>comunali</w:t>
      </w:r>
      <w:proofErr w:type="spellEnd"/>
      <w:r>
        <w:t xml:space="preserve"> (”</w:t>
      </w:r>
      <w:proofErr w:type="spellStart"/>
      <w:r>
        <w:t>Bollettino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” della </w:t>
      </w:r>
      <w:proofErr w:type="spellStart"/>
      <w:r>
        <w:t>Città</w:t>
      </w:r>
      <w:proofErr w:type="spellEnd"/>
      <w:r>
        <w:t xml:space="preserve"> di Pola </w:t>
      </w:r>
      <w:proofErr w:type="spellStart"/>
      <w:r>
        <w:t>nn</w:t>
      </w:r>
      <w:proofErr w:type="spellEnd"/>
      <w:r>
        <w:t>. 21/18,  3/19, 4/20, 20/21 e 7/24);</w:t>
      </w:r>
    </w:p>
    <w:p w14:paraId="35C3414E" w14:textId="77777777" w:rsidR="005F2EB5" w:rsidRDefault="005F2EB5" w:rsidP="005F2EB5">
      <w:pPr>
        <w:pStyle w:val="Odlomakpopisa"/>
        <w:numPr>
          <w:ilvl w:val="0"/>
          <w:numId w:val="11"/>
        </w:numPr>
        <w:spacing w:line="256" w:lineRule="auto"/>
        <w:ind w:left="851" w:hanging="425"/>
        <w:jc w:val="both"/>
      </w:pPr>
      <w:proofErr w:type="spellStart"/>
      <w:r>
        <w:t>Delibera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contributo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 della </w:t>
      </w:r>
      <w:proofErr w:type="spellStart"/>
      <w:r>
        <w:t>Città</w:t>
      </w:r>
      <w:proofErr w:type="spellEnd"/>
      <w:r>
        <w:t xml:space="preserve"> di Pola (”</w:t>
      </w:r>
      <w:proofErr w:type="spellStart"/>
      <w:r>
        <w:t>Bollettino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” della </w:t>
      </w:r>
      <w:proofErr w:type="spellStart"/>
      <w:r>
        <w:t>Città</w:t>
      </w:r>
      <w:proofErr w:type="spellEnd"/>
      <w:r>
        <w:t xml:space="preserve"> di Pola </w:t>
      </w:r>
      <w:proofErr w:type="spellStart"/>
      <w:r>
        <w:t>nn</w:t>
      </w:r>
      <w:proofErr w:type="spellEnd"/>
      <w:r>
        <w:t>. 21/18, 4/20).</w:t>
      </w:r>
    </w:p>
    <w:p w14:paraId="1EAD1738" w14:textId="77777777" w:rsidR="005F2EB5" w:rsidRDefault="005F2EB5" w:rsidP="005F2EB5">
      <w:pPr>
        <w:pStyle w:val="Odlomakpopisa"/>
        <w:tabs>
          <w:tab w:val="left" w:pos="360"/>
          <w:tab w:val="left" w:pos="720"/>
        </w:tabs>
        <w:autoSpaceDE w:val="0"/>
        <w:autoSpaceDN w:val="0"/>
        <w:adjustRightInd w:val="0"/>
        <w:ind w:left="709"/>
        <w:jc w:val="both"/>
        <w:rPr>
          <w:color w:val="000000" w:themeColor="text1"/>
        </w:rPr>
      </w:pPr>
    </w:p>
    <w:p w14:paraId="71607690" w14:textId="77777777" w:rsidR="005F2EB5" w:rsidRDefault="005F2EB5" w:rsidP="005F2EB5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</w:rPr>
        <w:t>Regolamento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della prova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scritta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>:</w:t>
      </w:r>
    </w:p>
    <w:p w14:paraId="1CB16D7F" w14:textId="77777777" w:rsidR="005F2EB5" w:rsidRDefault="005F2EB5" w:rsidP="005F2EB5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C26C4A" w14:textId="77777777" w:rsidR="005F2EB5" w:rsidRDefault="005F2EB5" w:rsidP="005F2EB5">
      <w:pPr>
        <w:pStyle w:val="StyleBodyText2ArialLeft15cmHanging064cm"/>
        <w:numPr>
          <w:ilvl w:val="0"/>
          <w:numId w:val="1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I </w:t>
      </w:r>
      <w:proofErr w:type="spellStart"/>
      <w:r>
        <w:rPr>
          <w:rFonts w:ascii="Times New Roman" w:hAnsi="Times New Roman"/>
          <w:color w:val="000000" w:themeColor="text1"/>
          <w:sz w:val="24"/>
        </w:rPr>
        <w:t>candidati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sono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tenuti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a </w:t>
      </w:r>
      <w:proofErr w:type="spellStart"/>
      <w:r>
        <w:rPr>
          <w:rFonts w:ascii="Times New Roman" w:hAnsi="Times New Roman"/>
          <w:color w:val="000000" w:themeColor="text1"/>
          <w:sz w:val="24"/>
        </w:rPr>
        <w:t>presentarsi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alla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prova </w:t>
      </w:r>
      <w:proofErr w:type="spellStart"/>
      <w:r>
        <w:rPr>
          <w:rFonts w:ascii="Times New Roman" w:hAnsi="Times New Roman"/>
          <w:color w:val="000000" w:themeColor="text1"/>
          <w:sz w:val="24"/>
        </w:rPr>
        <w:t>muniti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di </w:t>
      </w:r>
      <w:proofErr w:type="spellStart"/>
      <w:r>
        <w:rPr>
          <w:rFonts w:ascii="Times New Roman" w:hAnsi="Times New Roman"/>
          <w:color w:val="000000" w:themeColor="text1"/>
          <w:sz w:val="24"/>
        </w:rPr>
        <w:t>un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documento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personale per </w:t>
      </w:r>
      <w:proofErr w:type="spellStart"/>
      <w:r>
        <w:rPr>
          <w:rFonts w:ascii="Times New Roman" w:hAnsi="Times New Roman"/>
          <w:color w:val="000000" w:themeColor="text1"/>
          <w:sz w:val="24"/>
        </w:rPr>
        <w:t>accertare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l’identità</w:t>
      </w:r>
      <w:proofErr w:type="spellEnd"/>
      <w:r>
        <w:rPr>
          <w:rFonts w:ascii="Times New Roman" w:hAnsi="Times New Roman"/>
          <w:color w:val="000000" w:themeColor="text1"/>
          <w:sz w:val="24"/>
        </w:rPr>
        <w:t>.</w:t>
      </w:r>
    </w:p>
    <w:p w14:paraId="06C133D8" w14:textId="77777777" w:rsidR="005F2EB5" w:rsidRDefault="005F2EB5" w:rsidP="005F2EB5">
      <w:pPr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Durante la prova </w:t>
      </w:r>
      <w:proofErr w:type="spellStart"/>
      <w:r>
        <w:rPr>
          <w:color w:val="000000" w:themeColor="text1"/>
        </w:rPr>
        <w:t>scritta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non</w:t>
      </w:r>
      <w:proofErr w:type="spellEnd"/>
      <w:r>
        <w:rPr>
          <w:color w:val="000000" w:themeColor="text1"/>
        </w:rPr>
        <w:t xml:space="preserve"> è </w:t>
      </w:r>
      <w:proofErr w:type="spellStart"/>
      <w:r>
        <w:rPr>
          <w:color w:val="000000" w:themeColor="text1"/>
        </w:rPr>
        <w:t>consentito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consultare</w:t>
      </w:r>
      <w:proofErr w:type="spellEnd"/>
      <w:r>
        <w:rPr>
          <w:color w:val="000000" w:themeColor="text1"/>
        </w:rPr>
        <w:t xml:space="preserve"> la </w:t>
      </w:r>
      <w:proofErr w:type="spellStart"/>
      <w:r>
        <w:rPr>
          <w:color w:val="000000" w:themeColor="text1"/>
        </w:rPr>
        <w:t>letteratura</w:t>
      </w:r>
      <w:proofErr w:type="spellEnd"/>
      <w:r>
        <w:rPr>
          <w:color w:val="000000" w:themeColor="text1"/>
        </w:rPr>
        <w:t xml:space="preserve">, note, </w:t>
      </w:r>
      <w:proofErr w:type="spellStart"/>
      <w:r>
        <w:rPr>
          <w:color w:val="000000" w:themeColor="text1"/>
        </w:rPr>
        <w:t>cellulari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allontanarsi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luogo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d’esame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parlare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altro</w:t>
      </w:r>
      <w:proofErr w:type="spellEnd"/>
      <w:r>
        <w:rPr>
          <w:color w:val="000000" w:themeColor="text1"/>
        </w:rPr>
        <w:t xml:space="preserve"> modo </w:t>
      </w:r>
      <w:proofErr w:type="spellStart"/>
      <w:r>
        <w:rPr>
          <w:color w:val="000000" w:themeColor="text1"/>
        </w:rPr>
        <w:t>disturbare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altri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candidati</w:t>
      </w:r>
      <w:proofErr w:type="spellEnd"/>
      <w:r>
        <w:rPr>
          <w:color w:val="000000" w:themeColor="text1"/>
        </w:rPr>
        <w:t>.</w:t>
      </w:r>
    </w:p>
    <w:p w14:paraId="3CEE9A98" w14:textId="77777777" w:rsidR="005F2EB5" w:rsidRDefault="005F2EB5" w:rsidP="005F2EB5">
      <w:pPr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In </w:t>
      </w:r>
      <w:proofErr w:type="spellStart"/>
      <w:r>
        <w:rPr>
          <w:color w:val="000000" w:themeColor="text1"/>
        </w:rPr>
        <w:t>seguito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azioni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introduttive</w:t>
      </w:r>
      <w:proofErr w:type="spellEnd"/>
      <w:r>
        <w:rPr>
          <w:color w:val="000000" w:themeColor="text1"/>
        </w:rPr>
        <w:t xml:space="preserve">, ha </w:t>
      </w:r>
      <w:proofErr w:type="spellStart"/>
      <w:r>
        <w:rPr>
          <w:color w:val="000000" w:themeColor="text1"/>
        </w:rPr>
        <w:t>inizio</w:t>
      </w:r>
      <w:proofErr w:type="spellEnd"/>
      <w:r>
        <w:rPr>
          <w:color w:val="000000" w:themeColor="text1"/>
        </w:rPr>
        <w:t xml:space="preserve"> la prova </w:t>
      </w:r>
      <w:proofErr w:type="spellStart"/>
      <w:r>
        <w:rPr>
          <w:color w:val="000000" w:themeColor="text1"/>
        </w:rPr>
        <w:t>scritta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candidati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saranno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somministrate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delle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domande</w:t>
      </w:r>
      <w:proofErr w:type="spellEnd"/>
      <w:r>
        <w:rPr>
          <w:color w:val="000000" w:themeColor="text1"/>
        </w:rPr>
        <w:t xml:space="preserve"> per la </w:t>
      </w:r>
      <w:proofErr w:type="spellStart"/>
      <w:r>
        <w:rPr>
          <w:color w:val="000000" w:themeColor="text1"/>
        </w:rPr>
        <w:t>verifica</w:t>
      </w:r>
      <w:proofErr w:type="spellEnd"/>
      <w:r>
        <w:rPr>
          <w:color w:val="000000" w:themeColor="text1"/>
        </w:rPr>
        <w:t xml:space="preserve"> del sapere, </w:t>
      </w:r>
      <w:proofErr w:type="spellStart"/>
      <w:r>
        <w:rPr>
          <w:color w:val="000000" w:themeColor="text1"/>
        </w:rPr>
        <w:t>delle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capacità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competenze</w:t>
      </w:r>
      <w:proofErr w:type="spellEnd"/>
      <w:r>
        <w:rPr>
          <w:color w:val="000000" w:themeColor="text1"/>
        </w:rPr>
        <w:t xml:space="preserve"> per </w:t>
      </w:r>
      <w:proofErr w:type="spellStart"/>
      <w:r>
        <w:rPr>
          <w:color w:val="000000" w:themeColor="text1"/>
        </w:rPr>
        <w:t>l’espletamento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compiti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relativi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</w:t>
      </w:r>
      <w:proofErr w:type="spellEnd"/>
      <w:r>
        <w:rPr>
          <w:color w:val="000000" w:themeColor="text1"/>
        </w:rPr>
        <w:t xml:space="preserve"> posto di </w:t>
      </w:r>
      <w:proofErr w:type="spellStart"/>
      <w:r>
        <w:rPr>
          <w:color w:val="000000" w:themeColor="text1"/>
        </w:rPr>
        <w:t>lavoro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quale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candidato</w:t>
      </w:r>
      <w:proofErr w:type="spellEnd"/>
      <w:r>
        <w:rPr>
          <w:color w:val="000000" w:themeColor="text1"/>
        </w:rPr>
        <w:t xml:space="preserve"> si è </w:t>
      </w:r>
      <w:proofErr w:type="spellStart"/>
      <w:r>
        <w:rPr>
          <w:color w:val="000000" w:themeColor="text1"/>
        </w:rPr>
        <w:t>candidato</w:t>
      </w:r>
      <w:proofErr w:type="spellEnd"/>
      <w:r>
        <w:rPr>
          <w:color w:val="000000" w:themeColor="text1"/>
        </w:rPr>
        <w:t>.</w:t>
      </w:r>
    </w:p>
    <w:p w14:paraId="28AD8ABE" w14:textId="77777777" w:rsidR="005F2EB5" w:rsidRDefault="005F2EB5" w:rsidP="005F2EB5">
      <w:pPr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Per la </w:t>
      </w:r>
      <w:proofErr w:type="spellStart"/>
      <w:r>
        <w:rPr>
          <w:color w:val="000000" w:themeColor="text1"/>
        </w:rPr>
        <w:t>verifica</w:t>
      </w:r>
      <w:proofErr w:type="spellEnd"/>
      <w:r>
        <w:rPr>
          <w:color w:val="000000" w:themeColor="text1"/>
        </w:rPr>
        <w:t xml:space="preserve"> del sapere, </w:t>
      </w:r>
      <w:proofErr w:type="spellStart"/>
      <w:r>
        <w:rPr>
          <w:color w:val="000000" w:themeColor="text1"/>
        </w:rPr>
        <w:t>delle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capacità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competenze</w:t>
      </w:r>
      <w:proofErr w:type="spellEnd"/>
      <w:r>
        <w:rPr>
          <w:color w:val="000000" w:themeColor="text1"/>
        </w:rPr>
        <w:t xml:space="preserve"> si </w:t>
      </w:r>
      <w:proofErr w:type="spellStart"/>
      <w:r>
        <w:rPr>
          <w:color w:val="000000" w:themeColor="text1"/>
        </w:rPr>
        <w:t>assegna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punteggio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va</w:t>
      </w:r>
      <w:proofErr w:type="spellEnd"/>
      <w:r>
        <w:rPr>
          <w:color w:val="000000" w:themeColor="text1"/>
        </w:rPr>
        <w:t xml:space="preserve"> da 1 a 10. </w:t>
      </w:r>
    </w:p>
    <w:p w14:paraId="24B0667A" w14:textId="77777777" w:rsidR="005F2EB5" w:rsidRDefault="005F2EB5" w:rsidP="005F2EB5">
      <w:pPr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Si </w:t>
      </w:r>
      <w:proofErr w:type="spellStart"/>
      <w:r>
        <w:rPr>
          <w:color w:val="000000" w:themeColor="text1"/>
        </w:rPr>
        <w:t>considera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candidato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abbia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sostenuto</w:t>
      </w:r>
      <w:proofErr w:type="spellEnd"/>
      <w:r>
        <w:rPr>
          <w:color w:val="000000" w:themeColor="text1"/>
        </w:rPr>
        <w:t xml:space="preserve"> la prova di </w:t>
      </w:r>
      <w:proofErr w:type="spellStart"/>
      <w:r>
        <w:rPr>
          <w:color w:val="000000" w:themeColor="text1"/>
        </w:rPr>
        <w:t>cui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comma</w:t>
      </w:r>
      <w:proofErr w:type="spellEnd"/>
      <w:r>
        <w:rPr>
          <w:color w:val="000000" w:themeColor="text1"/>
        </w:rPr>
        <w:t xml:space="preserve"> 4, se ha </w:t>
      </w:r>
      <w:proofErr w:type="spellStart"/>
      <w:r>
        <w:rPr>
          <w:color w:val="000000" w:themeColor="text1"/>
        </w:rPr>
        <w:t>ottenuto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almeno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il</w:t>
      </w:r>
      <w:proofErr w:type="spellEnd"/>
      <w:r>
        <w:rPr>
          <w:color w:val="000000" w:themeColor="text1"/>
        </w:rPr>
        <w:t xml:space="preserve"> 50% del numero </w:t>
      </w:r>
      <w:proofErr w:type="spellStart"/>
      <w:r>
        <w:rPr>
          <w:color w:val="000000" w:themeColor="text1"/>
        </w:rPr>
        <w:t>complessivo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punti</w:t>
      </w:r>
      <w:proofErr w:type="spellEnd"/>
      <w:r>
        <w:rPr>
          <w:color w:val="000000" w:themeColor="text1"/>
        </w:rPr>
        <w:t xml:space="preserve">.  </w:t>
      </w:r>
    </w:p>
    <w:p w14:paraId="1E582CCA" w14:textId="77777777" w:rsidR="005F2EB5" w:rsidRDefault="005F2EB5" w:rsidP="005F2EB5">
      <w:pPr>
        <w:ind w:left="360"/>
        <w:jc w:val="both"/>
        <w:rPr>
          <w:color w:val="000000" w:themeColor="text1"/>
        </w:rPr>
      </w:pPr>
    </w:p>
    <w:p w14:paraId="37BB0C63" w14:textId="77777777" w:rsidR="005F2EB5" w:rsidRDefault="005F2EB5" w:rsidP="005F2EB5">
      <w:pPr>
        <w:pStyle w:val="Odlomakpopisa"/>
        <w:numPr>
          <w:ilvl w:val="0"/>
          <w:numId w:val="10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COLLOQUIO</w:t>
      </w:r>
    </w:p>
    <w:p w14:paraId="1DD704FD" w14:textId="77777777" w:rsidR="005F2EB5" w:rsidRDefault="005F2EB5" w:rsidP="005F2EB5">
      <w:pPr>
        <w:pStyle w:val="Odlomakpopisa"/>
        <w:jc w:val="both"/>
        <w:rPr>
          <w:b/>
          <w:color w:val="000000" w:themeColor="text1"/>
        </w:rPr>
      </w:pPr>
    </w:p>
    <w:p w14:paraId="5CE71B46" w14:textId="77777777" w:rsidR="005F2EB5" w:rsidRDefault="005F2EB5" w:rsidP="005F2EB5">
      <w:pPr>
        <w:pStyle w:val="Odlomakpopisa"/>
        <w:numPr>
          <w:ilvl w:val="0"/>
          <w:numId w:val="1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Si </w:t>
      </w:r>
      <w:proofErr w:type="spellStart"/>
      <w:r>
        <w:rPr>
          <w:color w:val="000000" w:themeColor="text1"/>
        </w:rPr>
        <w:t>effettua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colloquio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intervista</w:t>
      </w:r>
      <w:proofErr w:type="spellEnd"/>
      <w:r>
        <w:rPr>
          <w:color w:val="000000" w:themeColor="text1"/>
        </w:rPr>
        <w:t xml:space="preserve">) solo </w:t>
      </w:r>
      <w:proofErr w:type="spellStart"/>
      <w:r>
        <w:rPr>
          <w:color w:val="000000" w:themeColor="text1"/>
        </w:rPr>
        <w:t>con</w:t>
      </w:r>
      <w:proofErr w:type="spellEnd"/>
      <w:r>
        <w:rPr>
          <w:color w:val="000000" w:themeColor="text1"/>
        </w:rPr>
        <w:t xml:space="preserve"> i </w:t>
      </w:r>
      <w:proofErr w:type="spellStart"/>
      <w:r>
        <w:rPr>
          <w:color w:val="000000" w:themeColor="text1"/>
        </w:rPr>
        <w:t>candidati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hanno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ottenuto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più</w:t>
      </w:r>
      <w:proofErr w:type="spellEnd"/>
      <w:r>
        <w:rPr>
          <w:color w:val="000000" w:themeColor="text1"/>
        </w:rPr>
        <w:t xml:space="preserve"> del 50% </w:t>
      </w:r>
      <w:proofErr w:type="spellStart"/>
      <w:r>
        <w:rPr>
          <w:color w:val="000000" w:themeColor="text1"/>
        </w:rPr>
        <w:t>alla</w:t>
      </w:r>
      <w:proofErr w:type="spellEnd"/>
      <w:r>
        <w:rPr>
          <w:color w:val="000000" w:themeColor="text1"/>
        </w:rPr>
        <w:t xml:space="preserve"> prova </w:t>
      </w:r>
      <w:proofErr w:type="spellStart"/>
      <w:r>
        <w:rPr>
          <w:color w:val="000000" w:themeColor="text1"/>
        </w:rPr>
        <w:t>scritta</w:t>
      </w:r>
      <w:proofErr w:type="spellEnd"/>
      <w:r>
        <w:rPr>
          <w:color w:val="000000" w:themeColor="text1"/>
        </w:rPr>
        <w:t>.</w:t>
      </w:r>
    </w:p>
    <w:p w14:paraId="290E4391" w14:textId="77777777" w:rsidR="005F2EB5" w:rsidRDefault="005F2EB5" w:rsidP="005F2EB5">
      <w:pPr>
        <w:pStyle w:val="Odlomakpopisa"/>
        <w:numPr>
          <w:ilvl w:val="0"/>
          <w:numId w:val="1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La </w:t>
      </w:r>
      <w:proofErr w:type="spellStart"/>
      <w:r>
        <w:rPr>
          <w:color w:val="000000" w:themeColor="text1"/>
        </w:rPr>
        <w:t>Commissione</w:t>
      </w:r>
      <w:proofErr w:type="spellEnd"/>
      <w:r>
        <w:rPr>
          <w:color w:val="000000" w:themeColor="text1"/>
        </w:rPr>
        <w:t xml:space="preserve"> per </w:t>
      </w:r>
      <w:proofErr w:type="spellStart"/>
      <w:r>
        <w:rPr>
          <w:color w:val="000000" w:themeColor="text1"/>
        </w:rPr>
        <w:t>l’attuazione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dell’avviso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accerta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tramite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colloquio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intervista</w:t>
      </w:r>
      <w:proofErr w:type="spellEnd"/>
      <w:r>
        <w:rPr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l’interesse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obiettivi</w:t>
      </w:r>
      <w:proofErr w:type="spellEnd"/>
      <w:r>
        <w:rPr>
          <w:color w:val="000000" w:themeColor="text1"/>
        </w:rPr>
        <w:t xml:space="preserve"> e la </w:t>
      </w:r>
      <w:proofErr w:type="spellStart"/>
      <w:r>
        <w:rPr>
          <w:color w:val="000000" w:themeColor="text1"/>
        </w:rPr>
        <w:t>motivazione</w:t>
      </w:r>
      <w:proofErr w:type="spellEnd"/>
      <w:r>
        <w:rPr>
          <w:color w:val="000000" w:themeColor="text1"/>
        </w:rPr>
        <w:t xml:space="preserve"> del </w:t>
      </w:r>
      <w:proofErr w:type="spellStart"/>
      <w:r>
        <w:rPr>
          <w:color w:val="000000" w:themeColor="text1"/>
        </w:rPr>
        <w:t>candidato</w:t>
      </w:r>
      <w:proofErr w:type="spellEnd"/>
      <w:r>
        <w:rPr>
          <w:color w:val="000000" w:themeColor="text1"/>
        </w:rPr>
        <w:t xml:space="preserve">. I </w:t>
      </w:r>
      <w:proofErr w:type="spellStart"/>
      <w:r>
        <w:rPr>
          <w:color w:val="000000" w:themeColor="text1"/>
        </w:rPr>
        <w:t>risultati</w:t>
      </w:r>
      <w:proofErr w:type="spellEnd"/>
      <w:r>
        <w:rPr>
          <w:color w:val="000000" w:themeColor="text1"/>
        </w:rPr>
        <w:t xml:space="preserve"> del </w:t>
      </w:r>
      <w:proofErr w:type="spellStart"/>
      <w:r>
        <w:rPr>
          <w:color w:val="000000" w:themeColor="text1"/>
        </w:rPr>
        <w:t>colloquio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intervista</w:t>
      </w:r>
      <w:proofErr w:type="spellEnd"/>
      <w:r>
        <w:rPr>
          <w:color w:val="000000" w:themeColor="text1"/>
        </w:rPr>
        <w:t xml:space="preserve">) si </w:t>
      </w:r>
      <w:proofErr w:type="spellStart"/>
      <w:r>
        <w:rPr>
          <w:color w:val="000000" w:themeColor="text1"/>
        </w:rPr>
        <w:t>valutano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punteggio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va</w:t>
      </w:r>
      <w:proofErr w:type="spellEnd"/>
      <w:r>
        <w:rPr>
          <w:color w:val="000000" w:themeColor="text1"/>
        </w:rPr>
        <w:t xml:space="preserve"> da 1 a 10.</w:t>
      </w:r>
    </w:p>
    <w:p w14:paraId="2342E42D" w14:textId="77777777" w:rsidR="005F2EB5" w:rsidRDefault="005F2EB5" w:rsidP="005F2EB5">
      <w:pPr>
        <w:ind w:left="360"/>
        <w:jc w:val="both"/>
        <w:rPr>
          <w:color w:val="000000" w:themeColor="text1"/>
        </w:rPr>
      </w:pPr>
    </w:p>
    <w:p w14:paraId="5838454C" w14:textId="77777777" w:rsidR="005F2EB5" w:rsidRDefault="005F2EB5" w:rsidP="005F2EB5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Il</w:t>
      </w:r>
      <w:proofErr w:type="spellEnd"/>
      <w:r>
        <w:rPr>
          <w:color w:val="000000" w:themeColor="text1"/>
        </w:rPr>
        <w:t xml:space="preserve"> numero </w:t>
      </w:r>
      <w:proofErr w:type="spellStart"/>
      <w:r>
        <w:rPr>
          <w:color w:val="000000" w:themeColor="text1"/>
        </w:rPr>
        <w:t>complessivo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punti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candidato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ottenere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alla</w:t>
      </w:r>
      <w:proofErr w:type="spellEnd"/>
      <w:r>
        <w:rPr>
          <w:color w:val="000000" w:themeColor="text1"/>
        </w:rPr>
        <w:t xml:space="preserve"> prova </w:t>
      </w:r>
      <w:proofErr w:type="spellStart"/>
      <w:r>
        <w:rPr>
          <w:color w:val="000000" w:themeColor="text1"/>
        </w:rPr>
        <w:t>scritta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colloquio</w:t>
      </w:r>
      <w:proofErr w:type="spellEnd"/>
      <w:r>
        <w:rPr>
          <w:color w:val="000000" w:themeColor="text1"/>
        </w:rPr>
        <w:t xml:space="preserve"> è 20 </w:t>
      </w:r>
      <w:proofErr w:type="spellStart"/>
      <w:r>
        <w:rPr>
          <w:color w:val="000000" w:themeColor="text1"/>
        </w:rPr>
        <w:t>punti</w:t>
      </w:r>
      <w:proofErr w:type="spellEnd"/>
      <w:r>
        <w:rPr>
          <w:color w:val="000000" w:themeColor="text1"/>
        </w:rPr>
        <w:t>.</w:t>
      </w:r>
    </w:p>
    <w:p w14:paraId="01C7623C" w14:textId="77777777" w:rsidR="005F2EB5" w:rsidRDefault="005F2EB5" w:rsidP="005F2EB5">
      <w:pPr>
        <w:jc w:val="both"/>
        <w:rPr>
          <w:color w:val="000000" w:themeColor="text1"/>
        </w:rPr>
      </w:pPr>
    </w:p>
    <w:p w14:paraId="5910414E" w14:textId="77777777" w:rsidR="005F2EB5" w:rsidRDefault="005F2EB5" w:rsidP="005F2EB5">
      <w:pPr>
        <w:jc w:val="both"/>
        <w:rPr>
          <w:color w:val="000000" w:themeColor="text1"/>
        </w:rPr>
      </w:pPr>
      <w:r>
        <w:t xml:space="preserve">Al termine della procedura, la </w:t>
      </w:r>
      <w:proofErr w:type="spellStart"/>
      <w:r>
        <w:t>Commissione</w:t>
      </w:r>
      <w:proofErr w:type="spellEnd"/>
      <w:r>
        <w:t xml:space="preserve"> per </w:t>
      </w:r>
      <w:proofErr w:type="spellStart"/>
      <w:r>
        <w:t>l'attuazione</w:t>
      </w:r>
      <w:proofErr w:type="spellEnd"/>
      <w:r>
        <w:t xml:space="preserve"> </w:t>
      </w:r>
      <w:proofErr w:type="spellStart"/>
      <w:r>
        <w:t>dell’avviso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determina</w:t>
      </w:r>
      <w:proofErr w:type="spellEnd"/>
      <w:r>
        <w:t xml:space="preserve"> la </w:t>
      </w:r>
      <w:proofErr w:type="spellStart"/>
      <w:r>
        <w:t>graduatoria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base </w:t>
      </w:r>
      <w:proofErr w:type="spellStart"/>
      <w:r>
        <w:t>al</w:t>
      </w:r>
      <w:proofErr w:type="spellEnd"/>
      <w:r>
        <w:t xml:space="preserve"> </w:t>
      </w:r>
      <w:proofErr w:type="spellStart"/>
      <w:r>
        <w:t>punteggio</w:t>
      </w:r>
      <w:proofErr w:type="spellEnd"/>
      <w:r>
        <w:t xml:space="preserve"> </w:t>
      </w:r>
      <w:proofErr w:type="spellStart"/>
      <w:r>
        <w:t>complessivo</w:t>
      </w:r>
      <w:proofErr w:type="spellEnd"/>
      <w:r>
        <w:t xml:space="preserve"> </w:t>
      </w:r>
      <w:proofErr w:type="spellStart"/>
      <w:r>
        <w:t>conseguito</w:t>
      </w:r>
      <w:proofErr w:type="spellEnd"/>
      <w:r>
        <w:t xml:space="preserve">. La </w:t>
      </w:r>
      <w:proofErr w:type="spellStart"/>
      <w:r>
        <w:t>graduatoria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trasmessa</w:t>
      </w:r>
      <w:proofErr w:type="spellEnd"/>
      <w:r>
        <w:t xml:space="preserve"> </w:t>
      </w:r>
      <w:proofErr w:type="spellStart"/>
      <w:r>
        <w:t>all’Assessore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finanze</w:t>
      </w:r>
      <w:proofErr w:type="spellEnd"/>
      <w:r>
        <w:t xml:space="preserve">, </w:t>
      </w:r>
      <w:proofErr w:type="spellStart"/>
      <w:r>
        <w:t>all’economia</w:t>
      </w:r>
      <w:proofErr w:type="spellEnd"/>
      <w:r>
        <w:t xml:space="preserve"> e </w:t>
      </w:r>
      <w:proofErr w:type="spellStart"/>
      <w:r>
        <w:t>all’attuazione</w:t>
      </w:r>
      <w:proofErr w:type="spellEnd"/>
      <w:r>
        <w:t xml:space="preserve"> del </w:t>
      </w:r>
      <w:proofErr w:type="spellStart"/>
      <w:r>
        <w:t>meccanismo</w:t>
      </w:r>
      <w:proofErr w:type="spellEnd"/>
      <w:r>
        <w:t xml:space="preserve"> ITU della </w:t>
      </w:r>
      <w:proofErr w:type="spellStart"/>
      <w:r>
        <w:t>Città</w:t>
      </w:r>
      <w:proofErr w:type="spellEnd"/>
      <w:r>
        <w:t xml:space="preserve"> di Pula-Pola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relazione</w:t>
      </w:r>
      <w:proofErr w:type="spellEnd"/>
      <w:r>
        <w:t xml:space="preserve"> </w:t>
      </w:r>
      <w:proofErr w:type="spellStart"/>
      <w:r>
        <w:t>inerente</w:t>
      </w:r>
      <w:proofErr w:type="spellEnd"/>
      <w:r>
        <w:t xml:space="preserve"> </w:t>
      </w:r>
      <w:proofErr w:type="spellStart"/>
      <w:r>
        <w:t>all’attuazione</w:t>
      </w:r>
      <w:proofErr w:type="spellEnd"/>
      <w:r>
        <w:t xml:space="preserve"> del </w:t>
      </w:r>
      <w:proofErr w:type="spellStart"/>
      <w:r>
        <w:t>procedimento</w:t>
      </w:r>
      <w:proofErr w:type="spellEnd"/>
      <w:r>
        <w:t xml:space="preserve"> </w:t>
      </w:r>
      <w:proofErr w:type="spellStart"/>
      <w:r>
        <w:t>firmata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della </w:t>
      </w:r>
      <w:proofErr w:type="spellStart"/>
      <w:r>
        <w:t>Commissione</w:t>
      </w:r>
      <w:proofErr w:type="spellEnd"/>
      <w:r>
        <w:t xml:space="preserve"> per </w:t>
      </w:r>
      <w:proofErr w:type="spellStart"/>
      <w:r>
        <w:t>l’attuazione</w:t>
      </w:r>
      <w:proofErr w:type="spellEnd"/>
      <w:r>
        <w:t xml:space="preserve"> </w:t>
      </w:r>
      <w:proofErr w:type="spellStart"/>
      <w:r>
        <w:t>dell’avviso</w:t>
      </w:r>
      <w:proofErr w:type="spellEnd"/>
      <w:r>
        <w:t>.</w:t>
      </w:r>
    </w:p>
    <w:p w14:paraId="5FA63F4D" w14:textId="77777777" w:rsidR="005F2EB5" w:rsidRDefault="005F2EB5" w:rsidP="005F2EB5">
      <w:pPr>
        <w:jc w:val="both"/>
        <w:rPr>
          <w:color w:val="000000" w:themeColor="text1"/>
        </w:rPr>
      </w:pPr>
    </w:p>
    <w:p w14:paraId="07D76862" w14:textId="77777777" w:rsidR="005F2EB5" w:rsidRDefault="005F2EB5" w:rsidP="005F2EB5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candidato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prescelto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ottenuta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l’informazione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sulla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nomina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trasmette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certificato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idoneità</w:t>
      </w:r>
      <w:proofErr w:type="spellEnd"/>
      <w:r>
        <w:rPr>
          <w:color w:val="000000" w:themeColor="text1"/>
        </w:rPr>
        <w:t xml:space="preserve"> medica prima </w:t>
      </w:r>
      <w:proofErr w:type="spellStart"/>
      <w:r>
        <w:rPr>
          <w:color w:val="000000" w:themeColor="text1"/>
        </w:rPr>
        <w:t>dell’adozione</w:t>
      </w:r>
      <w:proofErr w:type="spellEnd"/>
      <w:r>
        <w:rPr>
          <w:color w:val="000000" w:themeColor="text1"/>
        </w:rPr>
        <w:t xml:space="preserve"> del </w:t>
      </w:r>
      <w:proofErr w:type="spellStart"/>
      <w:r>
        <w:rPr>
          <w:color w:val="000000" w:themeColor="text1"/>
        </w:rPr>
        <w:t>Provvedimento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assunzione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servizio</w:t>
      </w:r>
      <w:proofErr w:type="spellEnd"/>
      <w:r>
        <w:rPr>
          <w:color w:val="000000" w:themeColor="text1"/>
        </w:rPr>
        <w:t>.</w:t>
      </w:r>
    </w:p>
    <w:p w14:paraId="6DCC314B" w14:textId="77777777" w:rsidR="005F2EB5" w:rsidRDefault="005F2EB5" w:rsidP="005F2EB5">
      <w:pPr>
        <w:jc w:val="both"/>
        <w:rPr>
          <w:color w:val="000000" w:themeColor="text1"/>
        </w:rPr>
      </w:pPr>
    </w:p>
    <w:p w14:paraId="4D8C0534" w14:textId="77777777" w:rsidR="005F2EB5" w:rsidRDefault="005F2EB5" w:rsidP="005F2EB5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L’Assessore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finanze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all’economia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all’attuazione</w:t>
      </w:r>
      <w:proofErr w:type="spellEnd"/>
      <w:r>
        <w:rPr>
          <w:color w:val="000000" w:themeColor="text1"/>
        </w:rPr>
        <w:t xml:space="preserve"> del </w:t>
      </w:r>
      <w:proofErr w:type="spellStart"/>
      <w:r>
        <w:rPr>
          <w:color w:val="000000" w:themeColor="text1"/>
        </w:rPr>
        <w:t>meccanismo</w:t>
      </w:r>
      <w:proofErr w:type="spellEnd"/>
      <w:r>
        <w:rPr>
          <w:color w:val="000000" w:themeColor="text1"/>
        </w:rPr>
        <w:t xml:space="preserve"> ITU della </w:t>
      </w:r>
      <w:proofErr w:type="spellStart"/>
      <w:r>
        <w:rPr>
          <w:color w:val="000000" w:themeColor="text1"/>
        </w:rPr>
        <w:t>Città</w:t>
      </w:r>
      <w:proofErr w:type="spellEnd"/>
      <w:r>
        <w:rPr>
          <w:color w:val="000000" w:themeColor="text1"/>
        </w:rPr>
        <w:t xml:space="preserve"> di Pula-Pola, </w:t>
      </w:r>
      <w:proofErr w:type="spellStart"/>
      <w:r>
        <w:rPr>
          <w:color w:val="000000" w:themeColor="text1"/>
        </w:rPr>
        <w:t>adotta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Provvedimento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assunzione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che</w:t>
      </w:r>
      <w:proofErr w:type="spellEnd"/>
      <w:r>
        <w:rPr>
          <w:color w:val="000000" w:themeColor="text1"/>
        </w:rPr>
        <w:t xml:space="preserve"> si </w:t>
      </w:r>
      <w:proofErr w:type="spellStart"/>
      <w:r>
        <w:rPr>
          <w:color w:val="000000" w:themeColor="text1"/>
        </w:rPr>
        <w:t>trasmette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tutti</w:t>
      </w:r>
      <w:proofErr w:type="spellEnd"/>
      <w:r>
        <w:rPr>
          <w:color w:val="000000" w:themeColor="text1"/>
        </w:rPr>
        <w:t xml:space="preserve"> i </w:t>
      </w:r>
      <w:proofErr w:type="spellStart"/>
      <w:r>
        <w:rPr>
          <w:color w:val="000000" w:themeColor="text1"/>
        </w:rPr>
        <w:t>candidati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hanno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presentato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domanda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all’avviso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che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hanno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aderito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alla</w:t>
      </w:r>
      <w:proofErr w:type="spellEnd"/>
      <w:r>
        <w:rPr>
          <w:color w:val="000000" w:themeColor="text1"/>
        </w:rPr>
        <w:t xml:space="preserve"> prova </w:t>
      </w:r>
      <w:proofErr w:type="spellStart"/>
      <w:r>
        <w:rPr>
          <w:color w:val="000000" w:themeColor="text1"/>
        </w:rPr>
        <w:t>scritta</w:t>
      </w:r>
      <w:proofErr w:type="spellEnd"/>
      <w:r>
        <w:rPr>
          <w:color w:val="000000" w:themeColor="text1"/>
        </w:rPr>
        <w:t>.</w:t>
      </w:r>
    </w:p>
    <w:p w14:paraId="0FB07895" w14:textId="77777777" w:rsidR="005F2EB5" w:rsidRDefault="005F2EB5" w:rsidP="005F2EB5">
      <w:pPr>
        <w:jc w:val="both"/>
        <w:rPr>
          <w:color w:val="000000" w:themeColor="text1"/>
        </w:rPr>
      </w:pPr>
    </w:p>
    <w:p w14:paraId="000E93B2" w14:textId="77777777" w:rsidR="005F2EB5" w:rsidRDefault="005F2EB5" w:rsidP="005F2EB5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candidato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non</w:t>
      </w:r>
      <w:proofErr w:type="spellEnd"/>
      <w:r>
        <w:rPr>
          <w:color w:val="000000" w:themeColor="text1"/>
        </w:rPr>
        <w:t xml:space="preserve"> è </w:t>
      </w:r>
      <w:proofErr w:type="spellStart"/>
      <w:r>
        <w:rPr>
          <w:color w:val="000000" w:themeColor="text1"/>
        </w:rPr>
        <w:t>soddisfatto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dell’esito</w:t>
      </w:r>
      <w:proofErr w:type="spellEnd"/>
      <w:r>
        <w:rPr>
          <w:color w:val="000000" w:themeColor="text1"/>
        </w:rPr>
        <w:t xml:space="preserve"> del </w:t>
      </w:r>
      <w:proofErr w:type="spellStart"/>
      <w:r>
        <w:rPr>
          <w:color w:val="000000" w:themeColor="text1"/>
        </w:rPr>
        <w:t>Provvedimento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assunzione</w:t>
      </w:r>
      <w:proofErr w:type="spellEnd"/>
      <w:r>
        <w:rPr>
          <w:color w:val="000000" w:themeColor="text1"/>
        </w:rPr>
        <w:t xml:space="preserve"> del </w:t>
      </w:r>
      <w:proofErr w:type="spellStart"/>
      <w:r>
        <w:rPr>
          <w:color w:val="000000" w:themeColor="text1"/>
        </w:rPr>
        <w:t>candidato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prescelto</w:t>
      </w:r>
      <w:proofErr w:type="spellEnd"/>
      <w:r>
        <w:rPr>
          <w:color w:val="000000" w:themeColor="text1"/>
        </w:rPr>
        <w:t xml:space="preserve">, ha </w:t>
      </w:r>
      <w:proofErr w:type="spellStart"/>
      <w:r>
        <w:rPr>
          <w:color w:val="000000" w:themeColor="text1"/>
        </w:rPr>
        <w:t>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diritto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presentare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obiezione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sindaco</w:t>
      </w:r>
      <w:proofErr w:type="spellEnd"/>
      <w:r>
        <w:rPr>
          <w:color w:val="000000" w:themeColor="text1"/>
        </w:rPr>
        <w:t xml:space="preserve"> della </w:t>
      </w:r>
      <w:proofErr w:type="spellStart"/>
      <w:r>
        <w:rPr>
          <w:color w:val="000000" w:themeColor="text1"/>
        </w:rPr>
        <w:t>Città</w:t>
      </w:r>
      <w:proofErr w:type="spellEnd"/>
      <w:r>
        <w:rPr>
          <w:color w:val="000000" w:themeColor="text1"/>
        </w:rPr>
        <w:t xml:space="preserve"> di Pula-Pola </w:t>
      </w:r>
      <w:proofErr w:type="spellStart"/>
      <w:r>
        <w:rPr>
          <w:color w:val="000000" w:themeColor="text1"/>
        </w:rPr>
        <w:t>entro</w:t>
      </w:r>
      <w:proofErr w:type="spellEnd"/>
      <w:r>
        <w:rPr>
          <w:color w:val="000000" w:themeColor="text1"/>
        </w:rPr>
        <w:t xml:space="preserve"> 15 </w:t>
      </w:r>
      <w:proofErr w:type="spellStart"/>
      <w:r>
        <w:rPr>
          <w:color w:val="000000" w:themeColor="text1"/>
        </w:rPr>
        <w:t>giorni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dall’invio</w:t>
      </w:r>
      <w:proofErr w:type="spellEnd"/>
      <w:r>
        <w:rPr>
          <w:color w:val="000000" w:themeColor="text1"/>
        </w:rPr>
        <w:t xml:space="preserve"> del </w:t>
      </w:r>
      <w:proofErr w:type="spellStart"/>
      <w:r>
        <w:rPr>
          <w:color w:val="000000" w:themeColor="text1"/>
        </w:rPr>
        <w:t>provvedimento</w:t>
      </w:r>
      <w:proofErr w:type="spellEnd"/>
      <w:r>
        <w:rPr>
          <w:color w:val="000000" w:themeColor="text1"/>
        </w:rPr>
        <w:t>.</w:t>
      </w:r>
    </w:p>
    <w:p w14:paraId="4A44C38B" w14:textId="77777777" w:rsidR="005F2EB5" w:rsidRDefault="005F2EB5" w:rsidP="005F2EB5">
      <w:pPr>
        <w:jc w:val="center"/>
        <w:rPr>
          <w:b/>
          <w:color w:val="000000" w:themeColor="text1"/>
        </w:rPr>
      </w:pPr>
    </w:p>
    <w:p w14:paraId="02763FFA" w14:textId="2958C983" w:rsidR="005F2EB5" w:rsidRPr="006F7C91" w:rsidRDefault="005F2EB5" w:rsidP="005F2EB5">
      <w:pPr>
        <w:jc w:val="right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Commissione</w:t>
      </w:r>
      <w:proofErr w:type="spellEnd"/>
      <w:r>
        <w:rPr>
          <w:b/>
          <w:color w:val="000000" w:themeColor="text1"/>
        </w:rPr>
        <w:t xml:space="preserve"> per </w:t>
      </w:r>
      <w:proofErr w:type="spellStart"/>
      <w:r>
        <w:rPr>
          <w:b/>
          <w:color w:val="000000" w:themeColor="text1"/>
        </w:rPr>
        <w:t>l'attuazione</w:t>
      </w:r>
      <w:proofErr w:type="spellEnd"/>
      <w:r>
        <w:rPr>
          <w:b/>
          <w:color w:val="000000" w:themeColor="text1"/>
        </w:rPr>
        <w:t xml:space="preserve"> del bando</w:t>
      </w:r>
    </w:p>
    <w:sectPr w:rsidR="005F2EB5" w:rsidRPr="006F7C91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422FB"/>
    <w:multiLevelType w:val="hybridMultilevel"/>
    <w:tmpl w:val="89C85054"/>
    <w:lvl w:ilvl="0" w:tplc="C4DCD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87032B"/>
    <w:multiLevelType w:val="hybridMultilevel"/>
    <w:tmpl w:val="A5D6A73C"/>
    <w:lvl w:ilvl="0" w:tplc="363E7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31AC1"/>
    <w:multiLevelType w:val="hybridMultilevel"/>
    <w:tmpl w:val="38625732"/>
    <w:lvl w:ilvl="0" w:tplc="5F3E4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E79FE"/>
    <w:multiLevelType w:val="hybridMultilevel"/>
    <w:tmpl w:val="A9524700"/>
    <w:lvl w:ilvl="0" w:tplc="E6107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117213016">
    <w:abstractNumId w:val="7"/>
  </w:num>
  <w:num w:numId="2" w16cid:durableId="1848903290">
    <w:abstractNumId w:val="0"/>
  </w:num>
  <w:num w:numId="3" w16cid:durableId="218637488">
    <w:abstractNumId w:val="6"/>
  </w:num>
  <w:num w:numId="4" w16cid:durableId="335306329">
    <w:abstractNumId w:val="4"/>
  </w:num>
  <w:num w:numId="5" w16cid:durableId="1009522559">
    <w:abstractNumId w:val="5"/>
  </w:num>
  <w:num w:numId="6" w16cid:durableId="1792899460">
    <w:abstractNumId w:val="2"/>
  </w:num>
  <w:num w:numId="7" w16cid:durableId="1389723350">
    <w:abstractNumId w:val="1"/>
  </w:num>
  <w:num w:numId="8" w16cid:durableId="451218437">
    <w:abstractNumId w:val="5"/>
  </w:num>
  <w:num w:numId="9" w16cid:durableId="1474837228">
    <w:abstractNumId w:val="2"/>
  </w:num>
  <w:num w:numId="10" w16cid:durableId="1098797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0928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105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2578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1826915">
    <w:abstractNumId w:val="3"/>
  </w:num>
  <w:num w:numId="15" w16cid:durableId="145420422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8931362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85C97"/>
    <w:rsid w:val="00090166"/>
    <w:rsid w:val="00095C68"/>
    <w:rsid w:val="000A2215"/>
    <w:rsid w:val="000A22BB"/>
    <w:rsid w:val="000B23D4"/>
    <w:rsid w:val="00107529"/>
    <w:rsid w:val="001511E6"/>
    <w:rsid w:val="001539FF"/>
    <w:rsid w:val="00167D25"/>
    <w:rsid w:val="00170672"/>
    <w:rsid w:val="00177101"/>
    <w:rsid w:val="00177FC5"/>
    <w:rsid w:val="001B0F4A"/>
    <w:rsid w:val="001B1F19"/>
    <w:rsid w:val="001C4D5E"/>
    <w:rsid w:val="001D6C4C"/>
    <w:rsid w:val="001D6E7A"/>
    <w:rsid w:val="001F003E"/>
    <w:rsid w:val="001F1C7B"/>
    <w:rsid w:val="0021080C"/>
    <w:rsid w:val="002166C6"/>
    <w:rsid w:val="0021688A"/>
    <w:rsid w:val="002427E0"/>
    <w:rsid w:val="002434B8"/>
    <w:rsid w:val="002565EB"/>
    <w:rsid w:val="00274029"/>
    <w:rsid w:val="002A0BE2"/>
    <w:rsid w:val="002C01E6"/>
    <w:rsid w:val="0031077A"/>
    <w:rsid w:val="00344D20"/>
    <w:rsid w:val="00361087"/>
    <w:rsid w:val="003A0038"/>
    <w:rsid w:val="003A3AD3"/>
    <w:rsid w:val="003B5FC6"/>
    <w:rsid w:val="003C6B59"/>
    <w:rsid w:val="003E2165"/>
    <w:rsid w:val="0040281F"/>
    <w:rsid w:val="00412453"/>
    <w:rsid w:val="0041311C"/>
    <w:rsid w:val="00430CC6"/>
    <w:rsid w:val="00441839"/>
    <w:rsid w:val="004454C3"/>
    <w:rsid w:val="00474EBC"/>
    <w:rsid w:val="00482AFA"/>
    <w:rsid w:val="00496C3F"/>
    <w:rsid w:val="0049751A"/>
    <w:rsid w:val="004A2ACA"/>
    <w:rsid w:val="004D080D"/>
    <w:rsid w:val="004E1AB5"/>
    <w:rsid w:val="004F1E63"/>
    <w:rsid w:val="004F2B06"/>
    <w:rsid w:val="00502C13"/>
    <w:rsid w:val="00505EEB"/>
    <w:rsid w:val="00511C19"/>
    <w:rsid w:val="00522F59"/>
    <w:rsid w:val="005248B5"/>
    <w:rsid w:val="00534364"/>
    <w:rsid w:val="00544DBF"/>
    <w:rsid w:val="00562A06"/>
    <w:rsid w:val="00580A89"/>
    <w:rsid w:val="00584216"/>
    <w:rsid w:val="00593A9C"/>
    <w:rsid w:val="00594661"/>
    <w:rsid w:val="005C0D6F"/>
    <w:rsid w:val="005C2AB8"/>
    <w:rsid w:val="005D44D0"/>
    <w:rsid w:val="005F2EB5"/>
    <w:rsid w:val="00607224"/>
    <w:rsid w:val="006109E7"/>
    <w:rsid w:val="00611999"/>
    <w:rsid w:val="00611D67"/>
    <w:rsid w:val="00634886"/>
    <w:rsid w:val="006631A7"/>
    <w:rsid w:val="00673C4E"/>
    <w:rsid w:val="00675F70"/>
    <w:rsid w:val="006D3D7B"/>
    <w:rsid w:val="006E3C51"/>
    <w:rsid w:val="006E406E"/>
    <w:rsid w:val="006F0D62"/>
    <w:rsid w:val="006F7C91"/>
    <w:rsid w:val="00717C1E"/>
    <w:rsid w:val="00720BF5"/>
    <w:rsid w:val="00723522"/>
    <w:rsid w:val="00723E73"/>
    <w:rsid w:val="007E238B"/>
    <w:rsid w:val="007E3EC4"/>
    <w:rsid w:val="007E47AF"/>
    <w:rsid w:val="008174F3"/>
    <w:rsid w:val="00851FAD"/>
    <w:rsid w:val="008555FF"/>
    <w:rsid w:val="008610E8"/>
    <w:rsid w:val="00881358"/>
    <w:rsid w:val="0088623A"/>
    <w:rsid w:val="0088727E"/>
    <w:rsid w:val="008A2C87"/>
    <w:rsid w:val="008B024F"/>
    <w:rsid w:val="008B048A"/>
    <w:rsid w:val="008D18F4"/>
    <w:rsid w:val="008D510A"/>
    <w:rsid w:val="008F0309"/>
    <w:rsid w:val="008F1FC1"/>
    <w:rsid w:val="00906A0F"/>
    <w:rsid w:val="00906C88"/>
    <w:rsid w:val="00912DF5"/>
    <w:rsid w:val="009505FF"/>
    <w:rsid w:val="0097561D"/>
    <w:rsid w:val="00987471"/>
    <w:rsid w:val="009A3D63"/>
    <w:rsid w:val="009D2426"/>
    <w:rsid w:val="00A24DF0"/>
    <w:rsid w:val="00A25F87"/>
    <w:rsid w:val="00A27A8A"/>
    <w:rsid w:val="00A40A56"/>
    <w:rsid w:val="00A62353"/>
    <w:rsid w:val="00A9717F"/>
    <w:rsid w:val="00AB4A96"/>
    <w:rsid w:val="00AD1094"/>
    <w:rsid w:val="00AD4537"/>
    <w:rsid w:val="00AE3C1A"/>
    <w:rsid w:val="00AF0984"/>
    <w:rsid w:val="00AF1E74"/>
    <w:rsid w:val="00B07599"/>
    <w:rsid w:val="00B22478"/>
    <w:rsid w:val="00B2455B"/>
    <w:rsid w:val="00B34FA6"/>
    <w:rsid w:val="00B36C2D"/>
    <w:rsid w:val="00B52CCB"/>
    <w:rsid w:val="00B5423C"/>
    <w:rsid w:val="00B8209B"/>
    <w:rsid w:val="00B850F9"/>
    <w:rsid w:val="00BC04F1"/>
    <w:rsid w:val="00BE0DA5"/>
    <w:rsid w:val="00BE7588"/>
    <w:rsid w:val="00BF1C13"/>
    <w:rsid w:val="00C26AFA"/>
    <w:rsid w:val="00C3098A"/>
    <w:rsid w:val="00C33BEA"/>
    <w:rsid w:val="00CA1E56"/>
    <w:rsid w:val="00CD43B2"/>
    <w:rsid w:val="00CD5A01"/>
    <w:rsid w:val="00D25624"/>
    <w:rsid w:val="00D72C47"/>
    <w:rsid w:val="00D77601"/>
    <w:rsid w:val="00D938E3"/>
    <w:rsid w:val="00DA5D18"/>
    <w:rsid w:val="00DD36C4"/>
    <w:rsid w:val="00DE41BC"/>
    <w:rsid w:val="00DE5005"/>
    <w:rsid w:val="00DF27AA"/>
    <w:rsid w:val="00E0236E"/>
    <w:rsid w:val="00E045B6"/>
    <w:rsid w:val="00E103E2"/>
    <w:rsid w:val="00E33E32"/>
    <w:rsid w:val="00E43D77"/>
    <w:rsid w:val="00E545AB"/>
    <w:rsid w:val="00E553CE"/>
    <w:rsid w:val="00E600EC"/>
    <w:rsid w:val="00E76A4C"/>
    <w:rsid w:val="00E93B39"/>
    <w:rsid w:val="00EA463F"/>
    <w:rsid w:val="00EA532C"/>
    <w:rsid w:val="00EA5BD5"/>
    <w:rsid w:val="00EB07EA"/>
    <w:rsid w:val="00EF6C73"/>
    <w:rsid w:val="00F25189"/>
    <w:rsid w:val="00F304D0"/>
    <w:rsid w:val="00F50E5A"/>
    <w:rsid w:val="00F72216"/>
    <w:rsid w:val="00F81E72"/>
    <w:rsid w:val="00F86754"/>
    <w:rsid w:val="00F93EEC"/>
    <w:rsid w:val="00FA4EDA"/>
    <w:rsid w:val="00FC107C"/>
    <w:rsid w:val="00FC1F55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after="120"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pPr>
      <w:spacing w:after="120"/>
    </w:pPr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DF27A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F27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D9F01-B70E-479D-907C-290FFC19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1585</Words>
  <Characters>9041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Pavić Mateo</cp:lastModifiedBy>
  <cp:revision>8</cp:revision>
  <cp:lastPrinted>2025-05-21T06:59:00Z</cp:lastPrinted>
  <dcterms:created xsi:type="dcterms:W3CDTF">2025-05-21T06:56:00Z</dcterms:created>
  <dcterms:modified xsi:type="dcterms:W3CDTF">2025-05-23T10:24:00Z</dcterms:modified>
</cp:coreProperties>
</file>