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2743"/>
        <w:gridCol w:w="8233"/>
        <w:gridCol w:w="2650"/>
      </w:tblGrid>
      <w:tr w:rsidR="00F74FEE" w:rsidRPr="00554CCE" w14:paraId="6B2D058F" w14:textId="7AF929B5" w:rsidTr="00F74FEE">
        <w:trPr>
          <w:trHeight w:val="943"/>
        </w:trPr>
        <w:tc>
          <w:tcPr>
            <w:tcW w:w="14610" w:type="dxa"/>
            <w:gridSpan w:val="4"/>
            <w:tcBorders>
              <w:bottom w:val="single" w:sz="4" w:space="0" w:color="365F91"/>
            </w:tcBorders>
            <w:shd w:val="clear" w:color="auto" w:fill="C6D9F1" w:themeFill="text2" w:themeFillTint="33"/>
            <w:vAlign w:val="center"/>
          </w:tcPr>
          <w:p w14:paraId="48F255A4" w14:textId="77777777" w:rsidR="00B8268C" w:rsidRPr="00B8268C" w:rsidRDefault="00B8268C" w:rsidP="00B8268C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 xml:space="preserve">IZVJEŠĆE O SAVJETOVANJU S JAVNOŠĆU </w:t>
            </w:r>
          </w:p>
          <w:p w14:paraId="13CC4B0C" w14:textId="77777777" w:rsidR="00B8268C" w:rsidRPr="00B8268C" w:rsidRDefault="00B8268C" w:rsidP="00B8268C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>U POSTUPKU DONOŠENJA</w:t>
            </w:r>
          </w:p>
          <w:p w14:paraId="1F67D65D" w14:textId="77777777" w:rsidR="00B8268C" w:rsidRPr="00B8268C" w:rsidRDefault="00B8268C" w:rsidP="00B8268C">
            <w:pPr>
              <w:spacing w:after="0" w:line="240" w:lineRule="auto"/>
              <w:jc w:val="center"/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</w:pPr>
          </w:p>
          <w:p w14:paraId="6D9780CE" w14:textId="77777777" w:rsidR="00B8268C" w:rsidRPr="00B8268C" w:rsidRDefault="00B8268C" w:rsidP="00B8268C">
            <w:pPr>
              <w:spacing w:after="0" w:line="240" w:lineRule="auto"/>
              <w:jc w:val="center"/>
              <w:rPr>
                <w:rFonts w:cs="Times New Roman"/>
                <w:b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/>
                <w:bCs/>
                <w:kern w:val="2"/>
                <w:szCs w:val="24"/>
                <w14:ligatures w14:val="standardContextual"/>
              </w:rPr>
              <w:t xml:space="preserve">ODLUKE O </w:t>
            </w:r>
            <w:bookmarkStart w:id="0" w:name="_Hlk149210583"/>
            <w:r w:rsidRPr="00B8268C">
              <w:rPr>
                <w:rFonts w:cs="Times New Roman"/>
                <w:b/>
                <w:kern w:val="2"/>
                <w:szCs w:val="24"/>
                <w14:ligatures w14:val="standardContextual"/>
              </w:rPr>
              <w:t>IZMJENAMA I DOPUNAMA ODLUKE O GROBLJIMA</w:t>
            </w:r>
          </w:p>
          <w:bookmarkEnd w:id="0"/>
          <w:p w14:paraId="68354290" w14:textId="77777777" w:rsidR="00B8268C" w:rsidRPr="00B8268C" w:rsidRDefault="00B8268C" w:rsidP="00B8268C">
            <w:pPr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</w:p>
          <w:p w14:paraId="5E478586" w14:textId="77777777" w:rsidR="00B8268C" w:rsidRPr="00B8268C" w:rsidRDefault="00B8268C" w:rsidP="00B8268C">
            <w:pPr>
              <w:spacing w:after="0" w:line="240" w:lineRule="auto"/>
              <w:jc w:val="center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 xml:space="preserve">Nositelj izrade Izvješća: Grad Pula-Pola, Upravni odjel za urbanizam, investicije i razvojne projekte  </w:t>
            </w:r>
          </w:p>
          <w:p w14:paraId="43C1F5D2" w14:textId="37E7AF0D" w:rsidR="00F74FEE" w:rsidRPr="003E283D" w:rsidRDefault="00B8268C" w:rsidP="00B826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>Pula, 2</w:t>
            </w:r>
            <w:r w:rsidR="005F7829">
              <w:rPr>
                <w:rFonts w:cs="Times New Roman"/>
                <w:kern w:val="2"/>
                <w:szCs w:val="24"/>
                <w14:ligatures w14:val="standardContextual"/>
              </w:rPr>
              <w:t>5</w:t>
            </w:r>
            <w:r w:rsidRPr="00B8268C">
              <w:rPr>
                <w:rFonts w:cs="Times New Roman"/>
                <w:kern w:val="2"/>
                <w:szCs w:val="24"/>
                <w14:ligatures w14:val="standardContextual"/>
              </w:rPr>
              <w:t>. travnja 2024.</w:t>
            </w:r>
          </w:p>
        </w:tc>
      </w:tr>
      <w:tr w:rsidR="00E24CDA" w:rsidRPr="00554CCE" w14:paraId="2D807B46" w14:textId="030056E1" w:rsidTr="006A5123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93B2933" w14:textId="77777777" w:rsidR="00E24CDA" w:rsidRPr="00554CCE" w:rsidRDefault="00E24CDA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F11A432" w14:textId="4591FA75" w:rsidR="00E24CDA" w:rsidRPr="003E283D" w:rsidRDefault="00B8268C" w:rsidP="00F7572F">
            <w:pPr>
              <w:spacing w:before="120" w:after="120" w:line="240" w:lineRule="auto"/>
              <w:rPr>
                <w:rFonts w:cs="Times New Roman"/>
                <w:bCs/>
                <w:szCs w:val="24"/>
              </w:rPr>
            </w:pPr>
            <w:r w:rsidRPr="00221634">
              <w:rPr>
                <w:rFonts w:cs="Times New Roman"/>
                <w:bCs/>
                <w:szCs w:val="24"/>
              </w:rPr>
              <w:t>Nacrt prijedloga Odluke o izmjenama i dopunama Odluke o grobljima</w:t>
            </w:r>
          </w:p>
        </w:tc>
      </w:tr>
      <w:tr w:rsidR="00E24CDA" w:rsidRPr="00554CCE" w14:paraId="5F4F2B42" w14:textId="22D4DD52" w:rsidTr="006A5123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505F7BC" w14:textId="77777777" w:rsidR="00E24CDA" w:rsidRPr="00554CCE" w:rsidRDefault="00E24CDA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3B6462" w14:textId="302C9C29" w:rsidR="00E24CDA" w:rsidRPr="003E283D" w:rsidRDefault="00B8268C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221634">
              <w:rPr>
                <w:rFonts w:cs="Times New Roman"/>
                <w:szCs w:val="24"/>
              </w:rPr>
              <w:t xml:space="preserve">Upravni odjel za urbanizam, investicije i razvojne projekte  </w:t>
            </w:r>
          </w:p>
        </w:tc>
      </w:tr>
      <w:tr w:rsidR="00E24CDA" w:rsidRPr="00554CCE" w14:paraId="4AF1BB1C" w14:textId="1086FC64" w:rsidTr="006A5123">
        <w:trPr>
          <w:trHeight w:val="76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B3B7B9C" w14:textId="77777777" w:rsidR="00E24CDA" w:rsidRPr="00554CCE" w:rsidRDefault="00E24CDA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58D3450" w14:textId="66A61E7C" w:rsidR="00E24CDA" w:rsidRPr="00B8268C" w:rsidRDefault="00B8268C" w:rsidP="00B8268C">
            <w:pPr>
              <w:spacing w:after="0" w:line="240" w:lineRule="auto"/>
              <w:rPr>
                <w:rFonts w:cs="Times New Roman"/>
                <w:bCs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>Osnovni razlog donošenja ove Odluke je potreba izmjena i dopuna Odluke o grobljima (Službene novine-</w:t>
            </w:r>
            <w:proofErr w:type="spellStart"/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>Bollettino</w:t>
            </w:r>
            <w:proofErr w:type="spellEnd"/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</w:t>
            </w:r>
            <w:proofErr w:type="spellStart"/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>ufficiale</w:t>
            </w:r>
            <w:proofErr w:type="spellEnd"/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 xml:space="preserve"> Pula-Pola 13/10 i 03/16), kako bi se izbjegle različite interpretacije i provele potrebne radnje prilikom upravljanja grobljem</w:t>
            </w:r>
            <w:r>
              <w:rPr>
                <w:rFonts w:cs="Times New Roman"/>
                <w:bCs/>
                <w:kern w:val="2"/>
                <w:szCs w:val="24"/>
                <w14:ligatures w14:val="standardContextual"/>
              </w:rPr>
              <w:t>.</w:t>
            </w:r>
          </w:p>
        </w:tc>
      </w:tr>
      <w:tr w:rsidR="00E24CDA" w:rsidRPr="00554CCE" w14:paraId="30960ACD" w14:textId="351CAC71" w:rsidTr="006A5123">
        <w:trPr>
          <w:trHeight w:val="688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58F3F81" w14:textId="6EDB8A4B" w:rsidR="00E24CDA" w:rsidRPr="00554CCE" w:rsidRDefault="00E24CDA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F276141" w14:textId="77777777" w:rsidR="00B8268C" w:rsidRPr="00B8268C" w:rsidRDefault="006379C8" w:rsidP="00B826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2"/>
                <w:szCs w:val="24"/>
                <w14:ligatures w14:val="standardContextual"/>
              </w:rPr>
            </w:pPr>
            <w:hyperlink r:id="rId7" w:history="1">
              <w:r w:rsidR="00B8268C" w:rsidRPr="00B8268C">
                <w:rPr>
                  <w:rFonts w:cs="Times New Roman"/>
                  <w:color w:val="0000FF" w:themeColor="hyperlink"/>
                  <w:kern w:val="2"/>
                  <w:szCs w:val="24"/>
                  <w:u w:val="single"/>
                  <w14:ligatures w14:val="standardContextual"/>
                </w:rPr>
                <w:t>https://www.pula.hr/hr/eusluge/ekonzultacije/ekonzultacije-u-tijeku/134/nacrt-prijedloga-odluke-o-izmjenama-i-dopunama-odluke-o-grobljima/</w:t>
              </w:r>
            </w:hyperlink>
          </w:p>
          <w:p w14:paraId="28103A8D" w14:textId="4D653C07" w:rsidR="00E24CDA" w:rsidRPr="003E283D" w:rsidRDefault="00E24CDA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</w:p>
        </w:tc>
      </w:tr>
      <w:tr w:rsidR="00E24CDA" w:rsidRPr="00554CCE" w14:paraId="12ACA1CD" w14:textId="11A3025A" w:rsidTr="006A5123">
        <w:trPr>
          <w:trHeight w:val="791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7291CF0" w14:textId="5BCBDB03" w:rsidR="00E24CDA" w:rsidRPr="00554CCE" w:rsidRDefault="00E24CDA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Razdoblje provedbe savjetovanja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8F93FAF" w14:textId="77777777" w:rsidR="00B8268C" w:rsidRDefault="00B8268C" w:rsidP="00B826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kern w:val="2"/>
                <w:szCs w:val="24"/>
                <w14:ligatures w14:val="standardContextual"/>
              </w:rPr>
            </w:pPr>
          </w:p>
          <w:p w14:paraId="5CEE4498" w14:textId="6AF3E085" w:rsidR="00B8268C" w:rsidRPr="00B8268C" w:rsidRDefault="00B8268C" w:rsidP="00B8268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2"/>
                <w:szCs w:val="24"/>
                <w14:ligatures w14:val="standardContextual"/>
              </w:rPr>
            </w:pPr>
            <w:r w:rsidRPr="00B8268C">
              <w:rPr>
                <w:rFonts w:cs="Times New Roman"/>
                <w:bCs/>
                <w:kern w:val="2"/>
                <w:szCs w:val="24"/>
                <w14:ligatures w14:val="standardContextual"/>
              </w:rPr>
              <w:t>Internetsko savjetovanje s javnošću provedeno je u razdoblju od 20. ožujka 2024. do 19. travnja 2024. godine.</w:t>
            </w:r>
          </w:p>
          <w:p w14:paraId="359DE2FB" w14:textId="44787A07" w:rsidR="00B8268C" w:rsidRPr="003E283D" w:rsidRDefault="00B8268C" w:rsidP="00F7572F">
            <w:pPr>
              <w:spacing w:after="120" w:line="240" w:lineRule="auto"/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</w:pPr>
          </w:p>
        </w:tc>
      </w:tr>
      <w:tr w:rsidR="00E24CDA" w:rsidRPr="00554CCE" w14:paraId="62AA9841" w14:textId="05197813" w:rsidTr="006A5123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C801E7" w14:textId="77777777" w:rsidR="00E24CDA" w:rsidRPr="00554CCE" w:rsidRDefault="00E24CDA" w:rsidP="002E487F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D202FEB" w14:textId="026A5E08" w:rsidR="00E24CDA" w:rsidRPr="003E283D" w:rsidRDefault="00E24CDA" w:rsidP="00D63D5D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U za to propisanom roku zaprimljen</w:t>
            </w:r>
            <w:r w:rsidR="00B8268C">
              <w:rPr>
                <w:rFonts w:eastAsia="Times New Roman" w:cs="Times New Roman"/>
                <w:bCs/>
                <w:szCs w:val="24"/>
                <w:lang w:eastAsia="zh-CN"/>
              </w:rPr>
              <w:t xml:space="preserve">a su 2 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prijedloga podnesen</w:t>
            </w:r>
            <w:r w:rsidR="000144CA">
              <w:rPr>
                <w:rFonts w:eastAsia="Times New Roman" w:cs="Times New Roman"/>
                <w:bCs/>
                <w:szCs w:val="24"/>
                <w:lang w:eastAsia="zh-CN"/>
              </w:rPr>
              <w:t>a</w:t>
            </w: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 od strane zainteresirane javnosti.</w:t>
            </w:r>
          </w:p>
        </w:tc>
      </w:tr>
      <w:tr w:rsidR="006A5123" w:rsidRPr="00554CCE" w14:paraId="08F0200D" w14:textId="77777777" w:rsidTr="006A5123">
        <w:trPr>
          <w:trHeight w:val="747"/>
        </w:trPr>
        <w:tc>
          <w:tcPr>
            <w:tcW w:w="3727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4F30D9E" w14:textId="2F13EBA7" w:rsidR="006A5123" w:rsidRPr="00554CCE" w:rsidRDefault="006A5123" w:rsidP="006A5123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883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B5E3A52" w14:textId="2A4428BB" w:rsidR="006A5123" w:rsidRPr="00554CCE" w:rsidRDefault="006A5123" w:rsidP="006A5123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  <w:tr w:rsidR="006A5123" w:rsidRPr="00554CCE" w14:paraId="6C86BCFF" w14:textId="77777777" w:rsidTr="00E878AA">
        <w:trPr>
          <w:trHeight w:val="1124"/>
        </w:trPr>
        <w:tc>
          <w:tcPr>
            <w:tcW w:w="14610" w:type="dxa"/>
            <w:gridSpan w:val="4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5A363471" w14:textId="37B7B413" w:rsidR="006A5123" w:rsidRPr="003E283D" w:rsidRDefault="006A5123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Cs w:val="24"/>
                <w:highlight w:val="lightGray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lastRenderedPageBreak/>
              <w:t xml:space="preserve">PREGLED PRIHVAĆENIH I NEPRIHVAĆENIH </w:t>
            </w:r>
            <w:r w:rsidRPr="00F74FEE">
              <w:rPr>
                <w:rFonts w:eastAsia="Times New Roman" w:cs="Times New Roman"/>
                <w:b/>
                <w:bCs/>
                <w:szCs w:val="24"/>
                <w:lang w:eastAsia="zh-CN"/>
              </w:rPr>
              <w:t>PRI</w:t>
            </w: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JEDLOGA I MIŠLJENJA</w:t>
            </w:r>
          </w:p>
        </w:tc>
      </w:tr>
      <w:tr w:rsidR="006A5123" w:rsidRPr="00554CCE" w14:paraId="6532D6C2" w14:textId="77777777" w:rsidTr="006A5123">
        <w:trPr>
          <w:trHeight w:val="1124"/>
        </w:trPr>
        <w:tc>
          <w:tcPr>
            <w:tcW w:w="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537B45C1" w14:textId="02C954A2" w:rsidR="006A5123" w:rsidRPr="006A5123" w:rsidRDefault="006A5123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5123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2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3B2FEA36" w14:textId="4A99159F" w:rsidR="006A5123" w:rsidRPr="006A5123" w:rsidRDefault="006A5123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5123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PREDLAGATELJ I DATUM ZAPRIMANJA</w:t>
            </w:r>
          </w:p>
        </w:tc>
        <w:tc>
          <w:tcPr>
            <w:tcW w:w="82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66D95B99" w14:textId="098F448A" w:rsidR="006A5123" w:rsidRPr="006A5123" w:rsidRDefault="000144CA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144CA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 w:themeFill="text2" w:themeFillTint="33"/>
            <w:vAlign w:val="center"/>
          </w:tcPr>
          <w:p w14:paraId="3B9BDB24" w14:textId="67EFDE68" w:rsidR="006A5123" w:rsidRPr="006A5123" w:rsidRDefault="006A5123" w:rsidP="006A5123">
            <w:pPr>
              <w:spacing w:before="24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A5123">
              <w:rPr>
                <w:rFonts w:eastAsia="Times New Roman" w:cs="Times New Roman"/>
                <w:b/>
                <w:bCs/>
                <w:sz w:val="20"/>
                <w:szCs w:val="20"/>
                <w:lang w:eastAsia="zh-CN"/>
              </w:rPr>
              <w:t xml:space="preserve">STATUS PRIJEDLOGA ILI MIŠLJENJA </w:t>
            </w:r>
          </w:p>
        </w:tc>
      </w:tr>
      <w:tr w:rsidR="006A5123" w:rsidRPr="00554CCE" w14:paraId="0A07203A" w14:textId="16DB1AFF" w:rsidTr="006A5123">
        <w:trPr>
          <w:trHeight w:val="1691"/>
        </w:trPr>
        <w:tc>
          <w:tcPr>
            <w:tcW w:w="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742A977" w14:textId="76FC49D1" w:rsidR="006A5123" w:rsidRPr="00554CCE" w:rsidRDefault="006A5123" w:rsidP="006A5123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1.</w:t>
            </w:r>
          </w:p>
        </w:tc>
        <w:tc>
          <w:tcPr>
            <w:tcW w:w="2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0360186" w14:textId="77777777" w:rsidR="00AD7F35" w:rsidRDefault="00AD7F35" w:rsidP="00AD7F35">
            <w:pPr>
              <w:spacing w:after="12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Zaprimljeno 02.04.2024.</w:t>
            </w:r>
          </w:p>
          <w:p w14:paraId="72E54958" w14:textId="77777777" w:rsidR="00AD7F35" w:rsidRDefault="00AD7F35" w:rsidP="00AD7F35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Darko Bijelić</w:t>
            </w:r>
          </w:p>
          <w:p w14:paraId="459FF3DE" w14:textId="613BA2BD" w:rsidR="006A5123" w:rsidRPr="00554CCE" w:rsidRDefault="00AD7F35" w:rsidP="00AD7F35">
            <w:pPr>
              <w:spacing w:after="120" w:line="240" w:lineRule="auto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bCs/>
              </w:rPr>
              <w:t>MONTE GIRO d.o.o.</w:t>
            </w:r>
          </w:p>
        </w:tc>
        <w:tc>
          <w:tcPr>
            <w:tcW w:w="82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ACD111C" w14:textId="77777777" w:rsidR="00AD7F35" w:rsidRPr="00AD7F35" w:rsidRDefault="00AD7F35" w:rsidP="0070200C">
            <w:pPr>
              <w:spacing w:after="160" w:line="256" w:lineRule="auto"/>
              <w:rPr>
                <w:rFonts w:eastAsia="Calibri" w:cs="Times New Roman"/>
                <w:bCs/>
                <w:szCs w:val="24"/>
              </w:rPr>
            </w:pPr>
            <w:r w:rsidRPr="00AD7F35">
              <w:rPr>
                <w:rFonts w:eastAsia="Calibri" w:cs="Times New Roman"/>
                <w:bCs/>
                <w:szCs w:val="24"/>
              </w:rPr>
              <w:t xml:space="preserve">U Odluku o grobljima treba dodati članak vezano za obavljanje prosipanja pepela pokojnika izvan groblja prema Zakonu o </w:t>
            </w:r>
            <w:proofErr w:type="spellStart"/>
            <w:r w:rsidRPr="00AD7F35">
              <w:rPr>
                <w:rFonts w:eastAsia="Calibri" w:cs="Times New Roman"/>
                <w:bCs/>
                <w:szCs w:val="24"/>
              </w:rPr>
              <w:t>pogrebničkoj</w:t>
            </w:r>
            <w:proofErr w:type="spellEnd"/>
            <w:r w:rsidRPr="00AD7F35">
              <w:rPr>
                <w:rFonts w:eastAsia="Calibri" w:cs="Times New Roman"/>
                <w:bCs/>
                <w:szCs w:val="24"/>
              </w:rPr>
              <w:t xml:space="preserve"> djelatnosti, čl. 8. st. 1., alineja </w:t>
            </w:r>
            <w:r w:rsidRPr="00AD7F35">
              <w:rPr>
                <w:rFonts w:eastAsia="Calibri" w:cs="Times New Roman"/>
                <w:szCs w:val="24"/>
              </w:rPr>
              <w:t xml:space="preserve"> </w:t>
            </w:r>
            <w:r w:rsidRPr="00AD7F35">
              <w:rPr>
                <w:rFonts w:eastAsia="Calibri" w:cs="Times New Roman"/>
                <w:bCs/>
                <w:szCs w:val="24"/>
              </w:rPr>
              <w:t>– organizacija prosipanja pepela pokojnika u prirodi (more, rijeke, šume, planine, livade i sl.).</w:t>
            </w:r>
          </w:p>
          <w:p w14:paraId="0816374B" w14:textId="77777777" w:rsidR="00AD7F35" w:rsidRPr="00AD7F35" w:rsidRDefault="00AD7F35" w:rsidP="0070200C">
            <w:pPr>
              <w:spacing w:before="120" w:after="120" w:line="240" w:lineRule="auto"/>
              <w:rPr>
                <w:rFonts w:eastAsia="Calibri" w:cs="Times New Roman"/>
                <w:bCs/>
                <w:szCs w:val="24"/>
              </w:rPr>
            </w:pPr>
            <w:r w:rsidRPr="00AD7F35">
              <w:rPr>
                <w:rFonts w:eastAsia="Calibri" w:cs="Times New Roman"/>
                <w:bCs/>
                <w:szCs w:val="24"/>
              </w:rPr>
              <w:t>S time u svezi predlažemo:</w:t>
            </w:r>
          </w:p>
          <w:p w14:paraId="5753DCBC" w14:textId="77777777" w:rsidR="00AD7F35" w:rsidRPr="00AD7F35" w:rsidRDefault="00AD7F35" w:rsidP="0070200C">
            <w:pPr>
              <w:spacing w:before="120" w:after="120" w:line="240" w:lineRule="auto"/>
              <w:rPr>
                <w:rFonts w:eastAsia="Calibri" w:cs="Times New Roman"/>
                <w:bCs/>
                <w:szCs w:val="24"/>
              </w:rPr>
            </w:pPr>
            <w:r w:rsidRPr="00AD7F35">
              <w:rPr>
                <w:rFonts w:eastAsia="Calibri" w:cs="Times New Roman"/>
                <w:bCs/>
                <w:szCs w:val="24"/>
              </w:rPr>
              <w:t xml:space="preserve">Dodaje se </w:t>
            </w:r>
            <w:r w:rsidRPr="00AD7F35">
              <w:rPr>
                <w:rFonts w:eastAsia="Calibri" w:cs="Times New Roman"/>
                <w:b/>
                <w:bCs/>
                <w:szCs w:val="24"/>
              </w:rPr>
              <w:t>članak 24.b</w:t>
            </w:r>
            <w:r w:rsidRPr="00AD7F35">
              <w:rPr>
                <w:rFonts w:eastAsia="Calibri" w:cs="Times New Roman"/>
                <w:bCs/>
                <w:szCs w:val="24"/>
              </w:rPr>
              <w:t xml:space="preserve"> (čl. 24.a postoji dopunom Odluke o grobljima iz 2016. godine)</w:t>
            </w:r>
          </w:p>
          <w:p w14:paraId="474803BE" w14:textId="77777777" w:rsidR="00AD7F35" w:rsidRPr="00AD7F35" w:rsidRDefault="00AD7F35" w:rsidP="0070200C">
            <w:pPr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Calibri" w:cs="Times New Roman"/>
                <w:szCs w:val="24"/>
                <w:lang w:val="en-US"/>
              </w:rPr>
            </w:pP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Prosipanje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pepela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pokojnika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izvan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groblja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ili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predaja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urne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obitelji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pokojnika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radi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prosipanja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iči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čuvanja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pepela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pokojnika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moguća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je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uz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odobrenje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nadležnog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gradskog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odjela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za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komunalne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poslove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.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Ukoliko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se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pepeo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pokojnika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prosipa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u more,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potrebno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je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ishoditi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i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suglasnost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nadležne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Lučke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kapetanije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Ministarstva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mora,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prometa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i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infrastrukture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>.</w:t>
            </w:r>
          </w:p>
          <w:p w14:paraId="30C47BFF" w14:textId="77777777" w:rsidR="00AD7F35" w:rsidRPr="00AD7F35" w:rsidRDefault="00AD7F35" w:rsidP="0070200C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eastAsia="Calibri" w:cs="Times New Roman"/>
                <w:bCs/>
                <w:szCs w:val="24"/>
              </w:rPr>
            </w:pPr>
            <w:r w:rsidRPr="00AD7F35">
              <w:rPr>
                <w:rFonts w:eastAsia="Calibri" w:cs="Times New Roman"/>
                <w:szCs w:val="24"/>
                <w:lang w:val="en-US"/>
              </w:rPr>
              <w:t xml:space="preserve">Do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odobrenja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iz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prethodnog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stavka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,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urna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s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pepelom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pokojnika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mora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biti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deponirana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na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Calibri" w:cs="Times New Roman"/>
                <w:szCs w:val="24"/>
                <w:lang w:val="en-US"/>
              </w:rPr>
              <w:t>depozitoriju</w:t>
            </w:r>
            <w:proofErr w:type="spellEnd"/>
            <w:r w:rsidRPr="00AD7F35">
              <w:rPr>
                <w:rFonts w:eastAsia="Calibri" w:cs="Times New Roman"/>
                <w:szCs w:val="24"/>
                <w:lang w:val="en-US"/>
              </w:rPr>
              <w:t>.</w:t>
            </w:r>
          </w:p>
          <w:p w14:paraId="7CD5B5A8" w14:textId="77777777" w:rsidR="00AD7F35" w:rsidRPr="00AD7F35" w:rsidRDefault="00AD7F35" w:rsidP="0070200C">
            <w:pPr>
              <w:numPr>
                <w:ilvl w:val="0"/>
                <w:numId w:val="3"/>
              </w:numPr>
              <w:spacing w:before="120" w:after="120" w:line="240" w:lineRule="auto"/>
              <w:contextualSpacing/>
              <w:rPr>
                <w:rFonts w:eastAsia="Calibri" w:cs="Times New Roman"/>
                <w:bCs/>
                <w:szCs w:val="24"/>
              </w:rPr>
            </w:pPr>
            <w:r w:rsidRPr="00AD7F35">
              <w:rPr>
                <w:rFonts w:eastAsia="Calibri" w:cs="Times New Roman"/>
                <w:bCs/>
                <w:szCs w:val="24"/>
              </w:rPr>
              <w:t>Ukoliko se prosipanje pepela pokojnika obavlja unutar prostora groblja, nije potrebno odobrenje iz st. 1. ovog članka.</w:t>
            </w:r>
          </w:p>
          <w:p w14:paraId="2DA6EDEF" w14:textId="77777777" w:rsidR="00AD7F35" w:rsidRPr="00AD7F35" w:rsidRDefault="00AD7F35" w:rsidP="0070200C">
            <w:pPr>
              <w:spacing w:before="120" w:after="120" w:line="240" w:lineRule="auto"/>
              <w:rPr>
                <w:rFonts w:eastAsia="Calibri" w:cs="Times New Roman"/>
                <w:bCs/>
                <w:szCs w:val="24"/>
              </w:rPr>
            </w:pPr>
          </w:p>
          <w:p w14:paraId="7802C60F" w14:textId="77777777" w:rsidR="00AD7F35" w:rsidRPr="00AD7F35" w:rsidRDefault="00AD7F35" w:rsidP="0070200C">
            <w:pPr>
              <w:spacing w:before="120" w:after="120" w:line="240" w:lineRule="auto"/>
              <w:rPr>
                <w:rFonts w:eastAsia="Calibri" w:cs="Times New Roman"/>
                <w:bCs/>
                <w:szCs w:val="24"/>
              </w:rPr>
            </w:pPr>
            <w:r w:rsidRPr="00AD7F35">
              <w:rPr>
                <w:rFonts w:eastAsia="Calibri" w:cs="Times New Roman"/>
                <w:bCs/>
                <w:szCs w:val="24"/>
              </w:rPr>
              <w:t>Članak je u skladu sa Zakonom o grobljima, čl. 12., st. 3. koji glasi:</w:t>
            </w:r>
          </w:p>
          <w:p w14:paraId="1D751E4B" w14:textId="77777777" w:rsidR="00AD7F35" w:rsidRPr="00AD7F35" w:rsidRDefault="00AD7F35" w:rsidP="0070200C">
            <w:pPr>
              <w:shd w:val="clear" w:color="auto" w:fill="FFFFFF"/>
              <w:spacing w:after="150" w:line="240" w:lineRule="auto"/>
              <w:rPr>
                <w:rFonts w:eastAsia="Times New Roman" w:cs="Times New Roman"/>
                <w:color w:val="484848"/>
                <w:szCs w:val="24"/>
                <w:lang w:val="en-US"/>
              </w:rPr>
            </w:pP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Umrlog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se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može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ukopati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i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izvan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groblja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samo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uz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odobrenje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koje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daje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tijelo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jedinice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lokalne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samouprave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nadležno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za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komunalne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poslove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uz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prethodno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mišljenje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tijela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jedinice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lokalne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samouprave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nadležne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za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poslove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 xml:space="preserve"> </w:t>
            </w:r>
            <w:proofErr w:type="spellStart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zdravstva</w:t>
            </w:r>
            <w:proofErr w:type="spellEnd"/>
            <w:r w:rsidRPr="00AD7F35">
              <w:rPr>
                <w:rFonts w:eastAsia="Times New Roman" w:cs="Times New Roman"/>
                <w:color w:val="484848"/>
                <w:szCs w:val="24"/>
                <w:lang w:val="en-US"/>
              </w:rPr>
              <w:t>.</w:t>
            </w:r>
          </w:p>
          <w:p w14:paraId="3117EC01" w14:textId="77777777" w:rsidR="00AD7F35" w:rsidRPr="0070200C" w:rsidRDefault="00AD7F35" w:rsidP="0070200C">
            <w:pPr>
              <w:spacing w:before="120" w:after="120" w:line="240" w:lineRule="auto"/>
              <w:rPr>
                <w:rFonts w:eastAsia="Calibri" w:cs="Times New Roman"/>
                <w:bCs/>
                <w:szCs w:val="24"/>
              </w:rPr>
            </w:pPr>
            <w:r w:rsidRPr="00AD7F35">
              <w:rPr>
                <w:rFonts w:eastAsia="Calibri" w:cs="Times New Roman"/>
                <w:bCs/>
                <w:szCs w:val="24"/>
              </w:rPr>
              <w:lastRenderedPageBreak/>
              <w:t>Razlog ovakvog prijedloga leži u činjenici da obred prosipanja pepela izvan groblja odnosno postupak ishođenja odobrenja za prosipanje pepela pokojnika izvan groblja nije izričito reguliran niti jednim važećim Zakonom, Pravilnikom ili Odlukom.</w:t>
            </w:r>
          </w:p>
          <w:p w14:paraId="1FC24BEF" w14:textId="77777777" w:rsidR="0070200C" w:rsidRDefault="0070200C" w:rsidP="0070200C">
            <w:pPr>
              <w:spacing w:before="120" w:after="120" w:line="240" w:lineRule="auto"/>
              <w:rPr>
                <w:rFonts w:eastAsia="Calibri" w:cs="Times New Roman"/>
                <w:bCs/>
                <w:sz w:val="22"/>
              </w:rPr>
            </w:pPr>
          </w:p>
          <w:p w14:paraId="081EF169" w14:textId="77777777" w:rsidR="0070200C" w:rsidRPr="00AD7F35" w:rsidRDefault="0070200C" w:rsidP="0070200C">
            <w:pPr>
              <w:spacing w:before="120" w:after="120" w:line="240" w:lineRule="auto"/>
              <w:rPr>
                <w:rFonts w:eastAsia="Calibri" w:cs="Times New Roman"/>
                <w:bCs/>
                <w:sz w:val="22"/>
              </w:rPr>
            </w:pPr>
          </w:p>
          <w:p w14:paraId="63B3F692" w14:textId="5DD01721" w:rsidR="006A5123" w:rsidRPr="000E4A00" w:rsidRDefault="006A5123" w:rsidP="0070200C">
            <w:pPr>
              <w:spacing w:after="12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5F01F21D" w14:textId="77777777" w:rsidR="005F7829" w:rsidRDefault="005F7829" w:rsidP="0070200C">
            <w:pPr>
              <w:spacing w:before="24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lastRenderedPageBreak/>
              <w:t xml:space="preserve">Ne prihvaća se </w:t>
            </w:r>
          </w:p>
          <w:p w14:paraId="73A2C3BB" w14:textId="1F83EAE9" w:rsidR="0068152F" w:rsidRDefault="005F7829" w:rsidP="0070200C">
            <w:pPr>
              <w:spacing w:before="24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Nije potrebno Odlukom obuhvatiti predloženi članak obzirom</w:t>
            </w:r>
            <w:r w:rsidR="0068152F">
              <w:rPr>
                <w:rFonts w:eastAsia="Times New Roman" w:cs="Times New Roman"/>
                <w:szCs w:val="24"/>
                <w:lang w:eastAsia="zh-CN"/>
              </w:rPr>
              <w:t xml:space="preserve"> da p</w:t>
            </w:r>
            <w:r w:rsidR="007A081B">
              <w:rPr>
                <w:rFonts w:eastAsia="Times New Roman" w:cs="Times New Roman"/>
                <w:szCs w:val="24"/>
                <w:lang w:eastAsia="zh-CN"/>
              </w:rPr>
              <w:t>r</w:t>
            </w:r>
            <w:r w:rsidR="0068152F">
              <w:rPr>
                <w:rFonts w:eastAsia="Times New Roman" w:cs="Times New Roman"/>
                <w:szCs w:val="24"/>
                <w:lang w:eastAsia="zh-CN"/>
              </w:rPr>
              <w:t xml:space="preserve">osipanje pepela </w:t>
            </w:r>
            <w:r w:rsidR="007A081B">
              <w:rPr>
                <w:rFonts w:eastAsia="Times New Roman" w:cs="Times New Roman"/>
                <w:szCs w:val="24"/>
                <w:lang w:eastAsia="zh-CN"/>
              </w:rPr>
              <w:t>nije</w:t>
            </w:r>
            <w:r w:rsidR="0068152F">
              <w:rPr>
                <w:rFonts w:eastAsia="Times New Roman" w:cs="Times New Roman"/>
                <w:szCs w:val="24"/>
                <w:lang w:eastAsia="zh-CN"/>
              </w:rPr>
              <w:t xml:space="preserve"> komunalna djelatnost sukladno članku 24. stavak 1. Zakona o komunalnom gospodarstvu, već </w:t>
            </w:r>
            <w:proofErr w:type="spellStart"/>
            <w:r w:rsidR="0068152F">
              <w:rPr>
                <w:rFonts w:eastAsia="Times New Roman" w:cs="Times New Roman"/>
                <w:szCs w:val="24"/>
                <w:lang w:eastAsia="zh-CN"/>
              </w:rPr>
              <w:t>pogrebnička</w:t>
            </w:r>
            <w:proofErr w:type="spellEnd"/>
            <w:r w:rsidR="0068152F">
              <w:rPr>
                <w:rFonts w:eastAsia="Times New Roman" w:cs="Times New Roman"/>
                <w:szCs w:val="24"/>
                <w:lang w:eastAsia="zh-CN"/>
              </w:rPr>
              <w:t xml:space="preserve"> djelatnost definirana člankom 8. stavak 1. Zakona o </w:t>
            </w:r>
            <w:proofErr w:type="spellStart"/>
            <w:r w:rsidR="0068152F">
              <w:rPr>
                <w:rFonts w:eastAsia="Times New Roman" w:cs="Times New Roman"/>
                <w:szCs w:val="24"/>
                <w:lang w:eastAsia="zh-CN"/>
              </w:rPr>
              <w:t>pogrebničkoj</w:t>
            </w:r>
            <w:proofErr w:type="spellEnd"/>
            <w:r w:rsidR="0068152F">
              <w:rPr>
                <w:rFonts w:eastAsia="Times New Roman" w:cs="Times New Roman"/>
                <w:szCs w:val="24"/>
                <w:lang w:eastAsia="zh-CN"/>
              </w:rPr>
              <w:t xml:space="preserve"> djelatnosti.</w:t>
            </w:r>
          </w:p>
          <w:p w14:paraId="6EA76D32" w14:textId="287216AF" w:rsidR="006A5123" w:rsidRPr="005F7829" w:rsidRDefault="005F7829" w:rsidP="0070200C">
            <w:pPr>
              <w:spacing w:before="24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</w:p>
        </w:tc>
      </w:tr>
      <w:tr w:rsidR="006A5123" w:rsidRPr="00554CCE" w14:paraId="7D6BFF8A" w14:textId="77777777" w:rsidTr="006A5123">
        <w:trPr>
          <w:trHeight w:val="1691"/>
        </w:trPr>
        <w:tc>
          <w:tcPr>
            <w:tcW w:w="984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F702E7" w14:textId="3010443E" w:rsidR="006A5123" w:rsidRPr="00554CCE" w:rsidRDefault="006A5123" w:rsidP="006A5123">
            <w:pPr>
              <w:spacing w:after="12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zh-CN"/>
              </w:rPr>
              <w:t>2.</w:t>
            </w:r>
          </w:p>
        </w:tc>
        <w:tc>
          <w:tcPr>
            <w:tcW w:w="2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3B870BD" w14:textId="77777777" w:rsidR="00F76A7F" w:rsidRPr="00F76A7F" w:rsidRDefault="00F76A7F" w:rsidP="00F76A7F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F76A7F">
              <w:rPr>
                <w:rFonts w:eastAsia="Times New Roman" w:cs="Times New Roman"/>
                <w:szCs w:val="24"/>
                <w:lang w:eastAsia="zh-CN"/>
              </w:rPr>
              <w:t>Zaprimljeno 06.04.2024.</w:t>
            </w:r>
          </w:p>
          <w:p w14:paraId="0B3735E2" w14:textId="55C9A593" w:rsidR="006A5123" w:rsidRPr="00F76A7F" w:rsidRDefault="00F76A7F" w:rsidP="00F76A7F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F76A7F">
              <w:rPr>
                <w:rFonts w:eastAsia="Times New Roman" w:cs="Times New Roman"/>
                <w:szCs w:val="24"/>
                <w:lang w:eastAsia="zh-CN"/>
              </w:rPr>
              <w:t>Dean Maras</w:t>
            </w:r>
          </w:p>
        </w:tc>
        <w:tc>
          <w:tcPr>
            <w:tcW w:w="823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DB33042" w14:textId="77777777" w:rsidR="00F76A7F" w:rsidRPr="006379C8" w:rsidRDefault="00F76A7F" w:rsidP="00F76A7F">
            <w:pPr>
              <w:rPr>
                <w:rFonts w:cs="Times New Roman"/>
                <w:szCs w:val="24"/>
                <w:lang w:eastAsia="hr-HR"/>
              </w:rPr>
            </w:pPr>
            <w:r w:rsidRPr="006379C8">
              <w:rPr>
                <w:rFonts w:cs="Times New Roman"/>
                <w:szCs w:val="24"/>
              </w:rPr>
              <w:t>Poštovani,</w:t>
            </w:r>
          </w:p>
          <w:p w14:paraId="0E4F35C3" w14:textId="77777777" w:rsidR="00F76A7F" w:rsidRPr="006379C8" w:rsidRDefault="00F76A7F" w:rsidP="00F76A7F">
            <w:pPr>
              <w:rPr>
                <w:rFonts w:cs="Times New Roman"/>
                <w:szCs w:val="24"/>
              </w:rPr>
            </w:pPr>
            <w:r w:rsidRPr="006379C8">
              <w:rPr>
                <w:rFonts w:cs="Times New Roman"/>
                <w:szCs w:val="24"/>
              </w:rPr>
              <w:t>Prijedlog: Da se na Monte Giru izgradi krematoriji. </w:t>
            </w:r>
          </w:p>
          <w:p w14:paraId="0FCE2EF8" w14:textId="77777777" w:rsidR="00F76A7F" w:rsidRPr="006379C8" w:rsidRDefault="00F76A7F" w:rsidP="00F76A7F">
            <w:pPr>
              <w:rPr>
                <w:rFonts w:cs="Times New Roman"/>
                <w:szCs w:val="24"/>
              </w:rPr>
            </w:pPr>
            <w:r w:rsidRPr="006379C8">
              <w:rPr>
                <w:rFonts w:cs="Times New Roman"/>
                <w:szCs w:val="24"/>
              </w:rPr>
              <w:t>Dugoročnije je rješenje nego da se groblje širi beskonačno.</w:t>
            </w:r>
          </w:p>
          <w:p w14:paraId="73EC8B40" w14:textId="77777777" w:rsidR="00F76A7F" w:rsidRPr="006379C8" w:rsidRDefault="00F76A7F" w:rsidP="00F76A7F">
            <w:pPr>
              <w:rPr>
                <w:rFonts w:cs="Times New Roman"/>
                <w:szCs w:val="24"/>
              </w:rPr>
            </w:pPr>
            <w:r w:rsidRPr="006379C8">
              <w:rPr>
                <w:rFonts w:cs="Times New Roman"/>
                <w:szCs w:val="24"/>
              </w:rPr>
              <w:t>Postavite upitnik na stranicama Grada Pule i/ili na neke medije. "Ste za krematoriji na Monte Giru?" Iznenaditi ćete se sa rezultatima i velikim brojem građana koji bi podržali ovaj prijedlog.</w:t>
            </w:r>
          </w:p>
          <w:p w14:paraId="54A70811" w14:textId="77777777" w:rsidR="00F76A7F" w:rsidRPr="006379C8" w:rsidRDefault="00F76A7F" w:rsidP="00F76A7F">
            <w:pPr>
              <w:rPr>
                <w:rFonts w:cs="Times New Roman"/>
                <w:szCs w:val="24"/>
              </w:rPr>
            </w:pPr>
            <w:r w:rsidRPr="006379C8">
              <w:rPr>
                <w:rFonts w:cs="Times New Roman"/>
                <w:szCs w:val="24"/>
              </w:rPr>
              <w:t>Zahvaljujem unaprijed </w:t>
            </w:r>
          </w:p>
          <w:p w14:paraId="26ED4AB8" w14:textId="77777777" w:rsidR="00F76A7F" w:rsidRPr="006379C8" w:rsidRDefault="00F76A7F" w:rsidP="00F76A7F">
            <w:pPr>
              <w:rPr>
                <w:rFonts w:cs="Times New Roman"/>
                <w:szCs w:val="24"/>
              </w:rPr>
            </w:pPr>
            <w:r w:rsidRPr="006379C8">
              <w:rPr>
                <w:rFonts w:cs="Times New Roman"/>
                <w:szCs w:val="24"/>
              </w:rPr>
              <w:t>Srdačan pozdrav </w:t>
            </w:r>
          </w:p>
          <w:p w14:paraId="785846D0" w14:textId="77777777" w:rsidR="00F76A7F" w:rsidRPr="006379C8" w:rsidRDefault="00F76A7F" w:rsidP="00F76A7F">
            <w:pPr>
              <w:rPr>
                <w:rFonts w:cs="Times New Roman"/>
                <w:szCs w:val="24"/>
              </w:rPr>
            </w:pPr>
            <w:r w:rsidRPr="006379C8">
              <w:rPr>
                <w:rFonts w:cs="Times New Roman"/>
                <w:szCs w:val="24"/>
              </w:rPr>
              <w:t>Dean Maras </w:t>
            </w:r>
          </w:p>
          <w:p w14:paraId="601ACA09" w14:textId="77777777" w:rsidR="006A5123" w:rsidRPr="00F76A7F" w:rsidRDefault="006A5123" w:rsidP="006A5123">
            <w:pPr>
              <w:spacing w:after="12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vAlign w:val="center"/>
          </w:tcPr>
          <w:p w14:paraId="70623C44" w14:textId="77777777" w:rsidR="00F76A7F" w:rsidRPr="006379C8" w:rsidRDefault="00F76A7F" w:rsidP="00F76A7F">
            <w:pPr>
              <w:spacing w:after="120" w:line="240" w:lineRule="auto"/>
              <w:rPr>
                <w:rFonts w:cs="Times New Roman"/>
                <w:szCs w:val="24"/>
              </w:rPr>
            </w:pPr>
            <w:r w:rsidRPr="006379C8">
              <w:rPr>
                <w:rFonts w:cs="Times New Roman"/>
                <w:szCs w:val="24"/>
              </w:rPr>
              <w:t>Ne prihvaća se</w:t>
            </w:r>
          </w:p>
          <w:p w14:paraId="2DE25F66" w14:textId="77777777" w:rsidR="006379C8" w:rsidRDefault="006379C8" w:rsidP="006379C8">
            <w:pPr>
              <w:rPr>
                <w:sz w:val="22"/>
              </w:rPr>
            </w:pPr>
            <w:r>
              <w:t>Prijedlog se ne prihvaća budući sama izgradnja groblja i krematorija nije</w:t>
            </w:r>
          </w:p>
          <w:p w14:paraId="60728958" w14:textId="77777777" w:rsidR="006379C8" w:rsidRDefault="006379C8" w:rsidP="006379C8">
            <w:r>
              <w:t>predmet Odluke o grobljima, kao ni njezinih izmjena, već Programa građenja komunalne infrastrukture</w:t>
            </w:r>
          </w:p>
          <w:p w14:paraId="7EC5982D" w14:textId="046A841D" w:rsidR="00D3475F" w:rsidRPr="00D3475F" w:rsidRDefault="00D3475F" w:rsidP="00D3475F">
            <w:pPr>
              <w:spacing w:before="240" w:line="240" w:lineRule="auto"/>
              <w:rPr>
                <w:rFonts w:eastAsia="Times New Roman" w:cs="Times New Roman"/>
                <w:szCs w:val="24"/>
                <w:highlight w:val="lightGray"/>
                <w:lang w:eastAsia="zh-CN"/>
              </w:rPr>
            </w:pPr>
          </w:p>
        </w:tc>
      </w:tr>
    </w:tbl>
    <w:p w14:paraId="5954978D" w14:textId="77777777" w:rsidR="00472A5B" w:rsidRPr="00554CCE" w:rsidRDefault="00472A5B" w:rsidP="006D0278"/>
    <w:sectPr w:rsidR="00472A5B" w:rsidRPr="00554CCE" w:rsidSect="00557F53">
      <w:pgSz w:w="16840" w:h="11910" w:orient="landscape" w:code="9"/>
      <w:pgMar w:top="1134" w:right="840" w:bottom="1418" w:left="1380" w:header="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7DA41" w14:textId="77777777" w:rsidR="0011068D" w:rsidRDefault="0011068D" w:rsidP="00C07820">
      <w:pPr>
        <w:spacing w:after="0" w:line="240" w:lineRule="auto"/>
      </w:pPr>
      <w:r>
        <w:separator/>
      </w:r>
    </w:p>
  </w:endnote>
  <w:endnote w:type="continuationSeparator" w:id="0">
    <w:p w14:paraId="71744211" w14:textId="77777777" w:rsidR="0011068D" w:rsidRDefault="0011068D" w:rsidP="00C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C5ED" w14:textId="77777777" w:rsidR="0011068D" w:rsidRDefault="0011068D" w:rsidP="00C07820">
      <w:pPr>
        <w:spacing w:after="0" w:line="240" w:lineRule="auto"/>
      </w:pPr>
      <w:r>
        <w:separator/>
      </w:r>
    </w:p>
  </w:footnote>
  <w:footnote w:type="continuationSeparator" w:id="0">
    <w:p w14:paraId="49D85F1A" w14:textId="77777777" w:rsidR="0011068D" w:rsidRDefault="0011068D" w:rsidP="00C0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93C7B"/>
    <w:multiLevelType w:val="hybridMultilevel"/>
    <w:tmpl w:val="63807C3C"/>
    <w:lvl w:ilvl="0" w:tplc="D7BE51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70792"/>
    <w:multiLevelType w:val="hybridMultilevel"/>
    <w:tmpl w:val="07BE4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F8EE5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0D6E"/>
    <w:multiLevelType w:val="hybridMultilevel"/>
    <w:tmpl w:val="CBC0FF70"/>
    <w:lvl w:ilvl="0" w:tplc="820CA7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148419">
    <w:abstractNumId w:val="2"/>
  </w:num>
  <w:num w:numId="2" w16cid:durableId="52042054">
    <w:abstractNumId w:val="1"/>
  </w:num>
  <w:num w:numId="3" w16cid:durableId="64304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44CA"/>
    <w:rsid w:val="000222E3"/>
    <w:rsid w:val="000254EE"/>
    <w:rsid w:val="00026D7F"/>
    <w:rsid w:val="000316D7"/>
    <w:rsid w:val="00035EF8"/>
    <w:rsid w:val="00036AF1"/>
    <w:rsid w:val="0005707D"/>
    <w:rsid w:val="00067970"/>
    <w:rsid w:val="00093CFA"/>
    <w:rsid w:val="000A060C"/>
    <w:rsid w:val="000A289E"/>
    <w:rsid w:val="000A553A"/>
    <w:rsid w:val="000B0B68"/>
    <w:rsid w:val="000B6361"/>
    <w:rsid w:val="000C112A"/>
    <w:rsid w:val="000E4A00"/>
    <w:rsid w:val="000E6CC8"/>
    <w:rsid w:val="0011068D"/>
    <w:rsid w:val="001116C3"/>
    <w:rsid w:val="001211C4"/>
    <w:rsid w:val="00144C05"/>
    <w:rsid w:val="001525BB"/>
    <w:rsid w:val="001529EE"/>
    <w:rsid w:val="00167701"/>
    <w:rsid w:val="00191D84"/>
    <w:rsid w:val="00193D55"/>
    <w:rsid w:val="001A078C"/>
    <w:rsid w:val="001A56E2"/>
    <w:rsid w:val="001B1437"/>
    <w:rsid w:val="001B5350"/>
    <w:rsid w:val="001D5B36"/>
    <w:rsid w:val="001F0AB0"/>
    <w:rsid w:val="001F34B0"/>
    <w:rsid w:val="001F5FDF"/>
    <w:rsid w:val="00207A13"/>
    <w:rsid w:val="00226220"/>
    <w:rsid w:val="00231129"/>
    <w:rsid w:val="00235093"/>
    <w:rsid w:val="0027425C"/>
    <w:rsid w:val="002A0A9C"/>
    <w:rsid w:val="002B17C9"/>
    <w:rsid w:val="002B4B2D"/>
    <w:rsid w:val="002B64AC"/>
    <w:rsid w:val="002E1A78"/>
    <w:rsid w:val="002E1DE0"/>
    <w:rsid w:val="002E487F"/>
    <w:rsid w:val="002F32A8"/>
    <w:rsid w:val="003128AD"/>
    <w:rsid w:val="00365EC9"/>
    <w:rsid w:val="0036657D"/>
    <w:rsid w:val="0036707F"/>
    <w:rsid w:val="003A5B39"/>
    <w:rsid w:val="003B0809"/>
    <w:rsid w:val="003B4E83"/>
    <w:rsid w:val="003B7AB7"/>
    <w:rsid w:val="003D2C63"/>
    <w:rsid w:val="003D2CEA"/>
    <w:rsid w:val="003D714F"/>
    <w:rsid w:val="003E283D"/>
    <w:rsid w:val="003E40E5"/>
    <w:rsid w:val="003F7626"/>
    <w:rsid w:val="004133C5"/>
    <w:rsid w:val="004136CA"/>
    <w:rsid w:val="00414951"/>
    <w:rsid w:val="0046208D"/>
    <w:rsid w:val="004654A5"/>
    <w:rsid w:val="0047016E"/>
    <w:rsid w:val="004708EC"/>
    <w:rsid w:val="00472A5B"/>
    <w:rsid w:val="004762D4"/>
    <w:rsid w:val="004B2F21"/>
    <w:rsid w:val="004C1029"/>
    <w:rsid w:val="004E1C46"/>
    <w:rsid w:val="00507D8B"/>
    <w:rsid w:val="00520C0F"/>
    <w:rsid w:val="00534446"/>
    <w:rsid w:val="0055262D"/>
    <w:rsid w:val="00554CCE"/>
    <w:rsid w:val="0055662F"/>
    <w:rsid w:val="00557F53"/>
    <w:rsid w:val="00574A64"/>
    <w:rsid w:val="005921A4"/>
    <w:rsid w:val="005959C6"/>
    <w:rsid w:val="00597FB5"/>
    <w:rsid w:val="005A51C2"/>
    <w:rsid w:val="005D4167"/>
    <w:rsid w:val="005E03E9"/>
    <w:rsid w:val="005F1074"/>
    <w:rsid w:val="005F638D"/>
    <w:rsid w:val="005F7829"/>
    <w:rsid w:val="00620010"/>
    <w:rsid w:val="006379C8"/>
    <w:rsid w:val="0064434E"/>
    <w:rsid w:val="00663EFB"/>
    <w:rsid w:val="006728FE"/>
    <w:rsid w:val="00674EFD"/>
    <w:rsid w:val="0068152F"/>
    <w:rsid w:val="00691137"/>
    <w:rsid w:val="006A212A"/>
    <w:rsid w:val="006A21CB"/>
    <w:rsid w:val="006A5123"/>
    <w:rsid w:val="006A6F6C"/>
    <w:rsid w:val="006C3BAB"/>
    <w:rsid w:val="006D0278"/>
    <w:rsid w:val="006D70D8"/>
    <w:rsid w:val="0070200C"/>
    <w:rsid w:val="00721CA0"/>
    <w:rsid w:val="00727D38"/>
    <w:rsid w:val="00730389"/>
    <w:rsid w:val="0074133C"/>
    <w:rsid w:val="00745252"/>
    <w:rsid w:val="007464C5"/>
    <w:rsid w:val="007508A6"/>
    <w:rsid w:val="00767DCF"/>
    <w:rsid w:val="0078062A"/>
    <w:rsid w:val="007A081B"/>
    <w:rsid w:val="007B7C3E"/>
    <w:rsid w:val="007C1B68"/>
    <w:rsid w:val="007C1FEA"/>
    <w:rsid w:val="007E0403"/>
    <w:rsid w:val="007E0CB9"/>
    <w:rsid w:val="007E298A"/>
    <w:rsid w:val="007E4CBE"/>
    <w:rsid w:val="00822594"/>
    <w:rsid w:val="00830EF1"/>
    <w:rsid w:val="00835496"/>
    <w:rsid w:val="00850880"/>
    <w:rsid w:val="008839FE"/>
    <w:rsid w:val="00896259"/>
    <w:rsid w:val="008A349F"/>
    <w:rsid w:val="008A7687"/>
    <w:rsid w:val="008E0508"/>
    <w:rsid w:val="008F35EF"/>
    <w:rsid w:val="00921417"/>
    <w:rsid w:val="00923A1D"/>
    <w:rsid w:val="00933579"/>
    <w:rsid w:val="0094090F"/>
    <w:rsid w:val="0097073F"/>
    <w:rsid w:val="00973BA7"/>
    <w:rsid w:val="0098252A"/>
    <w:rsid w:val="009870A4"/>
    <w:rsid w:val="009925C3"/>
    <w:rsid w:val="00997AEA"/>
    <w:rsid w:val="00A0653A"/>
    <w:rsid w:val="00A42359"/>
    <w:rsid w:val="00A56225"/>
    <w:rsid w:val="00A76ABA"/>
    <w:rsid w:val="00A77799"/>
    <w:rsid w:val="00A80486"/>
    <w:rsid w:val="00A94543"/>
    <w:rsid w:val="00AD7F35"/>
    <w:rsid w:val="00B0464E"/>
    <w:rsid w:val="00B26A34"/>
    <w:rsid w:val="00B27FDA"/>
    <w:rsid w:val="00B30B89"/>
    <w:rsid w:val="00B443D7"/>
    <w:rsid w:val="00B574AE"/>
    <w:rsid w:val="00B70243"/>
    <w:rsid w:val="00B73330"/>
    <w:rsid w:val="00B8268C"/>
    <w:rsid w:val="00BA2674"/>
    <w:rsid w:val="00BB42D7"/>
    <w:rsid w:val="00BC0DE1"/>
    <w:rsid w:val="00BD23C3"/>
    <w:rsid w:val="00BE437C"/>
    <w:rsid w:val="00BE6D92"/>
    <w:rsid w:val="00BE7068"/>
    <w:rsid w:val="00C07076"/>
    <w:rsid w:val="00C07820"/>
    <w:rsid w:val="00C13D45"/>
    <w:rsid w:val="00C30027"/>
    <w:rsid w:val="00C366F5"/>
    <w:rsid w:val="00C42EE4"/>
    <w:rsid w:val="00C70922"/>
    <w:rsid w:val="00C75E48"/>
    <w:rsid w:val="00C869D7"/>
    <w:rsid w:val="00C87E4A"/>
    <w:rsid w:val="00CA0194"/>
    <w:rsid w:val="00CA1640"/>
    <w:rsid w:val="00CE47E1"/>
    <w:rsid w:val="00CF5EDA"/>
    <w:rsid w:val="00D105AB"/>
    <w:rsid w:val="00D3475F"/>
    <w:rsid w:val="00D37D1B"/>
    <w:rsid w:val="00D52BC7"/>
    <w:rsid w:val="00D5301E"/>
    <w:rsid w:val="00D60789"/>
    <w:rsid w:val="00D63D5D"/>
    <w:rsid w:val="00D92B7D"/>
    <w:rsid w:val="00D95616"/>
    <w:rsid w:val="00DD09B8"/>
    <w:rsid w:val="00DD3692"/>
    <w:rsid w:val="00DE7E3F"/>
    <w:rsid w:val="00DF3995"/>
    <w:rsid w:val="00DF4284"/>
    <w:rsid w:val="00E002DF"/>
    <w:rsid w:val="00E1517D"/>
    <w:rsid w:val="00E24CDA"/>
    <w:rsid w:val="00E305CF"/>
    <w:rsid w:val="00E30F57"/>
    <w:rsid w:val="00E35AA7"/>
    <w:rsid w:val="00E3764E"/>
    <w:rsid w:val="00E67F39"/>
    <w:rsid w:val="00E93977"/>
    <w:rsid w:val="00EB3C83"/>
    <w:rsid w:val="00F017FF"/>
    <w:rsid w:val="00F13749"/>
    <w:rsid w:val="00F17382"/>
    <w:rsid w:val="00F17F27"/>
    <w:rsid w:val="00F21E37"/>
    <w:rsid w:val="00F30835"/>
    <w:rsid w:val="00F34F0B"/>
    <w:rsid w:val="00F3752C"/>
    <w:rsid w:val="00F57A89"/>
    <w:rsid w:val="00F61A63"/>
    <w:rsid w:val="00F62AC5"/>
    <w:rsid w:val="00F7198E"/>
    <w:rsid w:val="00F71F2A"/>
    <w:rsid w:val="00F74FEE"/>
    <w:rsid w:val="00F7572F"/>
    <w:rsid w:val="00F76A7F"/>
    <w:rsid w:val="00F80872"/>
    <w:rsid w:val="00F95C8A"/>
    <w:rsid w:val="00F9707F"/>
    <w:rsid w:val="00FA4296"/>
    <w:rsid w:val="00FB7C72"/>
    <w:rsid w:val="00FC2282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A068"/>
  <w15:docId w15:val="{6087B95B-138A-4CB1-ADFE-6F92540FD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2311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0782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0782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elementtoproof">
    <w:name w:val="elementtoproof"/>
    <w:basedOn w:val="Zadanifontodlomka"/>
    <w:rsid w:val="00F95C8A"/>
  </w:style>
  <w:style w:type="paragraph" w:styleId="Odlomakpopisa">
    <w:name w:val="List Paragraph"/>
    <w:basedOn w:val="Normal"/>
    <w:uiPriority w:val="34"/>
    <w:qFormat/>
    <w:rsid w:val="0002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la.hr/hr/eusluge/ekonzultacije/ekonzultacije-u-tijeku/134/nacrt-prijedloga-odluke-o-izmjenama-i-dopunama-odluke-o-groblji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Marko.Grgic@pula.hr</dc:creator>
  <cp:lastModifiedBy>Jukić Elizabeta</cp:lastModifiedBy>
  <cp:revision>50</cp:revision>
  <cp:lastPrinted>2023-03-16T11:27:00Z</cp:lastPrinted>
  <dcterms:created xsi:type="dcterms:W3CDTF">2024-04-23T13:17:00Z</dcterms:created>
  <dcterms:modified xsi:type="dcterms:W3CDTF">2024-05-03T07:43:00Z</dcterms:modified>
</cp:coreProperties>
</file>