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67" w:rsidRDefault="00D14267" w:rsidP="00D14267">
      <w:pPr>
        <w:jc w:val="both"/>
      </w:pPr>
      <w:r>
        <w:t xml:space="preserve">     Na temelju članka 20. i članka 42. stavka 1. Zakona o lokalnim porezima („Narodne novine“ br. 115/16 i 101/17) i članka 39. Statuta Grada Pula - Pola („Službene novine“ Grada Pule br.</w:t>
      </w:r>
      <w:r w:rsidRPr="00814AE9">
        <w:t xml:space="preserve"> 7/09, 16/09, 12/11, 1/13, 2/18,  2/20, 4/21 i 5/21 - pročišćeni tekst),</w:t>
      </w:r>
      <w:r w:rsidRPr="00C51212">
        <w:rPr>
          <w:color w:val="000000" w:themeColor="text1"/>
        </w:rPr>
        <w:t xml:space="preserve"> </w:t>
      </w:r>
      <w:r>
        <w:t xml:space="preserve"> Gradsko vijeće Grada Pule na sjednici održanoj dana ----------- godine, donosi </w:t>
      </w:r>
    </w:p>
    <w:p w:rsidR="00D14267" w:rsidRDefault="00D14267" w:rsidP="00D14267">
      <w:pPr>
        <w:jc w:val="both"/>
      </w:pPr>
    </w:p>
    <w:p w:rsidR="00D14267" w:rsidRDefault="00D14267" w:rsidP="00D14267">
      <w:pPr>
        <w:jc w:val="both"/>
      </w:pPr>
    </w:p>
    <w:p w:rsidR="00D14267" w:rsidRDefault="00D14267" w:rsidP="00D14267">
      <w:pPr>
        <w:jc w:val="both"/>
      </w:pPr>
    </w:p>
    <w:p w:rsidR="00D14267" w:rsidRDefault="00EC04AE" w:rsidP="00D14267">
      <w:pPr>
        <w:jc w:val="center"/>
        <w:rPr>
          <w:b/>
        </w:rPr>
      </w:pPr>
      <w:r>
        <w:rPr>
          <w:b/>
        </w:rPr>
        <w:t>Odluku o izmjenama i dopunama</w:t>
      </w:r>
    </w:p>
    <w:p w:rsidR="00D14267" w:rsidRDefault="00D14267" w:rsidP="00D14267">
      <w:pPr>
        <w:jc w:val="center"/>
        <w:rPr>
          <w:b/>
        </w:rPr>
      </w:pPr>
      <w:r>
        <w:rPr>
          <w:b/>
        </w:rPr>
        <w:t xml:space="preserve"> Odluke o lokalnim porezima Grada Pula </w:t>
      </w:r>
      <w:r w:rsidR="00EC04AE">
        <w:rPr>
          <w:b/>
        </w:rPr>
        <w:t>-</w:t>
      </w:r>
      <w:r>
        <w:rPr>
          <w:b/>
        </w:rPr>
        <w:t xml:space="preserve"> Pola</w:t>
      </w:r>
    </w:p>
    <w:p w:rsidR="00D14267" w:rsidRDefault="00D14267" w:rsidP="00D14267">
      <w:pPr>
        <w:jc w:val="center"/>
        <w:rPr>
          <w:b/>
        </w:rPr>
      </w:pPr>
    </w:p>
    <w:p w:rsidR="00D14267" w:rsidRDefault="00D14267" w:rsidP="00D14267">
      <w:pPr>
        <w:jc w:val="center"/>
        <w:rPr>
          <w:b/>
        </w:rPr>
      </w:pPr>
    </w:p>
    <w:p w:rsidR="00D14267" w:rsidRDefault="00D14267" w:rsidP="00D14267">
      <w:pPr>
        <w:jc w:val="center"/>
        <w:rPr>
          <w:b/>
        </w:rPr>
      </w:pPr>
      <w:r>
        <w:rPr>
          <w:b/>
        </w:rPr>
        <w:t>Članak 1.</w:t>
      </w:r>
    </w:p>
    <w:p w:rsidR="00D14267" w:rsidRDefault="00D14267" w:rsidP="00D14267">
      <w:pPr>
        <w:jc w:val="center"/>
        <w:rPr>
          <w:b/>
        </w:rPr>
      </w:pPr>
    </w:p>
    <w:p w:rsidR="00D14267" w:rsidRDefault="00D14267" w:rsidP="00D14267">
      <w:pPr>
        <w:spacing w:before="120"/>
        <w:jc w:val="both"/>
      </w:pPr>
      <w:r>
        <w:t xml:space="preserve">      U Odluci o lokalnim porezima Grada Pula-Pola („Narodne novine“ br. 60/17, 126/17 i 148/20), članak 19. mijenja se i glasi:</w:t>
      </w:r>
    </w:p>
    <w:p w:rsidR="00D14267" w:rsidRDefault="00D14267" w:rsidP="00D14267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>
        <w:rPr>
          <w:color w:val="000000"/>
        </w:rPr>
        <w:t>„Porez na korištenje javnih površina za postavljanje ugostiteljskih terasa utvrđuje se kako slijedi:</w:t>
      </w:r>
    </w:p>
    <w:tbl>
      <w:tblPr>
        <w:tblW w:w="4600" w:type="pct"/>
        <w:tblCellMar>
          <w:left w:w="0" w:type="dxa"/>
          <w:right w:w="0" w:type="dxa"/>
        </w:tblCellMar>
        <w:tblLook w:val="00BF"/>
      </w:tblPr>
      <w:tblGrid>
        <w:gridCol w:w="2557"/>
        <w:gridCol w:w="1557"/>
        <w:gridCol w:w="1416"/>
        <w:gridCol w:w="1415"/>
        <w:gridCol w:w="1416"/>
      </w:tblGrid>
      <w:tr w:rsidR="00D14267" w:rsidTr="00D14267">
        <w:trPr>
          <w:trHeight w:val="737"/>
        </w:trPr>
        <w:tc>
          <w:tcPr>
            <w:tcW w:w="152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Vrsta ugostiteljske terase s</w:t>
            </w:r>
            <w:r>
              <w:rPr>
                <w:b/>
                <w:color w:val="000000"/>
              </w:rPr>
              <w:br/>
              <w:t>obzirom na razdoblje postavljanja</w:t>
            </w:r>
          </w:p>
        </w:tc>
        <w:tc>
          <w:tcPr>
            <w:tcW w:w="34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Mjesečni iznos poreza u kunama po m2</w:t>
            </w:r>
          </w:p>
        </w:tc>
      </w:tr>
      <w:tr w:rsidR="00D14267" w:rsidTr="00D14267">
        <w:trPr>
          <w:trHeight w:val="73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4267" w:rsidRDefault="00D14267">
            <w:pPr>
              <w:rPr>
                <w:b/>
                <w:color w:val="000000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Zona visoke frekventnosti unutar I. zone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I. zona – izvan zone visoke frekventnosti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 zona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III. zona</w:t>
            </w:r>
          </w:p>
        </w:tc>
      </w:tr>
      <w:tr w:rsidR="00D14267" w:rsidTr="00D14267">
        <w:trPr>
          <w:trHeight w:val="737"/>
        </w:trPr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Godišnja (stalna)</w:t>
            </w:r>
          </w:p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(01. 01. -  31. 12.)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D14267" w:rsidTr="00D14267">
        <w:trPr>
          <w:trHeight w:val="737"/>
        </w:trPr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Sezonska </w:t>
            </w:r>
          </w:p>
          <w:p w:rsidR="00D14267" w:rsidRDefault="00D14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(01.03.- 31.10.)</w:t>
            </w:r>
          </w:p>
          <w:p w:rsidR="00D14267" w:rsidRDefault="00D14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(01.03.- 30.11.)</w:t>
            </w:r>
          </w:p>
          <w:p w:rsidR="00D14267" w:rsidRDefault="00D1426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(01.04.- 31.10.)</w:t>
            </w:r>
          </w:p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strike/>
                <w:color w:val="000000"/>
              </w:rPr>
            </w:pPr>
            <w:r>
              <w:rPr>
                <w:color w:val="000000"/>
              </w:rPr>
              <w:t>(01.04.- 31.11.)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110,00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D14267" w:rsidTr="00D14267">
        <w:trPr>
          <w:trHeight w:val="737"/>
        </w:trPr>
        <w:tc>
          <w:tcPr>
            <w:tcW w:w="15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Sezonska</w:t>
            </w:r>
          </w:p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(01. 06. – </w:t>
            </w:r>
            <w:r>
              <w:t>30. 09.)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8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14267" w:rsidRDefault="00D14267">
            <w:pPr>
              <w:keepNext/>
              <w:keepLines/>
              <w:autoSpaceDE w:val="0"/>
              <w:autoSpaceDN w:val="0"/>
              <w:adjustRightInd w:val="0"/>
              <w:ind w:left="15"/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</w:tbl>
    <w:p w:rsidR="00D14267" w:rsidRDefault="00D14267" w:rsidP="00D14267"/>
    <w:p w:rsidR="00D14267" w:rsidRDefault="00D14267" w:rsidP="00D14267"/>
    <w:p w:rsidR="00D14267" w:rsidRDefault="00D14267" w:rsidP="00D14267">
      <w:pPr>
        <w:jc w:val="both"/>
      </w:pPr>
      <w:r>
        <w:t xml:space="preserve">Rješenje o porezu na korištenje javne površine za postavljanje ugostiteljske terase može se izdati: </w:t>
      </w:r>
    </w:p>
    <w:p w:rsidR="00D14267" w:rsidRDefault="00D14267" w:rsidP="00D1426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1.01. do 31.12. /stalna terasa/ za ukupnu površinu terase, ili manju, i to za najviše 50% od ukupne površine terase predviđene Planom rasporeda ugostiteljskih terasa u izvansezonskom razdoblju (prosinac, siječanj, veljača i ožujak), i s time da se mogućnost umanjenja površine stalne terase za 50% odnosi samo na dio terase koji je od osi najduže stranice terase najudaljeniji od ulaza u ugostiteljski objekt.</w:t>
      </w:r>
    </w:p>
    <w:p w:rsidR="00D14267" w:rsidRDefault="00D14267" w:rsidP="00D1426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01.03. do 31.10 /sezonsko razdoblje prošireno za pet mjeseca/ (ožujak, travanj,svibanj, rujan i listopad) za ukupnu površinu terase predviđene Planom,</w:t>
      </w:r>
    </w:p>
    <w:p w:rsidR="00D14267" w:rsidRDefault="00D14267" w:rsidP="00D1426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01.03. do 30.11 /sezonsko razdoblje prošireno za šest mjeseca/ (ožujak, travanj,svibanj, rujan, listopad i studeni) za ukupnu površinu terase predviđene Planom,</w:t>
      </w:r>
    </w:p>
    <w:p w:rsidR="00D14267" w:rsidRDefault="00D14267" w:rsidP="00D1426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od 01.04. do 31.10. /sezonsko razdoblje prošireno za četiri mjeseca/ (travanj, svibanj i rujan, listopad) za ukupnu površinu terase predviđene Planom</w:t>
      </w:r>
    </w:p>
    <w:p w:rsidR="00D14267" w:rsidRDefault="00D14267" w:rsidP="00D1426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01.04. do 30.11. /sezonsko razdoblje prošireno za pet mjeseca/ (travanj, svibanj i rujan, listopad i studeni) za ukupnu površinu terase predviđene Planom, </w:t>
      </w:r>
    </w:p>
    <w:p w:rsidR="00D14267" w:rsidRDefault="00D14267" w:rsidP="00D14267">
      <w:pPr>
        <w:pStyle w:val="NoSpacing"/>
        <w:numPr>
          <w:ilvl w:val="0"/>
          <w:numId w:val="2"/>
        </w:numPr>
        <w:ind w:left="709" w:hanging="425"/>
        <w:rPr>
          <w:sz w:val="24"/>
          <w:szCs w:val="24"/>
        </w:rPr>
      </w:pPr>
      <w:r>
        <w:rPr>
          <w:sz w:val="24"/>
          <w:szCs w:val="24"/>
        </w:rPr>
        <w:t>od 01.06. do 30.09. /sezonsko razdoblje/, za ukupnu površinu terase predviđene Planom.“</w:t>
      </w:r>
    </w:p>
    <w:p w:rsidR="00D14267" w:rsidRDefault="00D14267" w:rsidP="00D14267">
      <w:pPr>
        <w:pStyle w:val="NoSpacing"/>
        <w:rPr>
          <w:b/>
        </w:rPr>
      </w:pPr>
    </w:p>
    <w:p w:rsidR="00D14267" w:rsidRDefault="00D14267" w:rsidP="00D14267">
      <w:pPr>
        <w:pStyle w:val="NoSpacing"/>
        <w:rPr>
          <w:bCs/>
        </w:rPr>
      </w:pPr>
      <w:r>
        <w:rPr>
          <w:bCs/>
        </w:rPr>
        <w:t>U iznimnim i opravdanim situacijama moguće je odrediti i drugačije vremensko razdoblje korištenja od utvrđenog u prethodnom stavku.</w:t>
      </w:r>
    </w:p>
    <w:p w:rsidR="00D14267" w:rsidRDefault="00D14267" w:rsidP="00D14267">
      <w:pPr>
        <w:pStyle w:val="NoSpacing"/>
        <w:rPr>
          <w:b/>
          <w:color w:val="FF0000"/>
        </w:rPr>
      </w:pPr>
    </w:p>
    <w:p w:rsidR="00D14267" w:rsidRDefault="00D14267" w:rsidP="00D14267">
      <w:pPr>
        <w:pStyle w:val="NoSpacing"/>
        <w:rPr>
          <w:b/>
          <w:color w:val="FF0000"/>
        </w:rPr>
      </w:pPr>
    </w:p>
    <w:p w:rsidR="00D14267" w:rsidRDefault="00D14267" w:rsidP="00D1426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2.</w:t>
      </w:r>
    </w:p>
    <w:p w:rsidR="00D14267" w:rsidRDefault="00D14267" w:rsidP="00D14267">
      <w:pPr>
        <w:pStyle w:val="NoSpacing"/>
        <w:jc w:val="center"/>
        <w:rPr>
          <w:b/>
          <w:sz w:val="24"/>
          <w:szCs w:val="24"/>
        </w:rPr>
      </w:pPr>
    </w:p>
    <w:p w:rsidR="00D14267" w:rsidRDefault="00D14267" w:rsidP="00D14267">
      <w:pPr>
        <w:pStyle w:val="NoSpacing"/>
        <w:jc w:val="center"/>
        <w:rPr>
          <w:b/>
          <w:sz w:val="24"/>
          <w:szCs w:val="24"/>
        </w:rPr>
      </w:pPr>
    </w:p>
    <w:p w:rsidR="00D14267" w:rsidRDefault="00D14267" w:rsidP="00D14267">
      <w:pPr>
        <w:ind w:firstLine="708"/>
      </w:pPr>
      <w:r>
        <w:t>Članak 20. mijenja se i glasi:</w:t>
      </w:r>
    </w:p>
    <w:p w:rsidR="00D14267" w:rsidRDefault="00D14267" w:rsidP="00D14267">
      <w:pPr>
        <w:jc w:val="both"/>
      </w:pPr>
      <w:r>
        <w:t>„Porez na korištenje javnih površina za postavljanje reklamnih predmeta utvrđuje se kako slijedi:</w:t>
      </w:r>
    </w:p>
    <w:tbl>
      <w:tblPr>
        <w:tblpPr w:leftFromText="180" w:rightFromText="180" w:vertAnchor="text" w:horzAnchor="margin" w:tblpY="111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4"/>
        <w:gridCol w:w="3541"/>
        <w:gridCol w:w="1684"/>
        <w:gridCol w:w="1716"/>
      </w:tblGrid>
      <w:tr w:rsidR="00D14267" w:rsidTr="00D14267">
        <w:trPr>
          <w:trHeight w:val="55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pPr>
              <w:rPr>
                <w:b/>
              </w:rPr>
            </w:pPr>
            <w:r>
              <w:rPr>
                <w:b/>
              </w:rPr>
              <w:t>Privremeni objekt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pPr>
              <w:rPr>
                <w:b/>
              </w:rPr>
            </w:pPr>
            <w:r>
              <w:rPr>
                <w:b/>
              </w:rPr>
              <w:t>Vrsta objekta/namjena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pPr>
              <w:rPr>
                <w:b/>
              </w:rPr>
            </w:pPr>
            <w:r>
              <w:rPr>
                <w:b/>
              </w:rPr>
              <w:t>Razdoblje/način obračuna</w:t>
            </w:r>
          </w:p>
        </w:tc>
      </w:tr>
      <w:tr w:rsidR="00D14267" w:rsidTr="00D14267">
        <w:trPr>
          <w:trHeight w:val="839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r>
              <w:t>Pokretna naprava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Privremene građevine i pokretne naprave za potrebe ugostiteljstva (šatori i slično)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20,00 kn/m2/dan</w:t>
            </w:r>
          </w:p>
        </w:tc>
      </w:tr>
      <w:tr w:rsidR="00D14267" w:rsidTr="00D14267">
        <w:trPr>
          <w:trHeight w:val="85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Objekti za prigodnu prodaju i ugostiteljsku djelatnost povodom blagdana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35,00 kn/m2/dan</w:t>
            </w:r>
          </w:p>
        </w:tc>
      </w:tr>
      <w:tr w:rsidR="00D14267" w:rsidTr="00D14267">
        <w:trPr>
          <w:trHeight w:val="33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Izlaganje knjiga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10,00 kn/m2/dan</w:t>
            </w:r>
          </w:p>
        </w:tc>
      </w:tr>
      <w:tr w:rsidR="00D14267" w:rsidTr="00D14267">
        <w:trPr>
          <w:trHeight w:val="37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Kolica, izložbeni eksponat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60,00kn/m2/dan</w:t>
            </w:r>
          </w:p>
        </w:tc>
      </w:tr>
      <w:tr w:rsidR="00D14267" w:rsidTr="00D14267">
        <w:trPr>
          <w:trHeight w:val="587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r>
              <w:t>Uslužna naprava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Naprava (pult) za piće i sladoled, pečenje plodina, palačinki i slično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50,00kn/m2/dan</w:t>
            </w:r>
          </w:p>
        </w:tc>
      </w:tr>
      <w:tr w:rsidR="00D14267" w:rsidTr="00D14267">
        <w:trPr>
          <w:trHeight w:val="43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Naprava za promidžbene svrhe i slično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800,00kn/mjesec</w:t>
            </w:r>
          </w:p>
        </w:tc>
      </w:tr>
      <w:tr w:rsidR="00D14267" w:rsidTr="00D14267">
        <w:trPr>
          <w:trHeight w:val="60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Specijalno vozilo za ugostiteljstvo i slično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80,00kn/dan</w:t>
            </w:r>
          </w:p>
        </w:tc>
      </w:tr>
      <w:tr w:rsidR="00D14267" w:rsidTr="00D14267">
        <w:trPr>
          <w:trHeight w:val="39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67" w:rsidRDefault="00D14267">
            <w:r>
              <w:t>Ambulantna prodaja</w:t>
            </w:r>
          </w:p>
          <w:p w:rsidR="00D14267" w:rsidRDefault="00D14267"/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60,00 kn/dan</w:t>
            </w:r>
          </w:p>
        </w:tc>
      </w:tr>
      <w:tr w:rsidR="00D14267" w:rsidTr="00D14267">
        <w:trPr>
          <w:trHeight w:val="706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Bankomati</w:t>
            </w:r>
          </w:p>
          <w:p w:rsidR="00D14267" w:rsidRDefault="00D14267">
            <w:r>
              <w:rPr>
                <w:color w:val="000000"/>
                <w:shd w:val="clear" w:color="auto" w:fill="FFFFFF"/>
              </w:rPr>
              <w:t>(samostojeći ili ugrađen u pročelje zgrade (1 m</w:t>
            </w:r>
            <w:r>
              <w:rPr>
                <w:color w:val="000000"/>
                <w:shd w:val="clear" w:color="auto" w:fill="FFFFFF"/>
                <w:vertAlign w:val="superscript"/>
              </w:rPr>
              <w:t>2</w:t>
            </w:r>
            <w:r>
              <w:rPr>
                <w:color w:val="000000"/>
                <w:shd w:val="clear" w:color="auto" w:fill="FFFFFF"/>
              </w:rPr>
              <w:t>) kojem se pristupa i koristi s javne prometne površine i ostali automatski uslužni uređaji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r>
              <w:t xml:space="preserve">Zona visoke frekventnosti unutar </w:t>
            </w:r>
            <w:proofErr w:type="spellStart"/>
            <w:r>
              <w:t>I.zone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1.000,00 kn/mjesec</w:t>
            </w:r>
          </w:p>
        </w:tc>
      </w:tr>
      <w:tr w:rsidR="00D14267" w:rsidTr="00D14267">
        <w:trPr>
          <w:trHeight w:val="232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roofErr w:type="spellStart"/>
            <w:r>
              <w:t>I.zona</w:t>
            </w:r>
            <w:proofErr w:type="spellEnd"/>
            <w:r>
              <w:t xml:space="preserve"> – izvan zone visoke frekventnost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700,00kn/mjesec</w:t>
            </w:r>
          </w:p>
        </w:tc>
      </w:tr>
      <w:tr w:rsidR="00D14267" w:rsidTr="00D14267">
        <w:trPr>
          <w:trHeight w:val="46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r>
              <w:t>II. zona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500,00 kn/mjesec</w:t>
            </w:r>
          </w:p>
        </w:tc>
      </w:tr>
      <w:tr w:rsidR="00D14267" w:rsidTr="00D14267">
        <w:trPr>
          <w:trHeight w:val="284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r>
              <w:t>III. zona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300,00 kn/mjesec</w:t>
            </w:r>
          </w:p>
        </w:tc>
      </w:tr>
      <w:tr w:rsidR="00D14267" w:rsidTr="00D14267">
        <w:trPr>
          <w:trHeight w:val="408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r>
              <w:rPr>
                <w:bCs/>
              </w:rPr>
              <w:t xml:space="preserve">Samostojeći telekomunikacijski razvodni ormarić i </w:t>
            </w:r>
            <w:proofErr w:type="spellStart"/>
            <w:r>
              <w:rPr>
                <w:bCs/>
              </w:rPr>
              <w:t>sl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r>
              <w:t>500,00 kn/mjesec</w:t>
            </w:r>
          </w:p>
        </w:tc>
      </w:tr>
      <w:tr w:rsidR="00D14267" w:rsidTr="00D14267">
        <w:trPr>
          <w:trHeight w:val="662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267" w:rsidRDefault="00D14267">
            <w:r>
              <w:lastRenderedPageBreak/>
              <w:t>Štand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Montažni/prenosivi</w:t>
            </w:r>
          </w:p>
          <w:p w:rsidR="00D14267" w:rsidRDefault="00D14267">
            <w:r>
              <w:t>Voće, povrće, jaja, tekstil i slično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9,00kn/m2/dan</w:t>
            </w:r>
          </w:p>
        </w:tc>
      </w:tr>
      <w:tr w:rsidR="00D14267" w:rsidTr="00D14267">
        <w:trPr>
          <w:trHeight w:val="31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Montažni/prenosivi</w:t>
            </w:r>
          </w:p>
          <w:p w:rsidR="00D14267" w:rsidRDefault="00D14267">
            <w:r>
              <w:t>Cvijeće, svijeće i slično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700,00kn/mjesec</w:t>
            </w:r>
          </w:p>
        </w:tc>
      </w:tr>
      <w:tr w:rsidR="00D14267" w:rsidTr="00D14267">
        <w:trPr>
          <w:trHeight w:val="305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Montažni/prenosivi</w:t>
            </w:r>
          </w:p>
          <w:p w:rsidR="00D14267" w:rsidRDefault="00D14267">
            <w:r>
              <w:t>Suveniri, numizmatika, slike i slično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3.000,00 kn/mjesec</w:t>
            </w:r>
          </w:p>
        </w:tc>
      </w:tr>
      <w:tr w:rsidR="00D14267" w:rsidTr="00D14267">
        <w:trPr>
          <w:trHeight w:val="251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Montažni/prenosivi</w:t>
            </w:r>
          </w:p>
          <w:p w:rsidR="00D14267" w:rsidRDefault="00D14267">
            <w:r>
              <w:t>Stolić za tetoviranje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3.000,00kn/mjesec</w:t>
            </w:r>
          </w:p>
        </w:tc>
      </w:tr>
      <w:tr w:rsidR="00D14267" w:rsidTr="00D14267">
        <w:trPr>
          <w:trHeight w:val="417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4267" w:rsidRDefault="00D14267"/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Montažni/prenosivi</w:t>
            </w:r>
          </w:p>
          <w:p w:rsidR="00D14267" w:rsidRDefault="00D14267">
            <w:r>
              <w:t>Portretiranje i slično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267" w:rsidRDefault="00D14267">
            <w:r>
              <w:t>1.500,00 kn/mjesec</w:t>
            </w:r>
          </w:p>
        </w:tc>
      </w:tr>
    </w:tbl>
    <w:p w:rsidR="00D14267" w:rsidRDefault="00D14267" w:rsidP="00D14267">
      <w:pPr>
        <w:rPr>
          <w:b/>
        </w:rPr>
      </w:pPr>
    </w:p>
    <w:p w:rsidR="00D14267" w:rsidRDefault="00D14267" w:rsidP="00D14267">
      <w:pPr>
        <w:jc w:val="center"/>
        <w:rPr>
          <w:b/>
        </w:rPr>
      </w:pPr>
    </w:p>
    <w:p w:rsidR="00D14267" w:rsidRDefault="00D14267" w:rsidP="00D14267">
      <w:pPr>
        <w:jc w:val="center"/>
        <w:rPr>
          <w:b/>
        </w:rPr>
      </w:pPr>
      <w:r>
        <w:rPr>
          <w:b/>
        </w:rPr>
        <w:t>Članak 3.</w:t>
      </w:r>
    </w:p>
    <w:p w:rsidR="00D14267" w:rsidRDefault="00D14267" w:rsidP="00D14267">
      <w:pPr>
        <w:spacing w:before="120"/>
      </w:pPr>
    </w:p>
    <w:p w:rsidR="00D14267" w:rsidRDefault="00D14267" w:rsidP="00D14267">
      <w:pPr>
        <w:spacing w:before="120"/>
      </w:pPr>
      <w:r>
        <w:t xml:space="preserve">      U tabeli članka 21. iza riječi „reklamna vitrina“ dodaje se riječ „reklamni uređaj“.</w:t>
      </w:r>
    </w:p>
    <w:p w:rsidR="00D14267" w:rsidRDefault="00D14267" w:rsidP="00D14267">
      <w:pPr>
        <w:spacing w:before="120"/>
      </w:pPr>
    </w:p>
    <w:p w:rsidR="00D14267" w:rsidRDefault="00D14267" w:rsidP="00D14267">
      <w:pPr>
        <w:spacing w:before="120"/>
        <w:ind w:firstLine="708"/>
      </w:pPr>
    </w:p>
    <w:p w:rsidR="00D14267" w:rsidRDefault="00D14267" w:rsidP="00D14267">
      <w:pPr>
        <w:jc w:val="center"/>
        <w:rPr>
          <w:b/>
        </w:rPr>
      </w:pPr>
      <w:r>
        <w:rPr>
          <w:b/>
        </w:rPr>
        <w:t>Članak 4.</w:t>
      </w:r>
    </w:p>
    <w:p w:rsidR="00D14267" w:rsidRDefault="00D14267" w:rsidP="00D14267"/>
    <w:p w:rsidR="00D14267" w:rsidRDefault="00D14267" w:rsidP="00D14267"/>
    <w:p w:rsidR="00D14267" w:rsidRDefault="00D14267" w:rsidP="00D14267">
      <w:r>
        <w:t xml:space="preserve">     Članak 22. mijenja se i glasi:</w:t>
      </w:r>
    </w:p>
    <w:p w:rsidR="00D14267" w:rsidRDefault="00D14267" w:rsidP="00D14267">
      <w:pPr>
        <w:jc w:val="both"/>
      </w:pPr>
      <w:r>
        <w:t xml:space="preserve">„ Porez na korištenje javnih površina za ostala korištenja javnih površina utvrđuje se kako slijedi: </w:t>
      </w:r>
    </w:p>
    <w:p w:rsidR="00D14267" w:rsidRDefault="00D14267" w:rsidP="00D14267"/>
    <w:p w:rsidR="00D14267" w:rsidRDefault="00D14267" w:rsidP="00D14267"/>
    <w:tbl>
      <w:tblPr>
        <w:tblW w:w="955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15"/>
        <w:gridCol w:w="3195"/>
      </w:tblGrid>
      <w:tr w:rsidR="00D14267" w:rsidTr="00D14267">
        <w:trPr>
          <w:trHeight w:val="45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Default="00D14267">
            <w:pPr>
              <w:ind w:left="67"/>
            </w:pPr>
          </w:p>
          <w:p w:rsidR="00D14267" w:rsidRDefault="00D14267">
            <w:pPr>
              <w:rPr>
                <w:rFonts w:ascii="Minion Pro" w:hAnsi="Minion Pro"/>
              </w:rPr>
            </w:pPr>
            <w:r>
              <w:rPr>
                <w:rFonts w:ascii="Minion Pro" w:hAnsi="Minion Pro"/>
                <w:sz w:val="22"/>
                <w:szCs w:val="22"/>
              </w:rPr>
              <w:t>organiziranje zabava i manifestacija</w:t>
            </w:r>
          </w:p>
          <w:p w:rsidR="00D14267" w:rsidRDefault="00D14267"/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267" w:rsidRDefault="00D14267"/>
          <w:p w:rsidR="00D14267" w:rsidRDefault="00D14267">
            <w:pPr>
              <w:spacing w:before="120"/>
            </w:pPr>
            <w:r>
              <w:rPr>
                <w:rFonts w:ascii="Minion Pro" w:hAnsi="Minion Pro"/>
                <w:sz w:val="22"/>
                <w:szCs w:val="22"/>
              </w:rPr>
              <w:t>razdoblje/način obračuna</w:t>
            </w:r>
          </w:p>
        </w:tc>
      </w:tr>
      <w:tr w:rsidR="00D14267" w:rsidTr="00D14267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spacing w:before="120"/>
            </w:pPr>
            <w:r>
              <w:rPr>
                <w:rFonts w:ascii="Minion Pro" w:hAnsi="Minion Pro"/>
                <w:sz w:val="22"/>
                <w:szCs w:val="22"/>
              </w:rPr>
              <w:t>zabavni park, cirkus, postavljanje montažnih pozornica, bina i slično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spacing w:before="120"/>
              <w:ind w:left="67" w:firstLine="708"/>
            </w:pPr>
            <w:r>
              <w:rPr>
                <w:rFonts w:ascii="Minion Pro" w:hAnsi="Minion Pro"/>
                <w:sz w:val="22"/>
                <w:szCs w:val="22"/>
              </w:rPr>
              <w:t>1,00 kn/dan/m²</w:t>
            </w:r>
          </w:p>
        </w:tc>
      </w:tr>
      <w:tr w:rsidR="00D14267" w:rsidTr="00D14267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spacing w:before="120"/>
            </w:pPr>
            <w:r>
              <w:rPr>
                <w:rFonts w:ascii="Minion Pro" w:hAnsi="Minion Pro"/>
                <w:sz w:val="22"/>
                <w:szCs w:val="22"/>
              </w:rPr>
              <w:t>prezentacija proizvoda i usluga i slično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spacing w:before="120"/>
              <w:ind w:left="67" w:firstLine="708"/>
            </w:pPr>
            <w:r>
              <w:rPr>
                <w:rFonts w:ascii="Minion Pro" w:hAnsi="Minion Pro"/>
                <w:sz w:val="22"/>
                <w:szCs w:val="22"/>
              </w:rPr>
              <w:t>75,00 kn/dan/m²</w:t>
            </w:r>
          </w:p>
        </w:tc>
      </w:tr>
      <w:tr w:rsidR="00D14267" w:rsidTr="00D14267">
        <w:trPr>
          <w:trHeight w:val="34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spacing w:before="120"/>
            </w:pPr>
            <w:r>
              <w:rPr>
                <w:rFonts w:ascii="Minion Pro" w:hAnsi="Minion Pro"/>
                <w:sz w:val="22"/>
                <w:szCs w:val="22"/>
              </w:rPr>
              <w:t>distribucija letaka i promidžbenih materijala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spacing w:before="120"/>
              <w:ind w:left="67" w:firstLine="708"/>
            </w:pPr>
            <w:r>
              <w:rPr>
                <w:rFonts w:ascii="Minion Pro" w:hAnsi="Minion Pro"/>
                <w:sz w:val="22"/>
                <w:szCs w:val="22"/>
              </w:rPr>
              <w:t>300,00 kn/dan</w:t>
            </w:r>
          </w:p>
        </w:tc>
      </w:tr>
      <w:tr w:rsidR="00D14267" w:rsidTr="00D14267">
        <w:trPr>
          <w:trHeight w:val="31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rFonts w:ascii="Minion Pro" w:hAnsi="Minion Pro"/>
              </w:rPr>
              <w:t>organizacija gradilišta, postava skela na javnu površinu i odlaganje građevinskog materijala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rFonts w:ascii="Minion Pro" w:hAnsi="Minion Pro"/>
              </w:rPr>
              <w:t xml:space="preserve"> 0,25 kn/ dan/m²</w:t>
            </w:r>
          </w:p>
        </w:tc>
      </w:tr>
      <w:tr w:rsidR="00D14267" w:rsidTr="00D14267">
        <w:trPr>
          <w:trHeight w:val="3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smještaj kontejnera za potrebe gradilišta i slično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10,00 kn/dan</w:t>
            </w:r>
          </w:p>
        </w:tc>
      </w:tr>
      <w:tr w:rsidR="00D14267" w:rsidTr="00D14267">
        <w:trPr>
          <w:trHeight w:val="26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snimanje filma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1.000,00 kn/dan</w:t>
            </w:r>
          </w:p>
        </w:tc>
      </w:tr>
      <w:tr w:rsidR="00D14267" w:rsidTr="00D14267">
        <w:trPr>
          <w:trHeight w:val="37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snimanje filma u starogradskoj jezgri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3.000,00 kn/dan</w:t>
            </w:r>
          </w:p>
        </w:tc>
      </w:tr>
      <w:tr w:rsidR="00D14267" w:rsidTr="00D14267">
        <w:trPr>
          <w:trHeight w:val="25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snimanje reklamnog spota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3.000,00 kn/dan</w:t>
            </w:r>
          </w:p>
        </w:tc>
      </w:tr>
      <w:tr w:rsidR="00D14267" w:rsidTr="00D14267">
        <w:trPr>
          <w:trHeight w:val="540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snimanje reklamnog spota u starogradskoj jezgri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5.000,00 kn/dan</w:t>
            </w:r>
          </w:p>
        </w:tc>
      </w:tr>
      <w:tr w:rsidR="00D14267" w:rsidTr="00D14267">
        <w:trPr>
          <w:trHeight w:val="345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komercijalno fotografiranje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2.000,00 kn/dan</w:t>
            </w:r>
          </w:p>
        </w:tc>
      </w:tr>
      <w:tr w:rsidR="00D14267" w:rsidTr="00D14267">
        <w:trPr>
          <w:trHeight w:val="435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političko djelovanje – postavljanje pokretnih naprava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267" w:rsidRDefault="00D14267">
            <w:pPr>
              <w:pStyle w:val="NoSpacing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ascii="Minion Pro" w:hAnsi="Minion Pro"/>
              </w:rPr>
              <w:t>50,00 kn/dan/m</w:t>
            </w:r>
            <w:r>
              <w:rPr>
                <w:rFonts w:ascii="Minion Pro" w:hAnsi="Minion Pro"/>
                <w:sz w:val="14"/>
                <w:szCs w:val="14"/>
                <w:vertAlign w:val="superscript"/>
              </w:rPr>
              <w:t>2</w:t>
            </w:r>
          </w:p>
        </w:tc>
      </w:tr>
      <w:tr w:rsidR="00D14267" w:rsidTr="00D14267">
        <w:trPr>
          <w:trHeight w:val="405"/>
        </w:trPr>
        <w:tc>
          <w:tcPr>
            <w:tcW w:w="95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267" w:rsidRDefault="00D14267">
            <w:pPr>
              <w:pStyle w:val="NoSpacing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:rsidR="00D14267" w:rsidRDefault="00D14267" w:rsidP="00D14267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</w:p>
    <w:p w:rsidR="00D14267" w:rsidRDefault="00D14267" w:rsidP="00D14267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Članak 5.</w:t>
      </w:r>
    </w:p>
    <w:p w:rsidR="00D14267" w:rsidRDefault="00D14267" w:rsidP="00D14267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</w:p>
    <w:p w:rsidR="00D14267" w:rsidRDefault="00D14267" w:rsidP="00D14267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Ova Odluka stupa na snagu osmog dana od objave u „Službenim novinama“, a primjenjuje se od 01. siječnja 2022. godine.</w:t>
      </w:r>
    </w:p>
    <w:p w:rsidR="00D14267" w:rsidRDefault="00D14267" w:rsidP="00D14267">
      <w:pPr>
        <w:pStyle w:val="NoSpacing"/>
        <w:spacing w:line="276" w:lineRule="auto"/>
        <w:ind w:firstLine="0"/>
        <w:rPr>
          <w:sz w:val="24"/>
          <w:szCs w:val="24"/>
        </w:rPr>
      </w:pPr>
    </w:p>
    <w:p w:rsidR="00D14267" w:rsidRDefault="00D14267" w:rsidP="00D14267">
      <w:pPr>
        <w:pStyle w:val="NoSpacing"/>
        <w:spacing w:line="276" w:lineRule="auto"/>
        <w:ind w:firstLine="0"/>
        <w:rPr>
          <w:sz w:val="24"/>
          <w:szCs w:val="24"/>
        </w:rPr>
      </w:pPr>
    </w:p>
    <w:p w:rsidR="00D14267" w:rsidRDefault="00D14267" w:rsidP="00D14267">
      <w:pPr>
        <w:pStyle w:val="NoSpacing"/>
        <w:spacing w:line="276" w:lineRule="auto"/>
        <w:ind w:firstLine="0"/>
        <w:rPr>
          <w:sz w:val="24"/>
          <w:szCs w:val="24"/>
        </w:rPr>
      </w:pPr>
    </w:p>
    <w:p w:rsidR="00D14267" w:rsidRDefault="00D14267" w:rsidP="00D14267">
      <w:r>
        <w:t>KLASA:</w:t>
      </w:r>
      <w:r w:rsidR="005D3FF2">
        <w:fldChar w:fldCharType="begin">
          <w:ffData>
            <w:name w:val="Klasa"/>
            <w:enabled/>
            <w:calcOnExit w:val="0"/>
            <w:textInput/>
          </w:ffData>
        </w:fldChar>
      </w:r>
      <w:bookmarkStart w:id="0" w:name="Klasa"/>
      <w:r>
        <w:instrText xml:space="preserve"> FORMTEXT </w:instrText>
      </w:r>
      <w:r w:rsidR="005D3FF2">
        <w:fldChar w:fldCharType="separate"/>
      </w:r>
      <w:r>
        <w:rPr>
          <w:noProof/>
        </w:rPr>
        <w:t>363-05/21-03/9</w:t>
      </w:r>
      <w:r w:rsidR="005D3FF2">
        <w:fldChar w:fldCharType="end"/>
      </w:r>
      <w:bookmarkEnd w:id="0"/>
    </w:p>
    <w:p w:rsidR="00D14267" w:rsidRDefault="00D14267" w:rsidP="00D14267">
      <w:r>
        <w:t>URBROJ:</w:t>
      </w:r>
      <w:r w:rsidR="005D3FF2">
        <w:fldChar w:fldCharType="begin">
          <w:ffData>
            <w:name w:val="Urbroj"/>
            <w:enabled/>
            <w:calcOnExit w:val="0"/>
            <w:textInput/>
          </w:ffData>
        </w:fldChar>
      </w:r>
      <w:bookmarkStart w:id="1" w:name="Urbroj"/>
      <w:r>
        <w:instrText xml:space="preserve"> FORMTEXT </w:instrText>
      </w:r>
      <w:r w:rsidR="005D3FF2">
        <w:fldChar w:fldCharType="separate"/>
      </w:r>
      <w:r>
        <w:rPr>
          <w:noProof/>
        </w:rPr>
        <w:t xml:space="preserve">     </w:t>
      </w:r>
      <w:r w:rsidR="005D3FF2">
        <w:fldChar w:fldCharType="end"/>
      </w:r>
      <w:bookmarkEnd w:id="1"/>
    </w:p>
    <w:p w:rsidR="00D14267" w:rsidRDefault="00D14267" w:rsidP="00D14267">
      <w:r>
        <w:t>Pula,</w:t>
      </w:r>
      <w:r>
        <w:tab/>
        <w:t xml:space="preserve"> </w:t>
      </w:r>
    </w:p>
    <w:p w:rsidR="00D14267" w:rsidRDefault="00D14267" w:rsidP="00D14267"/>
    <w:p w:rsidR="00D14267" w:rsidRDefault="00D14267" w:rsidP="00D14267"/>
    <w:p w:rsidR="00D14267" w:rsidRDefault="00D14267" w:rsidP="00D14267"/>
    <w:p w:rsidR="00D14267" w:rsidRDefault="00D14267" w:rsidP="00D14267">
      <w:pPr>
        <w:jc w:val="right"/>
      </w:pPr>
    </w:p>
    <w:p w:rsidR="00D14267" w:rsidRDefault="00D14267" w:rsidP="00D14267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GRADSKO VIJEĆE GRADA PULE</w:t>
      </w:r>
    </w:p>
    <w:p w:rsidR="00D14267" w:rsidRDefault="00D14267" w:rsidP="00D14267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</w:p>
    <w:p w:rsidR="00D14267" w:rsidRDefault="00D14267" w:rsidP="00D14267">
      <w:pPr>
        <w:pStyle w:val="NoSpacing"/>
        <w:ind w:firstLine="0"/>
        <w:rPr>
          <w:b/>
          <w:sz w:val="24"/>
          <w:szCs w:val="24"/>
        </w:rPr>
      </w:pPr>
    </w:p>
    <w:p w:rsidR="00D14267" w:rsidRDefault="00D14267" w:rsidP="00D14267"/>
    <w:p w:rsidR="00D14267" w:rsidRDefault="00D14267" w:rsidP="00D14267">
      <w:pPr>
        <w:rPr>
          <w:b/>
          <w:bCs/>
        </w:rPr>
      </w:pPr>
    </w:p>
    <w:p w:rsidR="00D14267" w:rsidRDefault="00D14267" w:rsidP="00D14267"/>
    <w:p w:rsidR="00720349" w:rsidRDefault="00720349"/>
    <w:sectPr w:rsidR="00720349" w:rsidSect="0072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7F5"/>
    <w:multiLevelType w:val="hybridMultilevel"/>
    <w:tmpl w:val="4462B8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E0354"/>
    <w:multiLevelType w:val="hybridMultilevel"/>
    <w:tmpl w:val="C87CC534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4267"/>
    <w:rsid w:val="005D3FF2"/>
    <w:rsid w:val="00720349"/>
    <w:rsid w:val="00756B9A"/>
    <w:rsid w:val="00D14267"/>
    <w:rsid w:val="00EC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426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D142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nzufic</dc:creator>
  <cp:lastModifiedBy>nzufic</cp:lastModifiedBy>
  <cp:revision>3</cp:revision>
  <dcterms:created xsi:type="dcterms:W3CDTF">2021-11-10T12:26:00Z</dcterms:created>
  <dcterms:modified xsi:type="dcterms:W3CDTF">2021-11-10T12:50:00Z</dcterms:modified>
</cp:coreProperties>
</file>