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22" w:rsidRPr="0007745A" w:rsidRDefault="00202122" w:rsidP="00202122">
      <w:pPr>
        <w:pStyle w:val="BodyText"/>
        <w:ind w:firstLine="720"/>
        <w:rPr>
          <w:rFonts w:ascii="Times New Roman" w:hAnsi="Times New Roman"/>
          <w:sz w:val="24"/>
          <w:szCs w:val="24"/>
        </w:rPr>
      </w:pPr>
      <w:r w:rsidRPr="0007745A">
        <w:rPr>
          <w:rFonts w:ascii="Times New Roman" w:hAnsi="Times New Roman"/>
          <w:sz w:val="24"/>
          <w:szCs w:val="24"/>
        </w:rPr>
        <w:t>Na temelju članka</w:t>
      </w:r>
      <w:r w:rsidR="005A1FFC">
        <w:rPr>
          <w:rFonts w:ascii="Times New Roman" w:hAnsi="Times New Roman"/>
          <w:sz w:val="24"/>
          <w:szCs w:val="24"/>
        </w:rPr>
        <w:t xml:space="preserve"> 95.</w:t>
      </w:r>
      <w:r w:rsidRPr="0007745A">
        <w:rPr>
          <w:rFonts w:ascii="Times New Roman" w:hAnsi="Times New Roman"/>
          <w:sz w:val="24"/>
          <w:szCs w:val="24"/>
        </w:rPr>
        <w:t xml:space="preserve"> Zak</w:t>
      </w:r>
      <w:r w:rsidR="00584855">
        <w:rPr>
          <w:rFonts w:ascii="Times New Roman" w:hAnsi="Times New Roman"/>
          <w:sz w:val="24"/>
          <w:szCs w:val="24"/>
        </w:rPr>
        <w:t>ona o komunalnom gospodarstvu („</w:t>
      </w:r>
      <w:r w:rsidRPr="0007745A">
        <w:rPr>
          <w:rFonts w:ascii="Times New Roman" w:hAnsi="Times New Roman"/>
          <w:sz w:val="24"/>
          <w:szCs w:val="24"/>
        </w:rPr>
        <w:t>Narodne novine" br</w:t>
      </w:r>
      <w:r w:rsidR="004C58E4">
        <w:rPr>
          <w:rFonts w:ascii="Times New Roman" w:hAnsi="Times New Roman"/>
          <w:sz w:val="24"/>
          <w:szCs w:val="24"/>
        </w:rPr>
        <w:t>.</w:t>
      </w:r>
      <w:r w:rsidRPr="0007745A">
        <w:rPr>
          <w:rFonts w:ascii="Times New Roman" w:hAnsi="Times New Roman"/>
          <w:sz w:val="24"/>
          <w:szCs w:val="24"/>
        </w:rPr>
        <w:t xml:space="preserve"> </w:t>
      </w:r>
      <w:r w:rsidR="008611CA">
        <w:rPr>
          <w:rFonts w:ascii="Times New Roman" w:hAnsi="Times New Roman"/>
          <w:sz w:val="24"/>
          <w:szCs w:val="24"/>
        </w:rPr>
        <w:t>68</w:t>
      </w:r>
      <w:r w:rsidRPr="0007745A">
        <w:rPr>
          <w:rFonts w:ascii="Times New Roman" w:hAnsi="Times New Roman"/>
          <w:sz w:val="24"/>
          <w:szCs w:val="24"/>
        </w:rPr>
        <w:t>/</w:t>
      </w:r>
      <w:r w:rsidR="008611CA">
        <w:rPr>
          <w:rFonts w:ascii="Times New Roman" w:hAnsi="Times New Roman"/>
          <w:sz w:val="24"/>
          <w:szCs w:val="24"/>
        </w:rPr>
        <w:t>18</w:t>
      </w:r>
      <w:r w:rsidRPr="0007745A">
        <w:rPr>
          <w:rFonts w:ascii="Times New Roman" w:hAnsi="Times New Roman"/>
          <w:sz w:val="24"/>
          <w:szCs w:val="24"/>
        </w:rPr>
        <w:t>) i članka 39. Statuta Grada Pul</w:t>
      </w:r>
      <w:r>
        <w:rPr>
          <w:rFonts w:ascii="Times New Roman" w:hAnsi="Times New Roman"/>
          <w:sz w:val="24"/>
          <w:szCs w:val="24"/>
        </w:rPr>
        <w:t>a</w:t>
      </w:r>
      <w:r w:rsidR="004E178D">
        <w:rPr>
          <w:rFonts w:ascii="Times New Roman" w:hAnsi="Times New Roman"/>
          <w:sz w:val="24"/>
          <w:szCs w:val="24"/>
        </w:rPr>
        <w:t>-Pola („</w:t>
      </w:r>
      <w:r w:rsidRPr="0007745A">
        <w:rPr>
          <w:rFonts w:ascii="Times New Roman" w:hAnsi="Times New Roman"/>
          <w:sz w:val="24"/>
          <w:szCs w:val="24"/>
        </w:rPr>
        <w:t xml:space="preserve">Službene novine” Grada Pule br. </w:t>
      </w:r>
      <w:r w:rsidR="0034578B">
        <w:rPr>
          <w:rFonts w:ascii="Times New Roman" w:hAnsi="Times New Roman"/>
          <w:sz w:val="24"/>
          <w:szCs w:val="24"/>
        </w:rPr>
        <w:t>0</w:t>
      </w:r>
      <w:r>
        <w:rPr>
          <w:rFonts w:ascii="Times New Roman" w:hAnsi="Times New Roman"/>
          <w:sz w:val="24"/>
          <w:szCs w:val="24"/>
        </w:rPr>
        <w:t>7/09</w:t>
      </w:r>
      <w:r w:rsidR="008611CA">
        <w:rPr>
          <w:rFonts w:ascii="Times New Roman" w:hAnsi="Times New Roman"/>
          <w:sz w:val="24"/>
          <w:szCs w:val="24"/>
        </w:rPr>
        <w:t>,</w:t>
      </w:r>
      <w:r w:rsidR="005A1FFC">
        <w:rPr>
          <w:rFonts w:ascii="Times New Roman" w:hAnsi="Times New Roman"/>
          <w:sz w:val="24"/>
          <w:szCs w:val="24"/>
        </w:rPr>
        <w:t xml:space="preserve"> </w:t>
      </w:r>
      <w:r w:rsidR="0016486A">
        <w:rPr>
          <w:rFonts w:ascii="Times New Roman" w:hAnsi="Times New Roman"/>
          <w:sz w:val="24"/>
          <w:szCs w:val="24"/>
        </w:rPr>
        <w:t>16/09</w:t>
      </w:r>
      <w:r w:rsidR="008611CA">
        <w:rPr>
          <w:rFonts w:ascii="Times New Roman" w:hAnsi="Times New Roman"/>
          <w:sz w:val="24"/>
          <w:szCs w:val="24"/>
        </w:rPr>
        <w:t>,</w:t>
      </w:r>
      <w:r w:rsidR="005A1FFC">
        <w:rPr>
          <w:rFonts w:ascii="Times New Roman" w:hAnsi="Times New Roman"/>
          <w:sz w:val="24"/>
          <w:szCs w:val="24"/>
        </w:rPr>
        <w:t xml:space="preserve"> </w:t>
      </w:r>
      <w:r w:rsidR="008611CA">
        <w:rPr>
          <w:rFonts w:ascii="Times New Roman" w:hAnsi="Times New Roman"/>
          <w:sz w:val="24"/>
          <w:szCs w:val="24"/>
        </w:rPr>
        <w:t>12/11,</w:t>
      </w:r>
      <w:r w:rsidR="005A1FFC">
        <w:rPr>
          <w:rFonts w:ascii="Times New Roman" w:hAnsi="Times New Roman"/>
          <w:sz w:val="24"/>
          <w:szCs w:val="24"/>
        </w:rPr>
        <w:t xml:space="preserve"> </w:t>
      </w:r>
      <w:r w:rsidR="0034578B">
        <w:rPr>
          <w:rFonts w:ascii="Times New Roman" w:hAnsi="Times New Roman"/>
          <w:sz w:val="24"/>
          <w:szCs w:val="24"/>
        </w:rPr>
        <w:t>0</w:t>
      </w:r>
      <w:r w:rsidR="008611CA">
        <w:rPr>
          <w:rFonts w:ascii="Times New Roman" w:hAnsi="Times New Roman"/>
          <w:sz w:val="24"/>
          <w:szCs w:val="24"/>
        </w:rPr>
        <w:t xml:space="preserve">1/13 i </w:t>
      </w:r>
      <w:r w:rsidR="0034578B">
        <w:rPr>
          <w:rFonts w:ascii="Times New Roman" w:hAnsi="Times New Roman"/>
          <w:sz w:val="24"/>
          <w:szCs w:val="24"/>
        </w:rPr>
        <w:t>0</w:t>
      </w:r>
      <w:r w:rsidR="008611CA">
        <w:rPr>
          <w:rFonts w:ascii="Times New Roman" w:hAnsi="Times New Roman"/>
          <w:sz w:val="24"/>
          <w:szCs w:val="24"/>
        </w:rPr>
        <w:t>2/18</w:t>
      </w:r>
      <w:r>
        <w:rPr>
          <w:rFonts w:ascii="Times New Roman" w:hAnsi="Times New Roman"/>
          <w:sz w:val="24"/>
          <w:szCs w:val="24"/>
        </w:rPr>
        <w:t xml:space="preserve">), Gradsko vijeće </w:t>
      </w:r>
      <w:r w:rsidRPr="00496101">
        <w:rPr>
          <w:rFonts w:ascii="Times New Roman" w:hAnsi="Times New Roman"/>
          <w:sz w:val="24"/>
          <w:szCs w:val="24"/>
        </w:rPr>
        <w:t>Grada Pul</w:t>
      </w:r>
      <w:r w:rsidR="00264297" w:rsidRPr="00496101">
        <w:rPr>
          <w:rFonts w:ascii="Times New Roman" w:hAnsi="Times New Roman"/>
          <w:sz w:val="24"/>
          <w:szCs w:val="24"/>
        </w:rPr>
        <w:t>e</w:t>
      </w:r>
      <w:r w:rsidRPr="0007745A">
        <w:rPr>
          <w:rFonts w:ascii="Times New Roman" w:hAnsi="Times New Roman"/>
          <w:sz w:val="24"/>
          <w:szCs w:val="24"/>
        </w:rPr>
        <w:t xml:space="preserve"> na sjednici održanoj dana</w:t>
      </w:r>
      <w:r w:rsidR="00FD575F">
        <w:rPr>
          <w:rFonts w:ascii="Times New Roman" w:hAnsi="Times New Roman"/>
          <w:sz w:val="24"/>
          <w:szCs w:val="24"/>
        </w:rPr>
        <w:t xml:space="preserve"> </w:t>
      </w:r>
      <w:r w:rsidR="004E40FC">
        <w:rPr>
          <w:rFonts w:ascii="Times New Roman" w:hAnsi="Times New Roman"/>
          <w:sz w:val="24"/>
          <w:szCs w:val="24"/>
        </w:rPr>
        <w:t>_____</w:t>
      </w:r>
      <w:r w:rsidRPr="0007745A">
        <w:rPr>
          <w:rFonts w:ascii="Times New Roman" w:hAnsi="Times New Roman"/>
          <w:sz w:val="24"/>
          <w:szCs w:val="24"/>
        </w:rPr>
        <w:t>godine, doni</w:t>
      </w:r>
      <w:r w:rsidR="005A1FFC">
        <w:rPr>
          <w:rFonts w:ascii="Times New Roman" w:hAnsi="Times New Roman"/>
          <w:sz w:val="24"/>
          <w:szCs w:val="24"/>
        </w:rPr>
        <w:t>jelo je</w:t>
      </w:r>
    </w:p>
    <w:p w:rsidR="00202122" w:rsidRDefault="00202122" w:rsidP="00202122"/>
    <w:p w:rsidR="00202122" w:rsidRDefault="00202122" w:rsidP="00202122"/>
    <w:p w:rsidR="00202122" w:rsidRDefault="00202122" w:rsidP="00202122">
      <w:pPr>
        <w:jc w:val="center"/>
        <w:rPr>
          <w:b/>
        </w:rPr>
      </w:pPr>
      <w:r w:rsidRPr="0007745A">
        <w:rPr>
          <w:b/>
        </w:rPr>
        <w:t>O  D  L  U  K</w:t>
      </w:r>
      <w:r>
        <w:rPr>
          <w:b/>
        </w:rPr>
        <w:t xml:space="preserve"> </w:t>
      </w:r>
      <w:r w:rsidRPr="0007745A">
        <w:rPr>
          <w:b/>
        </w:rPr>
        <w:t xml:space="preserve"> </w:t>
      </w:r>
      <w:r>
        <w:rPr>
          <w:b/>
        </w:rPr>
        <w:t>U</w:t>
      </w:r>
    </w:p>
    <w:p w:rsidR="00202122" w:rsidRPr="0007745A" w:rsidRDefault="00202122" w:rsidP="00202122">
      <w:pPr>
        <w:jc w:val="center"/>
        <w:rPr>
          <w:b/>
        </w:rPr>
      </w:pPr>
      <w:r w:rsidRPr="0007745A">
        <w:rPr>
          <w:b/>
        </w:rPr>
        <w:t>o  komunalnoj  naknadi</w:t>
      </w:r>
    </w:p>
    <w:p w:rsidR="00202122" w:rsidRDefault="00202122" w:rsidP="00202122">
      <w:pPr>
        <w:rPr>
          <w:b/>
        </w:rPr>
      </w:pPr>
    </w:p>
    <w:p w:rsidR="00202122" w:rsidRPr="0007745A" w:rsidRDefault="00202122" w:rsidP="00202122">
      <w:pPr>
        <w:rPr>
          <w:b/>
        </w:rPr>
      </w:pPr>
      <w:r w:rsidRPr="0007745A">
        <w:rPr>
          <w:b/>
        </w:rPr>
        <w:t xml:space="preserve">I. </w:t>
      </w:r>
      <w:r w:rsidRPr="0007745A">
        <w:rPr>
          <w:b/>
        </w:rPr>
        <w:tab/>
        <w:t>OPĆE ODREDBE</w:t>
      </w:r>
    </w:p>
    <w:p w:rsidR="00202122" w:rsidRPr="0007745A" w:rsidRDefault="00202122" w:rsidP="00202122"/>
    <w:p w:rsidR="00202122" w:rsidRPr="0007745A" w:rsidRDefault="00202122" w:rsidP="00202122">
      <w:pPr>
        <w:jc w:val="center"/>
        <w:rPr>
          <w:b/>
        </w:rPr>
      </w:pPr>
      <w:r w:rsidRPr="0007745A">
        <w:rPr>
          <w:b/>
        </w:rPr>
        <w:t>Članak 1.</w:t>
      </w:r>
    </w:p>
    <w:p w:rsidR="00202122" w:rsidRDefault="00202122" w:rsidP="00202122"/>
    <w:p w:rsidR="00202122" w:rsidRDefault="00EB1BED" w:rsidP="00202122">
      <w:pPr>
        <w:jc w:val="both"/>
      </w:pPr>
      <w:r>
        <w:tab/>
        <w:t>Ovom O</w:t>
      </w:r>
      <w:r w:rsidR="00202122" w:rsidRPr="0007745A">
        <w:t xml:space="preserve">dlukom utvrđuju se </w:t>
      </w:r>
      <w:r w:rsidR="00202122">
        <w:t>mjerila</w:t>
      </w:r>
      <w:r w:rsidR="00202122" w:rsidRPr="0007745A">
        <w:t xml:space="preserve"> i uvjeti za plaćanje komunalne naknade u </w:t>
      </w:r>
      <w:r w:rsidR="00CE04ED">
        <w:t>g</w:t>
      </w:r>
      <w:r w:rsidR="00202122" w:rsidRPr="0007745A">
        <w:t>radu Pul</w:t>
      </w:r>
      <w:r w:rsidR="004B017C">
        <w:t>i</w:t>
      </w:r>
      <w:r w:rsidR="009A493E">
        <w:t>-</w:t>
      </w:r>
      <w:r w:rsidR="00202122">
        <w:t>Pol</w:t>
      </w:r>
      <w:r w:rsidR="00CE04ED">
        <w:t>a</w:t>
      </w:r>
      <w:r w:rsidR="004C58E4">
        <w:t xml:space="preserve"> (u daljnjem tekstu: grad Pula)</w:t>
      </w:r>
      <w:r w:rsidR="00CE04ED">
        <w:t xml:space="preserve">, a naročito </w:t>
      </w:r>
      <w:r w:rsidR="00A16283">
        <w:t xml:space="preserve">područja zona u </w:t>
      </w:r>
      <w:r w:rsidR="004C58E4">
        <w:t xml:space="preserve">gradu Puli </w:t>
      </w:r>
      <w:r w:rsidR="00A80240">
        <w:t>u kojima se naplaćuje komunalna naknada</w:t>
      </w:r>
      <w:r w:rsidR="00CE04ED">
        <w:t>,</w:t>
      </w:r>
      <w:r w:rsidR="00202122" w:rsidRPr="00E71E06">
        <w:t xml:space="preserve"> </w:t>
      </w:r>
      <w:r w:rsidR="00B137FC">
        <w:t>koeficijent zone</w:t>
      </w:r>
      <w:r w:rsidR="00202122" w:rsidRPr="0007745A">
        <w:t xml:space="preserve"> (Kz) za pojedine zone</w:t>
      </w:r>
      <w:r w:rsidR="00A65AF4">
        <w:t xml:space="preserve"> u</w:t>
      </w:r>
      <w:r w:rsidR="00B137FC">
        <w:t xml:space="preserve"> </w:t>
      </w:r>
      <w:r w:rsidR="005125A7" w:rsidRPr="005125A7">
        <w:t>gradu Puli</w:t>
      </w:r>
      <w:r w:rsidR="00A65AF4">
        <w:t xml:space="preserve"> </w:t>
      </w:r>
      <w:r w:rsidR="00B137FC">
        <w:t>u kojima se naplaćuje komunalna naknada</w:t>
      </w:r>
      <w:r w:rsidR="00CE04ED">
        <w:t>,</w:t>
      </w:r>
      <w:r w:rsidR="00202122" w:rsidRPr="0007745A">
        <w:t xml:space="preserve"> koeficijent namjene (Kn) za </w:t>
      </w:r>
      <w:r w:rsidR="008A71B5">
        <w:t xml:space="preserve">nekretnine za </w:t>
      </w:r>
      <w:r w:rsidR="00CE04ED">
        <w:t>koje se plaća komunalna naknada,</w:t>
      </w:r>
      <w:r w:rsidR="00CE04ED" w:rsidRPr="00CE04ED">
        <w:t xml:space="preserve"> </w:t>
      </w:r>
      <w:r w:rsidR="00CE04ED" w:rsidRPr="008A71B5">
        <w:t>obveznici i obveze plaćanja komunalne naknade</w:t>
      </w:r>
      <w:r w:rsidR="00CE04ED">
        <w:t>,</w:t>
      </w:r>
      <w:r w:rsidR="00450B24">
        <w:t xml:space="preserve"> rok</w:t>
      </w:r>
      <w:r w:rsidR="00202122" w:rsidRPr="0007745A">
        <w:t xml:space="preserve"> plaćanja komunalne naknade,</w:t>
      </w:r>
      <w:r w:rsidR="00CE04ED">
        <w:t xml:space="preserve"> </w:t>
      </w:r>
      <w:r w:rsidR="00202122" w:rsidRPr="0007745A">
        <w:t xml:space="preserve">nekretnine važne za </w:t>
      </w:r>
      <w:r w:rsidR="002E5B60">
        <w:t xml:space="preserve">Grad Pulu-Pola (u daljnjem tekstu: Grad Pula) </w:t>
      </w:r>
      <w:r w:rsidR="00202122" w:rsidRPr="0007745A">
        <w:t xml:space="preserve">koje </w:t>
      </w:r>
      <w:r w:rsidR="00CE04ED">
        <w:t xml:space="preserve">se u potpunosti ili djelomično </w:t>
      </w:r>
      <w:r w:rsidR="00202122" w:rsidRPr="0007745A">
        <w:t>oslobađaju od plaćanja komunalne naknade</w:t>
      </w:r>
      <w:r w:rsidR="00A65AF4">
        <w:t xml:space="preserve"> i </w:t>
      </w:r>
      <w:r w:rsidR="00D3769E">
        <w:t>opći uvjeti i razlozi zbog kojih se u pojedinačnim</w:t>
      </w:r>
      <w:r w:rsidR="00202122" w:rsidRPr="0007745A">
        <w:t xml:space="preserve"> slučajevima </w:t>
      </w:r>
      <w:r w:rsidR="00EB5983">
        <w:t xml:space="preserve">odobrava </w:t>
      </w:r>
      <w:r w:rsidR="00D3769E">
        <w:t>potpuno ili djelomično osloba</w:t>
      </w:r>
      <w:r w:rsidR="00202122" w:rsidRPr="0007745A">
        <w:t>đanj</w:t>
      </w:r>
      <w:r w:rsidR="007250B5">
        <w:t>e od plaćanja komunalne naknade.</w:t>
      </w:r>
    </w:p>
    <w:p w:rsidR="000C0AF4" w:rsidRDefault="000C0AF4" w:rsidP="00202122">
      <w:pPr>
        <w:jc w:val="both"/>
      </w:pPr>
    </w:p>
    <w:p w:rsidR="00202122" w:rsidRPr="0007745A" w:rsidRDefault="00202122" w:rsidP="00202122">
      <w:pPr>
        <w:jc w:val="both"/>
        <w:rPr>
          <w:color w:val="FF6600"/>
        </w:rPr>
      </w:pPr>
    </w:p>
    <w:p w:rsidR="00CB4B18" w:rsidRDefault="00202122" w:rsidP="004B4777">
      <w:pPr>
        <w:jc w:val="center"/>
      </w:pPr>
      <w:r w:rsidRPr="0007745A">
        <w:rPr>
          <w:b/>
        </w:rPr>
        <w:t>Članak 2.</w:t>
      </w:r>
      <w:r w:rsidRPr="0007745A">
        <w:tab/>
      </w:r>
    </w:p>
    <w:p w:rsidR="00CB4B18" w:rsidRDefault="004B4777" w:rsidP="00202122">
      <w:pPr>
        <w:jc w:val="both"/>
      </w:pPr>
      <w:r>
        <w:t xml:space="preserve">      </w:t>
      </w:r>
    </w:p>
    <w:p w:rsidR="00734CD7" w:rsidRDefault="00FF4943" w:rsidP="00202122">
      <w:pPr>
        <w:jc w:val="both"/>
      </w:pPr>
      <w:r>
        <w:t xml:space="preserve">          </w:t>
      </w:r>
      <w:r w:rsidR="00CB4B18">
        <w:t xml:space="preserve"> </w:t>
      </w:r>
      <w:r w:rsidR="00734CD7">
        <w:t xml:space="preserve">(1) </w:t>
      </w:r>
      <w:r w:rsidR="00D217B6">
        <w:t>Komunalna naknada</w:t>
      </w:r>
      <w:r w:rsidR="00202122" w:rsidRPr="0007745A">
        <w:t xml:space="preserve"> </w:t>
      </w:r>
      <w:r w:rsidR="00D217B6">
        <w:t xml:space="preserve">plaća se za </w:t>
      </w:r>
      <w:r w:rsidR="00202122" w:rsidRPr="0007745A">
        <w:t xml:space="preserve">stambeni prostor, </w:t>
      </w:r>
      <w:r w:rsidR="00AA0329">
        <w:t>garažn</w:t>
      </w:r>
      <w:r w:rsidR="00202122" w:rsidRPr="0007745A">
        <w:t xml:space="preserve">i prostor, </w:t>
      </w:r>
      <w:r w:rsidR="00AA0329">
        <w:t xml:space="preserve">poslovni </w:t>
      </w:r>
      <w:r w:rsidR="00202122" w:rsidRPr="0007745A">
        <w:t>prostor, građevinsko zemljište koje služi o</w:t>
      </w:r>
      <w:r w:rsidR="00251CB6">
        <w:t>bavljanju</w:t>
      </w:r>
      <w:r w:rsidR="00D217B6">
        <w:t xml:space="preserve"> poslovne djelatnosti i </w:t>
      </w:r>
      <w:r w:rsidR="00202122" w:rsidRPr="0007745A">
        <w:t>ne</w:t>
      </w:r>
      <w:r w:rsidR="007E734D">
        <w:t>izgrađeno građevinsko zemljište</w:t>
      </w:r>
      <w:r w:rsidR="00202122" w:rsidRPr="0007745A">
        <w:t>.</w:t>
      </w:r>
    </w:p>
    <w:p w:rsidR="00202122" w:rsidRDefault="00734CD7" w:rsidP="00202122">
      <w:pPr>
        <w:jc w:val="both"/>
      </w:pPr>
      <w:r>
        <w:t xml:space="preserve">           (2) Komunalna naknada plaća se za nekretnine iz stavka 1. ovog</w:t>
      </w:r>
      <w:r w:rsidR="004E205D">
        <w:t>a</w:t>
      </w:r>
      <w:r>
        <w:t xml:space="preserve"> članka </w:t>
      </w:r>
      <w:r w:rsidR="00005E27">
        <w:t>koje se nalaze</w:t>
      </w:r>
      <w:r>
        <w:t xml:space="preserve"> na području na kojem se najmanje obavljaju komunalne djelatnosti održavanja nerazvrstanih ce</w:t>
      </w:r>
      <w:r w:rsidR="004C58E4">
        <w:t>sta i održavanja javne rasvjete</w:t>
      </w:r>
      <w:r>
        <w:t xml:space="preserve"> te koje je opremljeno najmanje pristupnom cestom, niskonaponskom električnom mrežom </w:t>
      </w:r>
      <w:r w:rsidR="004C58E4">
        <w:t>i vodom prema mjesnim prilikama</w:t>
      </w:r>
      <w:r>
        <w:t xml:space="preserve"> te čini sastavni dio infrastrukture </w:t>
      </w:r>
      <w:r w:rsidRPr="00C15D6F">
        <w:t>Grada</w:t>
      </w:r>
      <w:r w:rsidR="00C15D6F">
        <w:t xml:space="preserve"> Pule</w:t>
      </w:r>
      <w:r>
        <w:t>.</w:t>
      </w:r>
    </w:p>
    <w:p w:rsidR="00734CD7" w:rsidRDefault="00734CD7" w:rsidP="00202122">
      <w:pPr>
        <w:jc w:val="both"/>
      </w:pPr>
      <w:r>
        <w:t xml:space="preserve">           (3) Građevinskim zemljištem koje služi obavljanju poslovne djelatnosti smatra se zemljište koje se nalazi unutar ili izvan granica građevinskog područja, a na kojemu se obavlja poslovna djelatnost.</w:t>
      </w:r>
    </w:p>
    <w:p w:rsidR="005972FE" w:rsidRDefault="00734CD7" w:rsidP="00202122">
      <w:pPr>
        <w:jc w:val="both"/>
      </w:pPr>
      <w:r>
        <w:t xml:space="preserve">            (4) 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734CD7" w:rsidRDefault="005972FE" w:rsidP="00202122">
      <w:pPr>
        <w:jc w:val="both"/>
      </w:pPr>
      <w:r>
        <w:t xml:space="preserve">           (5) Garažni i poslovni prostor unutar vojne građevine i građevinsko zemljište unutar vojne lokacije ne smatraju se garažnim i poslovnim prostorom te građevinskim zemljištem koje služi obavljanju poslovne djelatnosti u smislu odredbi ovoga članka.</w:t>
      </w:r>
      <w:r w:rsidR="00734CD7">
        <w:t xml:space="preserve">  </w:t>
      </w:r>
    </w:p>
    <w:p w:rsidR="00005E27" w:rsidRDefault="00005E27" w:rsidP="00202122">
      <w:pPr>
        <w:jc w:val="both"/>
      </w:pPr>
    </w:p>
    <w:p w:rsidR="00005E27" w:rsidRPr="0007745A" w:rsidRDefault="00005E27" w:rsidP="00005E27">
      <w:pPr>
        <w:jc w:val="center"/>
      </w:pPr>
      <w:r>
        <w:rPr>
          <w:b/>
        </w:rPr>
        <w:t>Članak 3</w:t>
      </w:r>
      <w:r w:rsidRPr="0007745A">
        <w:rPr>
          <w:b/>
        </w:rPr>
        <w:t>.</w:t>
      </w:r>
    </w:p>
    <w:p w:rsidR="00005E27" w:rsidRPr="00734CD7" w:rsidRDefault="00005E27" w:rsidP="00202122">
      <w:pPr>
        <w:jc w:val="both"/>
      </w:pPr>
    </w:p>
    <w:p w:rsidR="00BB37F6" w:rsidRDefault="00B946CE" w:rsidP="00202122">
      <w:pPr>
        <w:ind w:firstLine="720"/>
        <w:jc w:val="both"/>
      </w:pPr>
      <w:r>
        <w:lastRenderedPageBreak/>
        <w:t xml:space="preserve">(1) </w:t>
      </w:r>
      <w:r w:rsidR="00202122" w:rsidRPr="00026B10">
        <w:t xml:space="preserve">Komunalna naknada obračunava se po </w:t>
      </w:r>
      <w:r w:rsidR="00C767AA">
        <w:t>četvornome metru (</w:t>
      </w:r>
      <w:r w:rsidR="00202122" w:rsidRPr="00026B10">
        <w:t>m</w:t>
      </w:r>
      <w:r w:rsidR="00202122" w:rsidRPr="00026B10">
        <w:rPr>
          <w:vertAlign w:val="superscript"/>
        </w:rPr>
        <w:t>2</w:t>
      </w:r>
      <w:r w:rsidR="00C767AA" w:rsidRPr="0007745A">
        <w:t>)</w:t>
      </w:r>
      <w:r w:rsidR="00202122" w:rsidRPr="00026B10">
        <w:t xml:space="preserve"> površine </w:t>
      </w:r>
      <w:r w:rsidR="00BB37F6">
        <w:t>nekretnine za koju se utvrđuje</w:t>
      </w:r>
      <w:r w:rsidR="00A72237">
        <w:t xml:space="preserve"> obveza plaćanja komunalne nakna</w:t>
      </w:r>
      <w:r w:rsidR="00BB37F6">
        <w:t>de i to za:</w:t>
      </w:r>
    </w:p>
    <w:p w:rsidR="00535B01" w:rsidRDefault="00BB37F6" w:rsidP="00202122">
      <w:pPr>
        <w:ind w:firstLine="720"/>
        <w:jc w:val="both"/>
        <w:rPr>
          <w:color w:val="FF0000"/>
        </w:rPr>
      </w:pPr>
      <w:r>
        <w:t xml:space="preserve">1. </w:t>
      </w:r>
      <w:r w:rsidR="00202122" w:rsidRPr="00026B10">
        <w:t>stambeni, poslovni i garažni prostor po jedinici korisne površine</w:t>
      </w:r>
      <w:r w:rsidR="00202122" w:rsidRPr="0007745A">
        <w:t xml:space="preserve">, </w:t>
      </w:r>
      <w:r>
        <w:t xml:space="preserve">koja se utvrđuje na način propisan </w:t>
      </w:r>
      <w:r w:rsidRPr="00535B01">
        <w:t xml:space="preserve">Uredbom o uvjetima i mjerilima za utvrđivanje zaštićene najamnine </w:t>
      </w:r>
      <w:r w:rsidR="00535B01">
        <w:t>(</w:t>
      </w:r>
      <w:r w:rsidR="00584855">
        <w:t>„</w:t>
      </w:r>
      <w:r w:rsidR="00A72237" w:rsidRPr="00535B01">
        <w:t>Narodne novine" br. 40/97)</w:t>
      </w:r>
      <w:r w:rsidR="00B946CE" w:rsidRPr="00891936">
        <w:rPr>
          <w:color w:val="FF0000"/>
        </w:rPr>
        <w:t xml:space="preserve"> </w:t>
      </w:r>
    </w:p>
    <w:p w:rsidR="00202122" w:rsidRPr="0007745A" w:rsidRDefault="00A72237" w:rsidP="00202122">
      <w:pPr>
        <w:ind w:firstLine="720"/>
        <w:jc w:val="both"/>
        <w:rPr>
          <w:color w:val="3366FF"/>
        </w:rPr>
      </w:pPr>
      <w:r>
        <w:t xml:space="preserve">2. </w:t>
      </w:r>
      <w:r w:rsidR="00202122" w:rsidRPr="0007745A">
        <w:t xml:space="preserve">građevinsko zemljište </w:t>
      </w:r>
      <w:r>
        <w:t xml:space="preserve">koje služi obavljanju poslovne djelatnosti i neizgrađeno građevinsko zemljište </w:t>
      </w:r>
      <w:r w:rsidR="00202122" w:rsidRPr="0007745A">
        <w:t>po jedinici stvarne površine.</w:t>
      </w:r>
    </w:p>
    <w:p w:rsidR="00202122" w:rsidRPr="003141C4" w:rsidRDefault="00B946CE" w:rsidP="00202122">
      <w:pPr>
        <w:autoSpaceDE w:val="0"/>
        <w:autoSpaceDN w:val="0"/>
        <w:adjustRightInd w:val="0"/>
        <w:ind w:firstLine="708"/>
        <w:jc w:val="both"/>
      </w:pPr>
      <w:r>
        <w:t xml:space="preserve">(2) </w:t>
      </w:r>
      <w:r w:rsidR="00202122" w:rsidRPr="003141C4">
        <w:t xml:space="preserve">Iznos komunalne naknade po </w:t>
      </w:r>
      <w:r w:rsidR="00C767AA">
        <w:t>četvornome metru (</w:t>
      </w:r>
      <w:r w:rsidR="00202122" w:rsidRPr="003141C4">
        <w:t>m</w:t>
      </w:r>
      <w:r w:rsidR="00202122" w:rsidRPr="003141C4">
        <w:rPr>
          <w:vertAlign w:val="superscript"/>
        </w:rPr>
        <w:t>2</w:t>
      </w:r>
      <w:r w:rsidR="00C767AA" w:rsidRPr="0007745A">
        <w:t>)</w:t>
      </w:r>
      <w:r w:rsidR="00C767AA">
        <w:t xml:space="preserve"> </w:t>
      </w:r>
      <w:r w:rsidR="00202122" w:rsidRPr="003141C4">
        <w:t xml:space="preserve"> površine nekretnine utvrđuje se množenjem </w:t>
      </w:r>
      <w:r w:rsidR="00C767AA">
        <w:t xml:space="preserve">koeficijenta zone (Kz), </w:t>
      </w:r>
      <w:r w:rsidR="00202122" w:rsidRPr="003141C4">
        <w:t>koeficijenta namjene (Kn)</w:t>
      </w:r>
      <w:r w:rsidR="00C767AA">
        <w:t xml:space="preserve"> i </w:t>
      </w:r>
      <w:r w:rsidR="00C767AA" w:rsidRPr="003141C4">
        <w:t xml:space="preserve">vrijednosti boda </w:t>
      </w:r>
      <w:r w:rsidR="00C767AA">
        <w:t>komunalne naknade (B)</w:t>
      </w:r>
      <w:r w:rsidR="00202122" w:rsidRPr="003141C4">
        <w:t>.</w:t>
      </w:r>
    </w:p>
    <w:p w:rsidR="00202122" w:rsidRPr="003141C4" w:rsidRDefault="002B29F8" w:rsidP="00D31951">
      <w:pPr>
        <w:ind w:firstLine="708"/>
        <w:jc w:val="both"/>
      </w:pPr>
      <w:r>
        <w:t xml:space="preserve">(3) </w:t>
      </w:r>
      <w:r w:rsidR="00202122" w:rsidRPr="003141C4">
        <w:t xml:space="preserve">Vrijednost boda </w:t>
      </w:r>
      <w:r>
        <w:t xml:space="preserve">komunalne naknade </w:t>
      </w:r>
      <w:r w:rsidR="00202122" w:rsidRPr="003141C4">
        <w:t xml:space="preserve">(B) </w:t>
      </w:r>
      <w:r w:rsidR="00D31951">
        <w:t>određuje O</w:t>
      </w:r>
      <w:r w:rsidR="00202122" w:rsidRPr="003141C4">
        <w:t xml:space="preserve">dlukom </w:t>
      </w:r>
      <w:r w:rsidR="00202122" w:rsidRPr="00C15D6F">
        <w:t>Gradsko vijeće Grada Pule</w:t>
      </w:r>
      <w:r w:rsidR="00787704" w:rsidRPr="00C15D6F">
        <w:t>,</w:t>
      </w:r>
      <w:r w:rsidR="00787704">
        <w:t xml:space="preserve"> a </w:t>
      </w:r>
      <w:r w:rsidR="00D31951">
        <w:t>određuje se u kunama po četvornome metru (</w:t>
      </w:r>
      <w:r w:rsidR="00D31951" w:rsidRPr="003141C4">
        <w:t>m</w:t>
      </w:r>
      <w:r w:rsidR="00D31951" w:rsidRPr="003141C4">
        <w:rPr>
          <w:vertAlign w:val="superscript"/>
        </w:rPr>
        <w:t>2</w:t>
      </w:r>
      <w:r w:rsidR="00D31951" w:rsidRPr="0007745A">
        <w:t>)</w:t>
      </w:r>
      <w:r w:rsidR="00D31951">
        <w:t xml:space="preserve"> </w:t>
      </w:r>
      <w:r w:rsidR="00D31951" w:rsidRPr="003141C4">
        <w:t xml:space="preserve"> </w:t>
      </w:r>
      <w:r w:rsidR="00202122" w:rsidRPr="003141C4">
        <w:t>korisne površine stambenog prostora u prvoj zoni</w:t>
      </w:r>
      <w:r>
        <w:t xml:space="preserve"> </w:t>
      </w:r>
      <w:r w:rsidR="00C15D6F" w:rsidRPr="00C15D6F">
        <w:t>g</w:t>
      </w:r>
      <w:r w:rsidR="00D31951" w:rsidRPr="00C15D6F">
        <w:t>rada</w:t>
      </w:r>
      <w:r w:rsidR="00C15D6F" w:rsidRPr="00C15D6F">
        <w:t xml:space="preserve"> Pule</w:t>
      </w:r>
      <w:r w:rsidR="00202122" w:rsidRPr="00C15D6F">
        <w:t>.</w:t>
      </w:r>
    </w:p>
    <w:p w:rsidR="00202122" w:rsidRDefault="00202122" w:rsidP="00202122">
      <w:pPr>
        <w:rPr>
          <w:b/>
        </w:rPr>
      </w:pPr>
    </w:p>
    <w:p w:rsidR="00202122" w:rsidRDefault="00202122" w:rsidP="00202122">
      <w:pPr>
        <w:rPr>
          <w:b/>
        </w:rPr>
      </w:pPr>
    </w:p>
    <w:p w:rsidR="0075194B" w:rsidRDefault="0075194B" w:rsidP="00202122">
      <w:pPr>
        <w:pStyle w:val="Heading6"/>
        <w:tabs>
          <w:tab w:val="clear" w:pos="7088"/>
        </w:tabs>
        <w:rPr>
          <w:sz w:val="24"/>
          <w:szCs w:val="24"/>
        </w:rPr>
      </w:pPr>
    </w:p>
    <w:p w:rsidR="00202122" w:rsidRPr="0007745A" w:rsidRDefault="00492388" w:rsidP="00202122">
      <w:pPr>
        <w:pStyle w:val="Heading6"/>
        <w:tabs>
          <w:tab w:val="clear" w:pos="7088"/>
        </w:tabs>
        <w:rPr>
          <w:sz w:val="24"/>
          <w:szCs w:val="24"/>
        </w:rPr>
      </w:pPr>
      <w:r>
        <w:rPr>
          <w:sz w:val="24"/>
          <w:szCs w:val="24"/>
        </w:rPr>
        <w:t>I</w:t>
      </w:r>
      <w:r w:rsidR="00202122" w:rsidRPr="0007745A">
        <w:rPr>
          <w:sz w:val="24"/>
          <w:szCs w:val="24"/>
        </w:rPr>
        <w:t xml:space="preserve">I. </w:t>
      </w:r>
      <w:r w:rsidR="00202122" w:rsidRPr="0007745A">
        <w:rPr>
          <w:sz w:val="24"/>
          <w:szCs w:val="24"/>
        </w:rPr>
        <w:tab/>
        <w:t xml:space="preserve">PODRUČJA ZONA </w:t>
      </w:r>
      <w:r w:rsidR="00202122">
        <w:rPr>
          <w:sz w:val="24"/>
          <w:szCs w:val="24"/>
        </w:rPr>
        <w:t xml:space="preserve">KOMUNALNE NAKNADE </w:t>
      </w:r>
    </w:p>
    <w:p w:rsidR="00202122" w:rsidRDefault="00202122" w:rsidP="00202122"/>
    <w:p w:rsidR="00734223" w:rsidRDefault="00734223" w:rsidP="00202122"/>
    <w:p w:rsidR="00202122" w:rsidRDefault="00B619BD" w:rsidP="00202122">
      <w:pPr>
        <w:jc w:val="center"/>
        <w:rPr>
          <w:b/>
        </w:rPr>
      </w:pPr>
      <w:r>
        <w:rPr>
          <w:b/>
        </w:rPr>
        <w:t>Članak 4</w:t>
      </w:r>
      <w:r w:rsidR="00202122" w:rsidRPr="00B619BD">
        <w:rPr>
          <w:b/>
        </w:rPr>
        <w:t>.</w:t>
      </w:r>
    </w:p>
    <w:p w:rsidR="004B4777" w:rsidRPr="00B619BD" w:rsidRDefault="004B4777" w:rsidP="00202122">
      <w:pPr>
        <w:jc w:val="center"/>
        <w:rPr>
          <w:b/>
        </w:rPr>
      </w:pPr>
    </w:p>
    <w:p w:rsidR="00202122" w:rsidRDefault="00817DD3" w:rsidP="00202122">
      <w:r>
        <w:t xml:space="preserve">            </w:t>
      </w:r>
      <w:r w:rsidR="00B619BD">
        <w:t xml:space="preserve">(1) </w:t>
      </w:r>
      <w:r w:rsidR="00B619BD" w:rsidRPr="0007745A">
        <w:t>Komunalna naknada pl</w:t>
      </w:r>
      <w:r w:rsidR="00B619BD">
        <w:t xml:space="preserve">aća se na cijelom području </w:t>
      </w:r>
      <w:r w:rsidR="000D5C39" w:rsidRPr="000D5C39">
        <w:t>grada Pule</w:t>
      </w:r>
      <w:r w:rsidR="00B619BD" w:rsidRPr="000D5C39">
        <w:t>.</w:t>
      </w:r>
    </w:p>
    <w:p w:rsidR="00A32DA9" w:rsidRPr="009A4729" w:rsidRDefault="00817DD3" w:rsidP="00A32DA9">
      <w:pPr>
        <w:ind w:firstLine="708"/>
        <w:jc w:val="both"/>
      </w:pPr>
      <w:r>
        <w:t>(2</w:t>
      </w:r>
      <w:r w:rsidR="00A32DA9">
        <w:t xml:space="preserve">) </w:t>
      </w:r>
      <w:r w:rsidR="00A32DA9" w:rsidRPr="009A4729">
        <w:t xml:space="preserve">U </w:t>
      </w:r>
      <w:r w:rsidR="000D5C39" w:rsidRPr="000D5C39">
        <w:t>g</w:t>
      </w:r>
      <w:r w:rsidR="00A32DA9" w:rsidRPr="000D5C39">
        <w:t>radu Puli</w:t>
      </w:r>
      <w:r w:rsidR="00A32DA9" w:rsidRPr="009A4729">
        <w:t xml:space="preserve"> utvrđuju se </w:t>
      </w:r>
      <w:r w:rsidR="00A32DA9">
        <w:t>četiri</w:t>
      </w:r>
      <w:r w:rsidR="00A32DA9" w:rsidRPr="009A4729">
        <w:t xml:space="preserve"> (</w:t>
      </w:r>
      <w:r w:rsidR="00A32DA9">
        <w:t>4</w:t>
      </w:r>
      <w:r w:rsidR="00A32DA9" w:rsidRPr="009A4729">
        <w:t>) zon</w:t>
      </w:r>
      <w:r w:rsidR="00A32DA9">
        <w:t>e</w:t>
      </w:r>
      <w:r w:rsidR="00A32DA9" w:rsidRPr="009A4729">
        <w:t xml:space="preserve"> za određivanje visine komunalne naknade.</w:t>
      </w:r>
    </w:p>
    <w:p w:rsidR="00A32DA9" w:rsidRPr="009A4729" w:rsidRDefault="00817DD3" w:rsidP="00A32DA9">
      <w:pPr>
        <w:ind w:firstLine="708"/>
        <w:jc w:val="both"/>
      </w:pPr>
      <w:r>
        <w:t>(3</w:t>
      </w:r>
      <w:r w:rsidR="00A32DA9">
        <w:t xml:space="preserve">) </w:t>
      </w:r>
      <w:r w:rsidR="00A32DA9" w:rsidRPr="009A4729">
        <w:t xml:space="preserve">Prvu zonu čini područje u </w:t>
      </w:r>
      <w:r w:rsidR="000D5C39" w:rsidRPr="000D5C39">
        <w:t>g</w:t>
      </w:r>
      <w:r w:rsidR="00A32DA9" w:rsidRPr="000D5C39">
        <w:t>radu Puli</w:t>
      </w:r>
      <w:r w:rsidR="00A32DA9" w:rsidRPr="009A4729">
        <w:t xml:space="preserve"> omeđeno </w:t>
      </w:r>
      <w:r w:rsidR="00A32DA9">
        <w:t xml:space="preserve">slijedećim </w:t>
      </w:r>
      <w:r w:rsidR="00A32DA9" w:rsidRPr="009A4729">
        <w:t xml:space="preserve">ulicama: </w:t>
      </w:r>
      <w:r w:rsidR="003E4E16">
        <w:t>prometnica kod stare plinare od spoja sa Ulicom Prekomorskih brigada prema Pješčanoj uvali, Ulica</w:t>
      </w:r>
      <w:r w:rsidR="003E4E16" w:rsidRPr="009A4729">
        <w:t xml:space="preserve"> Prekomorskih brigada</w:t>
      </w:r>
      <w:r w:rsidR="003E4E16">
        <w:t xml:space="preserve"> do</w:t>
      </w:r>
      <w:r w:rsidR="003E4E16" w:rsidRPr="009A4729">
        <w:t xml:space="preserve"> </w:t>
      </w:r>
      <w:r w:rsidR="00A32DA9" w:rsidRPr="009A4729">
        <w:t>mosta na</w:t>
      </w:r>
      <w:r w:rsidR="00A32DA9">
        <w:t xml:space="preserve"> </w:t>
      </w:r>
      <w:r w:rsidR="00A32DA9" w:rsidRPr="009A4729">
        <w:t xml:space="preserve">Vodnjanskoj cesti, Ulica 119. brigade i to područje ispod mosta do obale - Mandrač Tivoli, (na grafičkom </w:t>
      </w:r>
      <w:r w:rsidR="003E4E16">
        <w:t xml:space="preserve">prikazu -označeno zelenom bojom), </w:t>
      </w:r>
      <w:r w:rsidR="003E4E16" w:rsidRPr="009A4729">
        <w:t>te</w:t>
      </w:r>
      <w:r w:rsidR="003E4E16">
        <w:t xml:space="preserve"> </w:t>
      </w:r>
      <w:r w:rsidR="003E4E16" w:rsidRPr="009A4729">
        <w:t>otočje Brijuni</w:t>
      </w:r>
      <w:r w:rsidR="003E4E16">
        <w:t>.</w:t>
      </w:r>
    </w:p>
    <w:p w:rsidR="00A32DA9" w:rsidRPr="009A4729" w:rsidRDefault="00817DD3" w:rsidP="00A32DA9">
      <w:pPr>
        <w:ind w:firstLine="708"/>
        <w:jc w:val="both"/>
      </w:pPr>
      <w:r>
        <w:t>(4</w:t>
      </w:r>
      <w:r w:rsidR="00A32DA9">
        <w:t xml:space="preserve">) </w:t>
      </w:r>
      <w:r w:rsidR="00A32DA9" w:rsidRPr="009A4729">
        <w:t>Drugu zonu čini područje od vanjskih granica I. zone do granice obuhvata Generalnog</w:t>
      </w:r>
      <w:r w:rsidR="00A32DA9">
        <w:t xml:space="preserve"> </w:t>
      </w:r>
      <w:r w:rsidR="00A32DA9" w:rsidRPr="009A4729">
        <w:t xml:space="preserve">urbanističkog plana </w:t>
      </w:r>
      <w:r w:rsidR="00A32DA9" w:rsidRPr="000D5C39">
        <w:t>grada Pule</w:t>
      </w:r>
      <w:r w:rsidR="00A32DA9" w:rsidRPr="009A4729">
        <w:t xml:space="preserve"> </w:t>
      </w:r>
      <w:r w:rsidR="00A32DA9">
        <w:t xml:space="preserve">u dijelu koje čini građevinsko područje </w:t>
      </w:r>
      <w:r w:rsidR="00A32DA9" w:rsidRPr="009A4729">
        <w:t>(na grafičkom prikazu označeno žutom bojom).</w:t>
      </w:r>
    </w:p>
    <w:p w:rsidR="00A32DA9" w:rsidRDefault="00817DD3" w:rsidP="00A32DA9">
      <w:pPr>
        <w:ind w:firstLine="708"/>
        <w:jc w:val="both"/>
      </w:pPr>
      <w:r>
        <w:t>(5</w:t>
      </w:r>
      <w:r w:rsidR="00A32DA9">
        <w:t xml:space="preserve">) </w:t>
      </w:r>
      <w:r w:rsidR="00A32DA9" w:rsidRPr="009A4729">
        <w:t xml:space="preserve">Treću zonu čine izdvojena građevinska područja </w:t>
      </w:r>
      <w:r w:rsidR="00A32DA9" w:rsidRPr="00504E8D">
        <w:t xml:space="preserve">naselja </w:t>
      </w:r>
      <w:r w:rsidR="00A32DA9" w:rsidRPr="009A4729">
        <w:t>Pula-Pola utvrđena</w:t>
      </w:r>
      <w:r w:rsidR="00A32DA9">
        <w:t xml:space="preserve"> </w:t>
      </w:r>
      <w:r w:rsidR="00A32DA9" w:rsidRPr="009A4729">
        <w:t xml:space="preserve">Prostornim planom </w:t>
      </w:r>
      <w:r w:rsidR="00A32DA9">
        <w:t xml:space="preserve">uređenja </w:t>
      </w:r>
      <w:r w:rsidR="00A32DA9" w:rsidRPr="000D5C39">
        <w:t>grada Pule</w:t>
      </w:r>
      <w:r w:rsidR="00A32DA9" w:rsidRPr="009A4729">
        <w:t xml:space="preserve"> (na grafičkom prikazu označeno ljubičastom bojom).</w:t>
      </w:r>
    </w:p>
    <w:p w:rsidR="00A32DA9" w:rsidRDefault="00817DD3" w:rsidP="00A32DA9">
      <w:pPr>
        <w:ind w:firstLine="708"/>
        <w:jc w:val="both"/>
      </w:pPr>
      <w:r>
        <w:t>(6</w:t>
      </w:r>
      <w:r w:rsidR="00A32DA9">
        <w:t xml:space="preserve">) </w:t>
      </w:r>
      <w:r w:rsidR="00A32DA9" w:rsidRPr="009A4729">
        <w:t xml:space="preserve">Četvrtu zonu čini područje izvan granica građevinskog područja </w:t>
      </w:r>
      <w:r w:rsidR="00A32DA9" w:rsidRPr="00504E8D">
        <w:t xml:space="preserve">naselja </w:t>
      </w:r>
      <w:r w:rsidR="00A32DA9" w:rsidRPr="009A4729">
        <w:t>Pula - Pola i</w:t>
      </w:r>
      <w:r w:rsidR="00A32DA9">
        <w:t xml:space="preserve"> </w:t>
      </w:r>
      <w:r w:rsidR="00A32DA9" w:rsidRPr="009A4729">
        <w:t>njegovih i</w:t>
      </w:r>
      <w:r w:rsidR="00A32DA9">
        <w:t>zdvojenih građevinskih područja</w:t>
      </w:r>
      <w:r w:rsidR="00A32DA9" w:rsidRPr="009A4729">
        <w:t xml:space="preserve"> unutar granica </w:t>
      </w:r>
      <w:r w:rsidR="000D5C39" w:rsidRPr="000D5C39">
        <w:t>g</w:t>
      </w:r>
      <w:r w:rsidR="00A32DA9" w:rsidRPr="000D5C39">
        <w:t>rada Pule,</w:t>
      </w:r>
      <w:r w:rsidR="00A32DA9">
        <w:t xml:space="preserve"> te </w:t>
      </w:r>
      <w:r w:rsidR="00A32DA9" w:rsidRPr="009A4729">
        <w:t xml:space="preserve">područje </w:t>
      </w:r>
      <w:r w:rsidR="00A32DA9">
        <w:t>unutar obuhvata Slobodne zone</w:t>
      </w:r>
      <w:r w:rsidR="00A32DA9" w:rsidRPr="009A4729">
        <w:rPr>
          <w:b/>
        </w:rPr>
        <w:t xml:space="preserve"> </w:t>
      </w:r>
      <w:r w:rsidR="00A32DA9">
        <w:t xml:space="preserve">luke Pula </w:t>
      </w:r>
      <w:r w:rsidR="00A32DA9" w:rsidRPr="009A4729">
        <w:t>(na grafičkom prikazu</w:t>
      </w:r>
      <w:r w:rsidR="00A32DA9">
        <w:t xml:space="preserve"> </w:t>
      </w:r>
      <w:r w:rsidR="00A32DA9" w:rsidRPr="009A4729">
        <w:t>prikazano plavom bojom).</w:t>
      </w:r>
    </w:p>
    <w:p w:rsidR="00A32DA9" w:rsidRDefault="00817DD3" w:rsidP="00A32DA9">
      <w:pPr>
        <w:ind w:firstLine="708"/>
        <w:jc w:val="both"/>
        <w:rPr>
          <w:color w:val="FF0000"/>
        </w:rPr>
      </w:pPr>
      <w:r>
        <w:t>(7</w:t>
      </w:r>
      <w:r w:rsidR="00A32DA9">
        <w:t xml:space="preserve">) </w:t>
      </w:r>
      <w:r w:rsidR="00A32DA9" w:rsidRPr="009A4729">
        <w:t>Grafički prikaz područja zona čini sastavni dio ove Odluke</w:t>
      </w:r>
      <w:r w:rsidR="00E96408" w:rsidRPr="009A4729">
        <w:t>.</w:t>
      </w:r>
    </w:p>
    <w:p w:rsidR="00202122" w:rsidRPr="000548DF" w:rsidRDefault="00202122" w:rsidP="00A32DA9">
      <w:pPr>
        <w:pStyle w:val="BodyText"/>
        <w:rPr>
          <w:sz w:val="24"/>
          <w:szCs w:val="24"/>
        </w:rPr>
      </w:pPr>
    </w:p>
    <w:p w:rsidR="00B67963" w:rsidRDefault="00202122" w:rsidP="008017EC">
      <w:pPr>
        <w:pStyle w:val="BodyText"/>
        <w:rPr>
          <w:rFonts w:ascii="Times New Roman" w:hAnsi="Times New Roman"/>
          <w:color w:val="FF0000"/>
          <w:sz w:val="24"/>
          <w:szCs w:val="24"/>
        </w:rPr>
      </w:pPr>
      <w:r w:rsidRPr="0007745A">
        <w:rPr>
          <w:rFonts w:ascii="Times New Roman" w:hAnsi="Times New Roman"/>
          <w:color w:val="FF0000"/>
          <w:sz w:val="24"/>
          <w:szCs w:val="24"/>
        </w:rPr>
        <w:t xml:space="preserve"> </w:t>
      </w:r>
    </w:p>
    <w:p w:rsidR="00B67963" w:rsidRPr="0007745A" w:rsidRDefault="00B67963" w:rsidP="008017EC">
      <w:pPr>
        <w:pStyle w:val="BodyText"/>
        <w:rPr>
          <w:rFonts w:ascii="Times New Roman" w:hAnsi="Times New Roman"/>
          <w:color w:val="FF0000"/>
          <w:sz w:val="24"/>
          <w:szCs w:val="24"/>
        </w:rPr>
      </w:pPr>
    </w:p>
    <w:p w:rsidR="00202122" w:rsidRDefault="00492388" w:rsidP="00202122">
      <w:pPr>
        <w:rPr>
          <w:b/>
        </w:rPr>
      </w:pPr>
      <w:r>
        <w:rPr>
          <w:b/>
        </w:rPr>
        <w:t>III</w:t>
      </w:r>
      <w:r w:rsidR="00202122" w:rsidRPr="0007745A">
        <w:rPr>
          <w:b/>
        </w:rPr>
        <w:t xml:space="preserve">. </w:t>
      </w:r>
      <w:r w:rsidR="00202122" w:rsidRPr="0007745A">
        <w:rPr>
          <w:b/>
        </w:rPr>
        <w:tab/>
      </w:r>
      <w:r w:rsidR="00202122">
        <w:rPr>
          <w:b/>
        </w:rPr>
        <w:t>KOEFICIJENT ZONE</w:t>
      </w:r>
    </w:p>
    <w:p w:rsidR="00202122" w:rsidRDefault="00202122" w:rsidP="00202122"/>
    <w:p w:rsidR="00734223" w:rsidRPr="00614789" w:rsidRDefault="00734223" w:rsidP="00202122"/>
    <w:p w:rsidR="00202122" w:rsidRPr="0007745A" w:rsidRDefault="00B619BD" w:rsidP="00202122">
      <w:pPr>
        <w:jc w:val="center"/>
        <w:rPr>
          <w:b/>
        </w:rPr>
      </w:pPr>
      <w:r>
        <w:rPr>
          <w:b/>
        </w:rPr>
        <w:t>Članak 5</w:t>
      </w:r>
      <w:r w:rsidR="00202122" w:rsidRPr="0007745A">
        <w:rPr>
          <w:b/>
        </w:rPr>
        <w:t>.</w:t>
      </w:r>
    </w:p>
    <w:p w:rsidR="00202122" w:rsidRDefault="00202122" w:rsidP="00202122">
      <w:pPr>
        <w:jc w:val="center"/>
        <w:rPr>
          <w:b/>
        </w:rPr>
      </w:pPr>
    </w:p>
    <w:p w:rsidR="00202122" w:rsidRDefault="00202122" w:rsidP="00202122">
      <w:pPr>
        <w:pStyle w:val="BodyText2"/>
        <w:rPr>
          <w:sz w:val="24"/>
          <w:szCs w:val="24"/>
        </w:rPr>
      </w:pPr>
      <w:r w:rsidRPr="0007745A">
        <w:rPr>
          <w:sz w:val="24"/>
          <w:szCs w:val="24"/>
        </w:rPr>
        <w:tab/>
      </w:r>
      <w:r w:rsidRPr="00C74498">
        <w:rPr>
          <w:sz w:val="24"/>
          <w:szCs w:val="24"/>
        </w:rPr>
        <w:t>Utvrđuju se koeficijenti zona (Kz) u svrhu određivanja komunalne naknade za:</w:t>
      </w:r>
      <w:r w:rsidRPr="00C74498">
        <w:rPr>
          <w:sz w:val="24"/>
          <w:szCs w:val="24"/>
        </w:rPr>
        <w:tab/>
      </w:r>
    </w:p>
    <w:p w:rsidR="002B29F8" w:rsidRDefault="002B29F8" w:rsidP="002B29F8">
      <w:pPr>
        <w:pStyle w:val="BodyText2"/>
        <w:rPr>
          <w:sz w:val="24"/>
          <w:szCs w:val="24"/>
        </w:rPr>
      </w:pPr>
    </w:p>
    <w:p w:rsidR="00202122" w:rsidRPr="00C74498" w:rsidRDefault="002B29F8" w:rsidP="002B29F8">
      <w:pPr>
        <w:pStyle w:val="BodyText2"/>
        <w:rPr>
          <w:sz w:val="24"/>
          <w:szCs w:val="24"/>
        </w:rPr>
      </w:pPr>
      <w:r>
        <w:rPr>
          <w:sz w:val="24"/>
          <w:szCs w:val="24"/>
        </w:rPr>
        <w:t xml:space="preserve">                                                    </w:t>
      </w:r>
      <w:r w:rsidR="00734C21">
        <w:rPr>
          <w:sz w:val="24"/>
          <w:szCs w:val="24"/>
        </w:rPr>
        <w:t xml:space="preserve">  </w:t>
      </w:r>
      <w:r>
        <w:rPr>
          <w:sz w:val="24"/>
          <w:szCs w:val="24"/>
        </w:rPr>
        <w:t xml:space="preserve"> </w:t>
      </w:r>
      <w:r w:rsidR="00734C21">
        <w:rPr>
          <w:sz w:val="24"/>
          <w:szCs w:val="24"/>
        </w:rPr>
        <w:t>I</w:t>
      </w:r>
      <w:r w:rsidR="00202122">
        <w:rPr>
          <w:sz w:val="24"/>
          <w:szCs w:val="24"/>
        </w:rPr>
        <w:t xml:space="preserve">. </w:t>
      </w:r>
      <w:r>
        <w:rPr>
          <w:sz w:val="24"/>
          <w:szCs w:val="24"/>
        </w:rPr>
        <w:t xml:space="preserve">  zonu                     </w:t>
      </w:r>
      <w:r w:rsidR="00202122" w:rsidRPr="00C74498">
        <w:rPr>
          <w:sz w:val="24"/>
          <w:szCs w:val="24"/>
        </w:rPr>
        <w:t>1,00</w:t>
      </w:r>
      <w:r w:rsidR="00F06D46">
        <w:rPr>
          <w:sz w:val="24"/>
          <w:szCs w:val="24"/>
        </w:rPr>
        <w:t xml:space="preserve">  </w:t>
      </w:r>
    </w:p>
    <w:p w:rsidR="00202122" w:rsidRPr="00C74498" w:rsidRDefault="00202122" w:rsidP="00202122">
      <w:pPr>
        <w:ind w:left="2112" w:firstLine="720"/>
      </w:pPr>
      <w:r>
        <w:t xml:space="preserve">       </w:t>
      </w:r>
      <w:r w:rsidRPr="00C74498">
        <w:t>II</w:t>
      </w:r>
      <w:r>
        <w:t>.</w:t>
      </w:r>
      <w:r w:rsidRPr="00C74498">
        <w:t xml:space="preserve">  zonu </w:t>
      </w:r>
      <w:r w:rsidRPr="00C74498">
        <w:tab/>
      </w:r>
      <w:r>
        <w:t xml:space="preserve">                   </w:t>
      </w:r>
      <w:r w:rsidRPr="00C74498">
        <w:t>0,80</w:t>
      </w:r>
    </w:p>
    <w:p w:rsidR="00202122" w:rsidRPr="00C74498" w:rsidRDefault="00202122" w:rsidP="00202122">
      <w:pPr>
        <w:jc w:val="center"/>
      </w:pPr>
      <w:r w:rsidRPr="00C74498">
        <w:t>III</w:t>
      </w:r>
      <w:r>
        <w:t>.</w:t>
      </w:r>
      <w:r w:rsidRPr="00C74498">
        <w:t xml:space="preserve"> zonu </w:t>
      </w:r>
      <w:r w:rsidRPr="00C74498">
        <w:tab/>
      </w:r>
      <w:r w:rsidRPr="00C74498">
        <w:tab/>
        <w:t>0,70</w:t>
      </w:r>
    </w:p>
    <w:p w:rsidR="00202122" w:rsidRPr="00C74498" w:rsidRDefault="00202122" w:rsidP="00202122">
      <w:pPr>
        <w:jc w:val="center"/>
      </w:pPr>
      <w:r w:rsidRPr="00C74498">
        <w:lastRenderedPageBreak/>
        <w:t>IV</w:t>
      </w:r>
      <w:r>
        <w:t>.</w:t>
      </w:r>
      <w:r w:rsidRPr="00C74498">
        <w:t xml:space="preserve"> zonu </w:t>
      </w:r>
      <w:r w:rsidRPr="00C74498">
        <w:tab/>
      </w:r>
      <w:r w:rsidRPr="00C74498">
        <w:tab/>
        <w:t>0,50</w:t>
      </w:r>
    </w:p>
    <w:p w:rsidR="00202122" w:rsidRDefault="00202122" w:rsidP="00202122">
      <w:pPr>
        <w:rPr>
          <w:color w:val="FF0000"/>
        </w:rPr>
      </w:pPr>
    </w:p>
    <w:p w:rsidR="00202122" w:rsidRDefault="00202122" w:rsidP="00202122">
      <w:pPr>
        <w:rPr>
          <w:color w:val="FF0000"/>
        </w:rPr>
      </w:pPr>
    </w:p>
    <w:p w:rsidR="00202122" w:rsidRDefault="00492388" w:rsidP="00202122">
      <w:pPr>
        <w:rPr>
          <w:b/>
        </w:rPr>
      </w:pPr>
      <w:r>
        <w:rPr>
          <w:b/>
        </w:rPr>
        <w:t>I</w:t>
      </w:r>
      <w:r w:rsidR="00202122" w:rsidRPr="0007745A">
        <w:rPr>
          <w:b/>
        </w:rPr>
        <w:t xml:space="preserve">V. </w:t>
      </w:r>
      <w:r w:rsidR="00202122" w:rsidRPr="0007745A">
        <w:rPr>
          <w:b/>
        </w:rPr>
        <w:tab/>
      </w:r>
      <w:r w:rsidR="00202122">
        <w:rPr>
          <w:b/>
        </w:rPr>
        <w:t xml:space="preserve">KOEFICIJENT </w:t>
      </w:r>
      <w:r w:rsidR="00202122" w:rsidRPr="0007745A">
        <w:rPr>
          <w:b/>
        </w:rPr>
        <w:t>NAMJEN</w:t>
      </w:r>
      <w:r w:rsidR="00202122">
        <w:rPr>
          <w:b/>
        </w:rPr>
        <w:t>E</w:t>
      </w:r>
    </w:p>
    <w:p w:rsidR="00734223" w:rsidRDefault="00734223" w:rsidP="00202122">
      <w:pPr>
        <w:rPr>
          <w:b/>
        </w:rPr>
      </w:pPr>
    </w:p>
    <w:p w:rsidR="00202122" w:rsidRDefault="00202122" w:rsidP="00202122">
      <w:pPr>
        <w:jc w:val="center"/>
        <w:rPr>
          <w:b/>
        </w:rPr>
      </w:pPr>
    </w:p>
    <w:p w:rsidR="00202122" w:rsidRPr="001378E0" w:rsidRDefault="00B619BD" w:rsidP="00202122">
      <w:pPr>
        <w:jc w:val="center"/>
        <w:rPr>
          <w:b/>
        </w:rPr>
      </w:pPr>
      <w:r w:rsidRPr="001378E0">
        <w:rPr>
          <w:b/>
        </w:rPr>
        <w:t>Članak 6</w:t>
      </w:r>
      <w:r w:rsidR="00202122" w:rsidRPr="001378E0">
        <w:rPr>
          <w:b/>
        </w:rPr>
        <w:t>.</w:t>
      </w:r>
    </w:p>
    <w:p w:rsidR="00202122" w:rsidRDefault="00202122" w:rsidP="00202122"/>
    <w:p w:rsidR="00202122" w:rsidRPr="0007745A" w:rsidRDefault="00202122" w:rsidP="00202122">
      <w:r w:rsidRPr="0007745A">
        <w:tab/>
        <w:t>Utvrđuju se koeficijenti namjene nekretnina (Kn) za:</w:t>
      </w:r>
    </w:p>
    <w:p w:rsidR="006C7A34" w:rsidRDefault="00202122" w:rsidP="00202122">
      <w:r w:rsidRPr="0007745A">
        <w:t>-  stambeni prostor</w:t>
      </w:r>
      <w:r w:rsidR="006C7A34">
        <w:t xml:space="preserve">                                                                                       </w:t>
      </w:r>
      <w:r w:rsidRPr="0007745A">
        <w:t xml:space="preserve"> </w:t>
      </w:r>
      <w:r w:rsidR="006C7A34" w:rsidRPr="0007745A">
        <w:t>-    1,00</w:t>
      </w:r>
    </w:p>
    <w:p w:rsidR="00202122" w:rsidRPr="0007745A" w:rsidRDefault="006C7A34" w:rsidP="00202122">
      <w:r>
        <w:t xml:space="preserve">- stambeni i poslovni </w:t>
      </w:r>
      <w:r w:rsidR="00202122" w:rsidRPr="0007745A">
        <w:t xml:space="preserve">prostor koji </w:t>
      </w:r>
      <w:r w:rsidR="00584855">
        <w:t>koriste neprofitne udruge građa</w:t>
      </w:r>
      <w:r>
        <w:t>na</w:t>
      </w:r>
      <w:r>
        <w:tab/>
      </w:r>
      <w:r w:rsidR="00202122" w:rsidRPr="0007745A">
        <w:t>-    1,00</w:t>
      </w:r>
    </w:p>
    <w:p w:rsidR="00202122" w:rsidRPr="0007745A" w:rsidRDefault="00202122" w:rsidP="00202122">
      <w:r w:rsidRPr="0007745A">
        <w:t>-  garažni prostor</w:t>
      </w:r>
      <w:r w:rsidRPr="0007745A">
        <w:tab/>
      </w:r>
      <w:r w:rsidRPr="0007745A">
        <w:tab/>
      </w:r>
      <w:r w:rsidRPr="0007745A">
        <w:tab/>
      </w:r>
      <w:r w:rsidRPr="0007745A">
        <w:tab/>
      </w:r>
      <w:r w:rsidRPr="0007745A">
        <w:tab/>
      </w:r>
      <w:r w:rsidRPr="0007745A">
        <w:tab/>
      </w:r>
      <w:r w:rsidRPr="0007745A">
        <w:tab/>
      </w:r>
      <w:r w:rsidRPr="0007745A">
        <w:tab/>
        <w:t>-    1,00</w:t>
      </w:r>
    </w:p>
    <w:p w:rsidR="00202122" w:rsidRPr="0007745A" w:rsidRDefault="00202122" w:rsidP="00202122">
      <w:r w:rsidRPr="0007745A">
        <w:t>-  neizgrađeno građevinsko zemljište</w:t>
      </w:r>
      <w:r w:rsidRPr="0007745A">
        <w:tab/>
      </w:r>
      <w:r w:rsidRPr="0007745A">
        <w:tab/>
      </w:r>
      <w:r w:rsidRPr="0007745A">
        <w:tab/>
      </w:r>
      <w:r w:rsidRPr="0007745A">
        <w:tab/>
      </w:r>
      <w:r w:rsidRPr="0007745A">
        <w:tab/>
      </w:r>
      <w:r w:rsidRPr="0007745A">
        <w:tab/>
        <w:t>-    0,05</w:t>
      </w:r>
    </w:p>
    <w:p w:rsidR="001378E0" w:rsidRDefault="00202122" w:rsidP="00202122">
      <w:pPr>
        <w:rPr>
          <w:u w:val="single"/>
        </w:rPr>
      </w:pPr>
      <w:r w:rsidRPr="0007745A">
        <w:t xml:space="preserve">-  poslovni prostor ovisno o djelatnosti po područjima, (sukladno metodologiji  </w:t>
      </w:r>
      <w:r w:rsidRPr="001378E0">
        <w:t>Nacionalne klasifikacije djelatnosti 2007. – NKD 2007.,</w:t>
      </w:r>
      <w:r w:rsidR="0075325F">
        <w:t xml:space="preserve"> </w:t>
      </w:r>
      <w:r w:rsidRPr="001378E0">
        <w:t xml:space="preserve"> </w:t>
      </w:r>
      <w:r w:rsidR="00584855">
        <w:t>„</w:t>
      </w:r>
      <w:r w:rsidR="00584855" w:rsidRPr="00535B01">
        <w:t xml:space="preserve">Narodne novine" </w:t>
      </w:r>
      <w:r w:rsidRPr="001378E0">
        <w:t>br. 58/2007) kako slijedi:</w:t>
      </w:r>
    </w:p>
    <w:p w:rsidR="00202122" w:rsidRDefault="001378E0" w:rsidP="00202122">
      <w:r>
        <w:t xml:space="preserve"> </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37"/>
        <w:gridCol w:w="935"/>
        <w:gridCol w:w="7667"/>
      </w:tblGrid>
      <w:tr w:rsidR="00202122" w:rsidRPr="00076E3D">
        <w:trPr>
          <w:trHeight w:val="270"/>
          <w:jc w:val="center"/>
        </w:trPr>
        <w:tc>
          <w:tcPr>
            <w:tcW w:w="1137" w:type="dxa"/>
            <w:noWrap/>
            <w:tcMar>
              <w:top w:w="15" w:type="dxa"/>
              <w:left w:w="15" w:type="dxa"/>
              <w:bottom w:w="0" w:type="dxa"/>
              <w:right w:w="15" w:type="dxa"/>
            </w:tcMar>
            <w:vAlign w:val="center"/>
          </w:tcPr>
          <w:p w:rsidR="00202122" w:rsidRPr="00076E3D" w:rsidRDefault="00202122" w:rsidP="00202122">
            <w:pPr>
              <w:jc w:val="center"/>
              <w:rPr>
                <w:b/>
                <w:sz w:val="20"/>
                <w:szCs w:val="20"/>
              </w:rPr>
            </w:pPr>
            <w:r w:rsidRPr="00076E3D">
              <w:rPr>
                <w:sz w:val="20"/>
                <w:szCs w:val="20"/>
              </w:rPr>
              <w:br w:type="page"/>
            </w:r>
            <w:r w:rsidRPr="00076E3D">
              <w:rPr>
                <w:b/>
                <w:sz w:val="20"/>
                <w:szCs w:val="20"/>
              </w:rPr>
              <w:t>Koeficijent  namjene</w:t>
            </w:r>
          </w:p>
        </w:tc>
        <w:tc>
          <w:tcPr>
            <w:tcW w:w="935" w:type="dxa"/>
            <w:noWrap/>
            <w:tcMar>
              <w:top w:w="15" w:type="dxa"/>
              <w:left w:w="15" w:type="dxa"/>
              <w:bottom w:w="0" w:type="dxa"/>
              <w:right w:w="15" w:type="dxa"/>
            </w:tcMar>
            <w:vAlign w:val="bottom"/>
          </w:tcPr>
          <w:p w:rsidR="00202122" w:rsidRPr="00076E3D" w:rsidRDefault="00202122" w:rsidP="00202122">
            <w:pPr>
              <w:jc w:val="center"/>
              <w:rPr>
                <w:b/>
                <w:sz w:val="20"/>
                <w:szCs w:val="20"/>
              </w:rPr>
            </w:pPr>
            <w:r w:rsidRPr="00076E3D">
              <w:rPr>
                <w:b/>
                <w:sz w:val="20"/>
                <w:szCs w:val="20"/>
              </w:rPr>
              <w:t>Područje,</w:t>
            </w:r>
          </w:p>
          <w:p w:rsidR="00202122" w:rsidRPr="00076E3D" w:rsidRDefault="00202122" w:rsidP="00202122">
            <w:pPr>
              <w:jc w:val="center"/>
              <w:rPr>
                <w:b/>
                <w:sz w:val="20"/>
                <w:szCs w:val="20"/>
              </w:rPr>
            </w:pPr>
            <w:r w:rsidRPr="00076E3D">
              <w:rPr>
                <w:b/>
                <w:sz w:val="20"/>
                <w:szCs w:val="20"/>
              </w:rPr>
              <w:t>Odjeljak,</w:t>
            </w:r>
          </w:p>
          <w:p w:rsidR="00202122" w:rsidRPr="00076E3D" w:rsidRDefault="00202122" w:rsidP="00202122">
            <w:pPr>
              <w:jc w:val="center"/>
              <w:rPr>
                <w:b/>
                <w:sz w:val="20"/>
                <w:szCs w:val="20"/>
              </w:rPr>
            </w:pPr>
            <w:r w:rsidRPr="00076E3D">
              <w:rPr>
                <w:b/>
                <w:sz w:val="20"/>
                <w:szCs w:val="20"/>
              </w:rPr>
              <w:t>Skupina,</w:t>
            </w:r>
          </w:p>
          <w:p w:rsidR="00202122" w:rsidRPr="00076E3D" w:rsidRDefault="00202122" w:rsidP="00202122">
            <w:pPr>
              <w:jc w:val="center"/>
              <w:rPr>
                <w:b/>
                <w:sz w:val="20"/>
                <w:szCs w:val="20"/>
              </w:rPr>
            </w:pPr>
            <w:r w:rsidRPr="00076E3D">
              <w:rPr>
                <w:b/>
                <w:sz w:val="20"/>
                <w:szCs w:val="20"/>
              </w:rPr>
              <w:t>Razred</w:t>
            </w:r>
          </w:p>
        </w:tc>
        <w:tc>
          <w:tcPr>
            <w:tcW w:w="7667" w:type="dxa"/>
            <w:noWrap/>
            <w:tcMar>
              <w:top w:w="15" w:type="dxa"/>
              <w:left w:w="15" w:type="dxa"/>
              <w:bottom w:w="0" w:type="dxa"/>
              <w:right w:w="15" w:type="dxa"/>
            </w:tcMar>
            <w:vAlign w:val="center"/>
          </w:tcPr>
          <w:p w:rsidR="00202122" w:rsidRPr="00076E3D" w:rsidRDefault="00202122" w:rsidP="00202122">
            <w:pPr>
              <w:jc w:val="center"/>
              <w:rPr>
                <w:b/>
                <w:sz w:val="20"/>
                <w:szCs w:val="20"/>
              </w:rPr>
            </w:pPr>
            <w:r w:rsidRPr="00076E3D">
              <w:rPr>
                <w:b/>
                <w:sz w:val="20"/>
                <w:szCs w:val="20"/>
              </w:rPr>
              <w:t>Naziv djelatnosti</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10</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I</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DJELATNOSTI PRUŽANJA SMJEŠTAJA TE PRIPREME I USLUŽIVANJA HRANE </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K</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FINANCIJSKE DJELATNOSTI I DJELATNOSTI OSIGURANJA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L</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pacing w:val="-2"/>
                <w:sz w:val="20"/>
                <w:szCs w:val="20"/>
              </w:rPr>
              <w:t>POSLOVANJE NEKRETNINAMA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M</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STRUČNE, ZNANSTVENE I TEHNIČKE DJELATNOSTI osim Znanstveno istraživanje i razvoj (NKD 72)</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bCs/>
                <w:color w:val="000000"/>
                <w:sz w:val="20"/>
                <w:szCs w:val="20"/>
              </w:rPr>
            </w:pPr>
            <w:r w:rsidRPr="00076E3D">
              <w:rPr>
                <w:b/>
                <w:bCs/>
                <w:color w:val="000000"/>
                <w:sz w:val="20"/>
                <w:szCs w:val="20"/>
              </w:rPr>
              <w:t>79</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bCs/>
                <w:sz w:val="20"/>
                <w:szCs w:val="20"/>
              </w:rPr>
              <w:t>Putničke agencije, organizatori putovanja (turoperatori) i ostale rezervacijske usluge  te djelatnosti povezane s njima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bCs/>
                <w:color w:val="000000"/>
                <w:sz w:val="20"/>
                <w:szCs w:val="20"/>
              </w:rPr>
            </w:pPr>
            <w:r w:rsidRPr="00076E3D">
              <w:rPr>
                <w:b/>
                <w:bCs/>
                <w:color w:val="000000"/>
                <w:sz w:val="20"/>
                <w:szCs w:val="20"/>
              </w:rPr>
              <w:t>80</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bCs/>
                <w:sz w:val="20"/>
                <w:szCs w:val="20"/>
              </w:rPr>
              <w:t>Zaštitne i istražne djelatnosti</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82</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Uredske administrativne i pomoćne djelatnosti te ostale poslovne pomoćne djelatnosti</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sz w:val="20"/>
                <w:szCs w:val="20"/>
              </w:rPr>
              <w:t>92</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sz w:val="20"/>
                <w:szCs w:val="20"/>
              </w:rPr>
              <w:t>Djelatnosti kockanja i klađenja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bCs/>
                <w:sz w:val="20"/>
                <w:szCs w:val="20"/>
              </w:rPr>
            </w:pPr>
            <w:r w:rsidRPr="00076E3D">
              <w:rPr>
                <w:b/>
                <w:bCs/>
                <w:iCs/>
                <w:color w:val="000000"/>
                <w:sz w:val="20"/>
                <w:szCs w:val="20"/>
              </w:rPr>
              <w:t>93.2</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bCs/>
                <w:color w:val="000000"/>
                <w:spacing w:val="-4"/>
                <w:sz w:val="20"/>
                <w:szCs w:val="20"/>
              </w:rPr>
              <w:t>Zabavne i rekreacijske djelatnosti</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9</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33</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Popravak i instaliranje strojeva i opreme</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bCs/>
                <w:color w:val="000000"/>
                <w:sz w:val="20"/>
                <w:szCs w:val="20"/>
              </w:rPr>
            </w:pPr>
            <w:r w:rsidRPr="00076E3D">
              <w:rPr>
                <w:b/>
                <w:bCs/>
                <w:color w:val="000000"/>
                <w:sz w:val="20"/>
                <w:szCs w:val="20"/>
              </w:rPr>
              <w:t>81</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pacing w:val="-4"/>
                <w:sz w:val="20"/>
                <w:szCs w:val="20"/>
              </w:rPr>
              <w:t>Usluge u vezi s upravljanjem i održavanjem zgrada te djelatnosti uređenja i</w:t>
            </w:r>
            <w:r w:rsidRPr="00076E3D">
              <w:rPr>
                <w:b/>
                <w:bCs/>
                <w:sz w:val="20"/>
                <w:szCs w:val="20"/>
              </w:rPr>
              <w:t xml:space="preserve"> održavanja</w:t>
            </w:r>
            <w:r w:rsidRPr="00076E3D">
              <w:rPr>
                <w:b/>
                <w:bCs/>
                <w:color w:val="000000"/>
                <w:spacing w:val="-4"/>
                <w:sz w:val="20"/>
                <w:szCs w:val="20"/>
              </w:rPr>
              <w:t xml:space="preserve">  krajolika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G</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TRGOVINA NA VELIKO I NA MALO; POPRAVAK MOTORNIH VOZILA I MOTOCIKALA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77</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Djelatnosti iznajmljivanja i davanja u zakup (leasing)</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78</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Djelatnosti zapošljavanja</w:t>
            </w:r>
          </w:p>
        </w:tc>
      </w:tr>
      <w:tr w:rsidR="00202122" w:rsidRPr="00076E3D">
        <w:trPr>
          <w:trHeight w:val="319"/>
          <w:jc w:val="center"/>
        </w:trPr>
        <w:tc>
          <w:tcPr>
            <w:tcW w:w="1137" w:type="dxa"/>
            <w:tcMar>
              <w:top w:w="15" w:type="dxa"/>
              <w:left w:w="15" w:type="dxa"/>
              <w:bottom w:w="0" w:type="dxa"/>
              <w:right w:w="15" w:type="dxa"/>
            </w:tcMar>
            <w:vAlign w:val="center"/>
          </w:tcPr>
          <w:p w:rsidR="00202122" w:rsidRPr="00076E3D" w:rsidRDefault="00202122" w:rsidP="00202122">
            <w:pPr>
              <w:jc w:val="center"/>
              <w:rPr>
                <w:b/>
                <w:bCs/>
                <w:i/>
                <w:iCs/>
                <w:color w:val="000000"/>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93.13</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sz w:val="20"/>
                <w:szCs w:val="20"/>
              </w:rPr>
              <w:t>Fitnes centri</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S</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 xml:space="preserve">OSTALE USLUŽNE DJELATNOSTI osim Popravak obuće i proizvoda od kože (NKD 95.23),  te Ostale osobne uslužne djelatnosti (NKD 96) </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8</w:t>
            </w:r>
          </w:p>
        </w:tc>
        <w:tc>
          <w:tcPr>
            <w:tcW w:w="935" w:type="dxa"/>
            <w:tcMar>
              <w:top w:w="15" w:type="dxa"/>
              <w:left w:w="15" w:type="dxa"/>
              <w:bottom w:w="0" w:type="dxa"/>
              <w:right w:w="15" w:type="dxa"/>
            </w:tcMar>
          </w:tcPr>
          <w:p w:rsidR="00202122" w:rsidRPr="00076E3D" w:rsidRDefault="00202122" w:rsidP="00202122">
            <w:pPr>
              <w:jc w:val="center"/>
              <w:rPr>
                <w:b/>
                <w:bCs/>
                <w:iCs/>
                <w:color w:val="000000"/>
                <w:sz w:val="20"/>
                <w:szCs w:val="20"/>
              </w:rPr>
            </w:pPr>
            <w:r w:rsidRPr="00076E3D">
              <w:rPr>
                <w:b/>
                <w:bCs/>
                <w:iCs/>
                <w:color w:val="000000"/>
                <w:sz w:val="20"/>
                <w:szCs w:val="20"/>
              </w:rPr>
              <w:t>D</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OPSKRBA ELEKTRIČNOM ENERGIJOM, PLINOM, PAROM I KLIMATIZACIJA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E</w:t>
            </w:r>
          </w:p>
        </w:tc>
        <w:tc>
          <w:tcPr>
            <w:tcW w:w="7667" w:type="dxa"/>
            <w:tcMar>
              <w:top w:w="15" w:type="dxa"/>
              <w:left w:w="15" w:type="dxa"/>
              <w:bottom w:w="0" w:type="dxa"/>
              <w:right w:w="15" w:type="dxa"/>
            </w:tcMar>
            <w:vAlign w:val="center"/>
          </w:tcPr>
          <w:p w:rsidR="00202122" w:rsidRPr="00076E3D" w:rsidRDefault="00202122" w:rsidP="00202122">
            <w:pPr>
              <w:autoSpaceDE w:val="0"/>
              <w:autoSpaceDN w:val="0"/>
              <w:adjustRightInd w:val="0"/>
              <w:rPr>
                <w:b/>
                <w:bCs/>
                <w:sz w:val="20"/>
                <w:szCs w:val="20"/>
              </w:rPr>
            </w:pPr>
            <w:r w:rsidRPr="00076E3D">
              <w:rPr>
                <w:b/>
                <w:bCs/>
                <w:sz w:val="20"/>
                <w:szCs w:val="20"/>
              </w:rPr>
              <w:t>OPSKRBA VODOM; UKLANJANJE OTPADNIH VODA,</w:t>
            </w:r>
          </w:p>
          <w:p w:rsidR="00202122" w:rsidRPr="00076E3D" w:rsidRDefault="00202122" w:rsidP="00202122">
            <w:pPr>
              <w:rPr>
                <w:b/>
                <w:bCs/>
                <w:color w:val="000000"/>
                <w:sz w:val="20"/>
                <w:szCs w:val="20"/>
              </w:rPr>
            </w:pPr>
            <w:r w:rsidRPr="00076E3D">
              <w:rPr>
                <w:b/>
                <w:bCs/>
                <w:sz w:val="20"/>
                <w:szCs w:val="20"/>
              </w:rPr>
              <w:t>GOSPODARENJE OTPADOM TE DJELATNOSTI SANACIJE OKOLIŠA</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J</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INFORMACIJE I KOMUNIKACIJE</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F</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GRAĐEVINARSTVO</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H</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PRIJEVOZ I SKLADIŠTENJE</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7</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U</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DJELATNOSTI IZVANTERITORIJALNIH ORGANIZACIJA I TIJELA</w:t>
            </w:r>
          </w:p>
        </w:tc>
      </w:tr>
      <w:tr w:rsidR="00202122" w:rsidRPr="00076E3D">
        <w:trPr>
          <w:trHeight w:val="319"/>
          <w:jc w:val="center"/>
        </w:trPr>
        <w:tc>
          <w:tcPr>
            <w:tcW w:w="1137" w:type="dxa"/>
            <w:tcMar>
              <w:top w:w="15" w:type="dxa"/>
              <w:left w:w="15" w:type="dxa"/>
              <w:bottom w:w="0" w:type="dxa"/>
              <w:right w:w="15" w:type="dxa"/>
            </w:tcMar>
            <w:vAlign w:val="center"/>
          </w:tcPr>
          <w:p w:rsidR="00202122" w:rsidRPr="00076E3D" w:rsidRDefault="00202122" w:rsidP="00202122">
            <w:pPr>
              <w:jc w:val="center"/>
              <w:rPr>
                <w:b/>
                <w:sz w:val="20"/>
                <w:szCs w:val="20"/>
              </w:rPr>
            </w:pPr>
            <w:r w:rsidRPr="00076E3D">
              <w:rPr>
                <w:b/>
                <w:sz w:val="20"/>
                <w:szCs w:val="20"/>
              </w:rPr>
              <w:lastRenderedPageBreak/>
              <w:t>6</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95.23</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bCs/>
                <w:color w:val="000000"/>
                <w:sz w:val="20"/>
                <w:szCs w:val="20"/>
              </w:rPr>
              <w:t>Popravak obuće i proizvoda od kože</w:t>
            </w:r>
          </w:p>
        </w:tc>
      </w:tr>
      <w:tr w:rsidR="00202122" w:rsidRPr="00076E3D">
        <w:trPr>
          <w:trHeight w:val="319"/>
          <w:jc w:val="center"/>
        </w:trPr>
        <w:tc>
          <w:tcPr>
            <w:tcW w:w="1137" w:type="dxa"/>
            <w:tcMar>
              <w:top w:w="15" w:type="dxa"/>
              <w:left w:w="15" w:type="dxa"/>
              <w:bottom w:w="0" w:type="dxa"/>
              <w:right w:w="15" w:type="dxa"/>
            </w:tcMar>
            <w:vAlign w:val="cente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96</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Ostale osobne uslužne djelatnosti</w:t>
            </w:r>
          </w:p>
        </w:tc>
      </w:tr>
      <w:tr w:rsidR="00202122" w:rsidRPr="00076E3D">
        <w:trPr>
          <w:trHeight w:val="319"/>
          <w:jc w:val="center"/>
        </w:trPr>
        <w:tc>
          <w:tcPr>
            <w:tcW w:w="1137" w:type="dxa"/>
            <w:tcMar>
              <w:top w:w="15" w:type="dxa"/>
              <w:left w:w="15" w:type="dxa"/>
              <w:bottom w:w="0" w:type="dxa"/>
              <w:right w:w="15" w:type="dxa"/>
            </w:tcMar>
            <w:vAlign w:val="center"/>
          </w:tcPr>
          <w:p w:rsidR="00202122" w:rsidRPr="00076E3D" w:rsidRDefault="00202122" w:rsidP="00202122">
            <w:pPr>
              <w:jc w:val="center"/>
              <w:rPr>
                <w:b/>
                <w:bCs/>
                <w:i/>
                <w:iCs/>
                <w:color w:val="000000"/>
                <w:sz w:val="20"/>
                <w:szCs w:val="20"/>
              </w:rPr>
            </w:pPr>
            <w:r w:rsidRPr="00076E3D">
              <w:rPr>
                <w:b/>
                <w:sz w:val="20"/>
                <w:szCs w:val="20"/>
              </w:rPr>
              <w:t>5</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B</w:t>
            </w:r>
          </w:p>
        </w:tc>
        <w:tc>
          <w:tcPr>
            <w:tcW w:w="7667" w:type="dxa"/>
            <w:tcMar>
              <w:top w:w="15" w:type="dxa"/>
              <w:left w:w="15" w:type="dxa"/>
              <w:bottom w:w="0" w:type="dxa"/>
              <w:right w:w="15" w:type="dxa"/>
            </w:tcMar>
            <w:vAlign w:val="center"/>
          </w:tcPr>
          <w:p w:rsidR="00202122" w:rsidRPr="00076E3D" w:rsidRDefault="00202122" w:rsidP="00202122">
            <w:pPr>
              <w:rPr>
                <w:b/>
                <w:bCs/>
                <w:sz w:val="20"/>
                <w:szCs w:val="20"/>
              </w:rPr>
            </w:pPr>
            <w:r w:rsidRPr="00076E3D">
              <w:rPr>
                <w:b/>
                <w:bCs/>
                <w:sz w:val="20"/>
                <w:szCs w:val="20"/>
              </w:rPr>
              <w:t>RUDARSTVO I VAĐENJE</w:t>
            </w:r>
          </w:p>
        </w:tc>
      </w:tr>
      <w:tr w:rsidR="00202122" w:rsidRPr="00076E3D">
        <w:trPr>
          <w:trHeight w:val="319"/>
          <w:jc w:val="center"/>
        </w:trPr>
        <w:tc>
          <w:tcPr>
            <w:tcW w:w="1137" w:type="dxa"/>
            <w:tcMar>
              <w:top w:w="15" w:type="dxa"/>
              <w:left w:w="15" w:type="dxa"/>
              <w:bottom w:w="0" w:type="dxa"/>
              <w:right w:w="15" w:type="dxa"/>
            </w:tcMar>
            <w:vAlign w:val="center"/>
          </w:tcPr>
          <w:p w:rsidR="00202122" w:rsidRPr="00076E3D" w:rsidRDefault="00202122" w:rsidP="00202122">
            <w:pPr>
              <w:jc w:val="center"/>
              <w:rPr>
                <w:b/>
                <w:bCs/>
                <w:i/>
                <w:iCs/>
                <w:color w:val="000000"/>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iCs/>
                <w:color w:val="000000"/>
                <w:sz w:val="20"/>
                <w:szCs w:val="20"/>
              </w:rPr>
              <w:t>9</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Pomoćne uslužne djelatnosti u rudarstvu</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C</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PRERAĐIVAČKA INDUSTRIJA osim proizvodnje metala, koksa i rafiniranih naftnih prerađevina (NKD 19 i 24)</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r w:rsidRPr="00076E3D">
              <w:rPr>
                <w:b/>
                <w:sz w:val="20"/>
                <w:szCs w:val="20"/>
              </w:rPr>
              <w:t>4</w:t>
            </w: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O</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JAVNA UPRAVA I OBRANA; OBVEZNO SOCIJALNO OSIGURANJE</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A</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POLJOPRIVREDA, ŠUMARSTVO I RIBARSTVO</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P</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OBRAZOVANJE</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bCs/>
                <w:color w:val="000000"/>
                <w:sz w:val="20"/>
                <w:szCs w:val="20"/>
              </w:rPr>
            </w:pPr>
            <w:r w:rsidRPr="00076E3D">
              <w:rPr>
                <w:b/>
                <w:bCs/>
                <w:color w:val="000000"/>
                <w:sz w:val="20"/>
                <w:szCs w:val="20"/>
              </w:rPr>
              <w:t>72</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 xml:space="preserve">Znanstveno istraživanje i razvoj </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Q</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 xml:space="preserve">DJELATNOSTI ZDRAVSTVENE ZAŠTITE I SOCIJALNE SKRBI </w:t>
            </w:r>
          </w:p>
        </w:tc>
      </w:tr>
      <w:tr w:rsidR="00202122" w:rsidRPr="00076E3D">
        <w:trPr>
          <w:trHeight w:val="319"/>
          <w:jc w:val="center"/>
        </w:trPr>
        <w:tc>
          <w:tcPr>
            <w:tcW w:w="1137" w:type="dxa"/>
            <w:tcMar>
              <w:top w:w="15" w:type="dxa"/>
              <w:left w:w="15" w:type="dxa"/>
              <w:bottom w:w="0" w:type="dxa"/>
              <w:right w:w="15" w:type="dxa"/>
            </w:tcMar>
          </w:tcPr>
          <w:p w:rsidR="00202122" w:rsidRPr="00076E3D" w:rsidRDefault="00202122" w:rsidP="00202122">
            <w:pPr>
              <w:jc w:val="center"/>
              <w:rPr>
                <w:b/>
                <w:sz w:val="20"/>
                <w:szCs w:val="20"/>
              </w:rPr>
            </w:pPr>
          </w:p>
        </w:tc>
        <w:tc>
          <w:tcPr>
            <w:tcW w:w="935" w:type="dxa"/>
            <w:tcMar>
              <w:top w:w="15" w:type="dxa"/>
              <w:left w:w="15" w:type="dxa"/>
              <w:bottom w:w="0" w:type="dxa"/>
              <w:right w:w="15" w:type="dxa"/>
            </w:tcMar>
          </w:tcPr>
          <w:p w:rsidR="00202122" w:rsidRPr="00076E3D" w:rsidRDefault="00202122" w:rsidP="00202122">
            <w:pPr>
              <w:jc w:val="center"/>
              <w:rPr>
                <w:b/>
                <w:sz w:val="20"/>
                <w:szCs w:val="20"/>
              </w:rPr>
            </w:pPr>
            <w:r w:rsidRPr="00076E3D">
              <w:rPr>
                <w:b/>
                <w:bCs/>
                <w:color w:val="000000"/>
                <w:sz w:val="20"/>
                <w:szCs w:val="20"/>
              </w:rPr>
              <w:t>R</w:t>
            </w:r>
          </w:p>
        </w:tc>
        <w:tc>
          <w:tcPr>
            <w:tcW w:w="7667" w:type="dxa"/>
            <w:tcMar>
              <w:top w:w="15" w:type="dxa"/>
              <w:left w:w="15" w:type="dxa"/>
              <w:bottom w:w="0" w:type="dxa"/>
              <w:right w:w="15" w:type="dxa"/>
            </w:tcMar>
            <w:vAlign w:val="center"/>
          </w:tcPr>
          <w:p w:rsidR="00202122" w:rsidRPr="00076E3D" w:rsidRDefault="00202122" w:rsidP="00202122">
            <w:pPr>
              <w:rPr>
                <w:b/>
                <w:bCs/>
                <w:color w:val="000000"/>
                <w:sz w:val="20"/>
                <w:szCs w:val="20"/>
              </w:rPr>
            </w:pPr>
            <w:r w:rsidRPr="00076E3D">
              <w:rPr>
                <w:b/>
                <w:bCs/>
                <w:color w:val="000000"/>
                <w:sz w:val="20"/>
                <w:szCs w:val="20"/>
              </w:rPr>
              <w:t>UMJETNOST, ZABAVA I REKREACIJA osim Djelatnosti kockanja i klađenja (NKD 92),  Fitnes centri (NKD 93.13), te Z</w:t>
            </w:r>
            <w:r w:rsidRPr="00076E3D">
              <w:rPr>
                <w:b/>
                <w:bCs/>
                <w:color w:val="000000"/>
                <w:spacing w:val="-4"/>
                <w:sz w:val="20"/>
                <w:szCs w:val="20"/>
              </w:rPr>
              <w:t>abavne i rekreacijske djelatnosti (NKD 93.2)</w:t>
            </w:r>
          </w:p>
        </w:tc>
      </w:tr>
    </w:tbl>
    <w:p w:rsidR="001B1943" w:rsidRDefault="001B1943" w:rsidP="001B1943">
      <w:pPr>
        <w:jc w:val="center"/>
        <w:rPr>
          <w:b/>
        </w:rPr>
      </w:pPr>
    </w:p>
    <w:p w:rsidR="001B1943" w:rsidRDefault="001B1943" w:rsidP="001B1943">
      <w:pPr>
        <w:jc w:val="center"/>
        <w:rPr>
          <w:b/>
        </w:rPr>
      </w:pPr>
    </w:p>
    <w:p w:rsidR="001B1943" w:rsidRPr="0007745A" w:rsidRDefault="001B1943" w:rsidP="001B1943">
      <w:pPr>
        <w:jc w:val="center"/>
        <w:rPr>
          <w:b/>
        </w:rPr>
      </w:pPr>
      <w:r>
        <w:rPr>
          <w:b/>
        </w:rPr>
        <w:t>Članak 7</w:t>
      </w:r>
      <w:r w:rsidRPr="0007745A">
        <w:rPr>
          <w:b/>
        </w:rPr>
        <w:t>.</w:t>
      </w:r>
    </w:p>
    <w:p w:rsidR="001B1943" w:rsidRDefault="001B1943" w:rsidP="001B1943"/>
    <w:p w:rsidR="001B1943" w:rsidRPr="00F06D46" w:rsidRDefault="001B1943" w:rsidP="001B1943">
      <w:pPr>
        <w:pStyle w:val="BodyTextIndent"/>
        <w:rPr>
          <w:sz w:val="24"/>
          <w:szCs w:val="24"/>
          <w:u w:val="single"/>
        </w:rPr>
      </w:pPr>
      <w:r>
        <w:rPr>
          <w:sz w:val="24"/>
          <w:szCs w:val="24"/>
        </w:rPr>
        <w:t xml:space="preserve">(1) </w:t>
      </w:r>
      <w:r w:rsidRPr="0007745A">
        <w:rPr>
          <w:sz w:val="24"/>
          <w:szCs w:val="24"/>
        </w:rPr>
        <w:t>Koeficijent namjene za građevins</w:t>
      </w:r>
      <w:r>
        <w:rPr>
          <w:sz w:val="24"/>
          <w:szCs w:val="24"/>
        </w:rPr>
        <w:t>ko zemljište koje služi obavljanju</w:t>
      </w:r>
      <w:r w:rsidRPr="0007745A">
        <w:rPr>
          <w:sz w:val="24"/>
          <w:szCs w:val="24"/>
        </w:rPr>
        <w:t xml:space="preserve"> poslovne djelatnosti iznosi 10% koeficijenta namjene koji je određen za poslovni prostor.</w:t>
      </w:r>
      <w:r>
        <w:rPr>
          <w:sz w:val="24"/>
          <w:szCs w:val="24"/>
        </w:rPr>
        <w:t xml:space="preserve"> </w:t>
      </w:r>
    </w:p>
    <w:p w:rsidR="001B1943" w:rsidRPr="0007745A" w:rsidRDefault="001B1943" w:rsidP="001B1943">
      <w:pPr>
        <w:jc w:val="both"/>
      </w:pPr>
      <w:r w:rsidRPr="0007745A">
        <w:tab/>
      </w:r>
      <w:r>
        <w:t xml:space="preserve">(2) </w:t>
      </w:r>
      <w:r w:rsidRPr="0007745A">
        <w:t>U slučaju da u zgradi izgrađenoj na građevinskoj čestici, odnosno unutar kompleksa zemljišta koje služi u poslovne svrhe ima više vlasnika prostora obveznika plaćanja komunalne naknade, pripadajuća površina zemljišta određuje se razmjerno korisnoj površini njihovog poslovnog prostora u odnosu na ukupnu korisnu površinu zgrade, a kod kompleksa zemljišta u odnosu na ukupnu korisnu površinu svih zgrada unutar kompleksa.</w:t>
      </w:r>
    </w:p>
    <w:p w:rsidR="00202122" w:rsidRPr="0007745A" w:rsidRDefault="00202122" w:rsidP="00202122">
      <w:pPr>
        <w:jc w:val="both"/>
      </w:pPr>
    </w:p>
    <w:p w:rsidR="00202122" w:rsidRPr="0007745A" w:rsidRDefault="00B619BD" w:rsidP="00202122">
      <w:pPr>
        <w:jc w:val="center"/>
        <w:rPr>
          <w:b/>
        </w:rPr>
      </w:pPr>
      <w:r>
        <w:rPr>
          <w:b/>
        </w:rPr>
        <w:t>Članak 8</w:t>
      </w:r>
      <w:r w:rsidR="00202122" w:rsidRPr="0007745A">
        <w:rPr>
          <w:b/>
        </w:rPr>
        <w:t>.</w:t>
      </w:r>
    </w:p>
    <w:p w:rsidR="00202122" w:rsidRDefault="00202122" w:rsidP="00202122"/>
    <w:p w:rsidR="00202122" w:rsidRPr="0007745A" w:rsidRDefault="00202122" w:rsidP="00202122">
      <w:pPr>
        <w:pStyle w:val="BodyText"/>
        <w:rPr>
          <w:rFonts w:ascii="Times New Roman" w:hAnsi="Times New Roman"/>
          <w:sz w:val="24"/>
          <w:szCs w:val="24"/>
        </w:rPr>
      </w:pPr>
      <w:r w:rsidRPr="0007745A">
        <w:rPr>
          <w:rFonts w:ascii="Times New Roman" w:hAnsi="Times New Roman"/>
          <w:sz w:val="24"/>
          <w:szCs w:val="24"/>
        </w:rPr>
        <w:tab/>
        <w:t xml:space="preserve">Za poslovni prostor i građevinsko zemljište koje služi </w:t>
      </w:r>
      <w:r w:rsidRPr="00F31235">
        <w:rPr>
          <w:rFonts w:ascii="Times New Roman" w:hAnsi="Times New Roman"/>
          <w:sz w:val="24"/>
          <w:szCs w:val="24"/>
        </w:rPr>
        <w:t xml:space="preserve">obavljanju poslovne djelatnosti, </w:t>
      </w:r>
      <w:r w:rsidR="00D3172D">
        <w:rPr>
          <w:rFonts w:ascii="Times New Roman" w:hAnsi="Times New Roman"/>
          <w:sz w:val="24"/>
          <w:szCs w:val="24"/>
        </w:rPr>
        <w:t xml:space="preserve">kad se poslovna djelatnost </w:t>
      </w:r>
      <w:r w:rsidR="00C034A7">
        <w:rPr>
          <w:rFonts w:ascii="Times New Roman" w:hAnsi="Times New Roman"/>
          <w:sz w:val="24"/>
          <w:szCs w:val="24"/>
        </w:rPr>
        <w:t>ne obavlja više od šest</w:t>
      </w:r>
      <w:r w:rsidRPr="00F31235">
        <w:rPr>
          <w:rFonts w:ascii="Times New Roman" w:hAnsi="Times New Roman"/>
          <w:sz w:val="24"/>
          <w:szCs w:val="24"/>
        </w:rPr>
        <w:t xml:space="preserve"> mjeseci u kalendarskoj godini, uz predočen dokaz, koeficijent namjene umanjuje </w:t>
      </w:r>
      <w:r w:rsidR="00D3172D">
        <w:rPr>
          <w:rFonts w:ascii="Times New Roman" w:hAnsi="Times New Roman"/>
          <w:sz w:val="24"/>
          <w:szCs w:val="24"/>
        </w:rPr>
        <w:t xml:space="preserve">se </w:t>
      </w:r>
      <w:r w:rsidRPr="00F31235">
        <w:rPr>
          <w:rFonts w:ascii="Times New Roman" w:hAnsi="Times New Roman"/>
          <w:sz w:val="24"/>
          <w:szCs w:val="24"/>
        </w:rPr>
        <w:t>za 50%, ali ne može biti manji</w:t>
      </w:r>
      <w:r w:rsidRPr="0007745A">
        <w:rPr>
          <w:rFonts w:ascii="Times New Roman" w:hAnsi="Times New Roman"/>
          <w:sz w:val="24"/>
          <w:szCs w:val="24"/>
        </w:rPr>
        <w:t xml:space="preserve"> od koeficijenta namjene za stambeni prostor, odnosno </w:t>
      </w:r>
      <w:r w:rsidR="00D3172D">
        <w:rPr>
          <w:rFonts w:ascii="Times New Roman" w:hAnsi="Times New Roman"/>
          <w:sz w:val="24"/>
          <w:szCs w:val="24"/>
        </w:rPr>
        <w:t xml:space="preserve">za </w:t>
      </w:r>
      <w:r w:rsidRPr="0007745A">
        <w:rPr>
          <w:rFonts w:ascii="Times New Roman" w:hAnsi="Times New Roman"/>
          <w:sz w:val="24"/>
          <w:szCs w:val="24"/>
        </w:rPr>
        <w:t xml:space="preserve">neizgrađeno građevinsko zemljište. </w:t>
      </w:r>
    </w:p>
    <w:p w:rsidR="00202122" w:rsidRPr="0007745A" w:rsidRDefault="00202122" w:rsidP="00202122"/>
    <w:p w:rsidR="00202122" w:rsidRDefault="00B619BD" w:rsidP="00202122">
      <w:pPr>
        <w:jc w:val="center"/>
        <w:rPr>
          <w:b/>
        </w:rPr>
      </w:pPr>
      <w:r>
        <w:rPr>
          <w:b/>
        </w:rPr>
        <w:t>Članak 9</w:t>
      </w:r>
      <w:r w:rsidR="00202122" w:rsidRPr="0007745A">
        <w:rPr>
          <w:b/>
        </w:rPr>
        <w:t>.</w:t>
      </w:r>
    </w:p>
    <w:p w:rsidR="00202122" w:rsidRDefault="00202122" w:rsidP="00A904FC">
      <w:pPr>
        <w:rPr>
          <w:b/>
          <w:color w:val="99CC00"/>
        </w:rPr>
      </w:pPr>
    </w:p>
    <w:p w:rsidR="00202122" w:rsidRPr="0007745A" w:rsidRDefault="00202122" w:rsidP="00202122">
      <w:pPr>
        <w:ind w:firstLine="720"/>
        <w:jc w:val="both"/>
      </w:pPr>
      <w:r w:rsidRPr="0007745A">
        <w:t>U slučaju kada se u novoizgrađenom poslovnom prostoru ne obavlja poslovna djelatnost  koeficijent namjene iznosi 2,00  sve do početka obavljanja djelatnosti, odnosno do prestanka razloga zbog kojeg se djelatnost nije obavljala.</w:t>
      </w:r>
    </w:p>
    <w:p w:rsidR="00202122" w:rsidRPr="0007745A" w:rsidRDefault="00202122" w:rsidP="00202122">
      <w:pPr>
        <w:jc w:val="center"/>
        <w:rPr>
          <w:b/>
        </w:rPr>
      </w:pPr>
    </w:p>
    <w:p w:rsidR="00202122" w:rsidRPr="0007745A" w:rsidRDefault="00B619BD" w:rsidP="00202122">
      <w:pPr>
        <w:jc w:val="center"/>
        <w:rPr>
          <w:b/>
        </w:rPr>
      </w:pPr>
      <w:r>
        <w:rPr>
          <w:b/>
        </w:rPr>
        <w:t>Članak 10</w:t>
      </w:r>
      <w:r w:rsidR="00202122" w:rsidRPr="0007745A">
        <w:rPr>
          <w:b/>
        </w:rPr>
        <w:t>.</w:t>
      </w:r>
    </w:p>
    <w:p w:rsidR="00202122" w:rsidRDefault="00202122" w:rsidP="00202122">
      <w:pPr>
        <w:jc w:val="center"/>
        <w:rPr>
          <w:b/>
        </w:rPr>
      </w:pPr>
    </w:p>
    <w:p w:rsidR="00202122" w:rsidRPr="0007745A" w:rsidRDefault="00202122" w:rsidP="00202122">
      <w:pPr>
        <w:pStyle w:val="BodyText"/>
        <w:rPr>
          <w:rFonts w:ascii="Times New Roman" w:hAnsi="Times New Roman"/>
          <w:sz w:val="24"/>
          <w:szCs w:val="24"/>
        </w:rPr>
      </w:pPr>
      <w:r w:rsidRPr="0007745A">
        <w:rPr>
          <w:rFonts w:ascii="Times New Roman" w:hAnsi="Times New Roman"/>
          <w:sz w:val="24"/>
          <w:szCs w:val="24"/>
        </w:rPr>
        <w:tab/>
        <w:t>Za hotele, apartmanska naselja i kampove visina godišnje komunalne naknade ne može biti veća od 1,5% ukupnoga godišnjeg prihoda iz prethodne godine</w:t>
      </w:r>
      <w:r w:rsidR="00330B67">
        <w:rPr>
          <w:rFonts w:ascii="Times New Roman" w:hAnsi="Times New Roman"/>
          <w:sz w:val="24"/>
          <w:szCs w:val="24"/>
        </w:rPr>
        <w:t>,</w:t>
      </w:r>
      <w:r w:rsidRPr="0007745A">
        <w:rPr>
          <w:rFonts w:ascii="Times New Roman" w:hAnsi="Times New Roman"/>
          <w:sz w:val="24"/>
          <w:szCs w:val="24"/>
        </w:rPr>
        <w:t xml:space="preserve"> ostvarenog u hotelima, apartmanskim naseljima i kampovima koji se nalaze na području </w:t>
      </w:r>
      <w:r w:rsidR="00481ACD" w:rsidRPr="00481ACD">
        <w:rPr>
          <w:rFonts w:ascii="Times New Roman" w:hAnsi="Times New Roman"/>
          <w:sz w:val="24"/>
          <w:szCs w:val="24"/>
        </w:rPr>
        <w:t>g</w:t>
      </w:r>
      <w:r w:rsidRPr="00481ACD">
        <w:rPr>
          <w:rFonts w:ascii="Times New Roman" w:hAnsi="Times New Roman"/>
          <w:sz w:val="24"/>
          <w:szCs w:val="24"/>
        </w:rPr>
        <w:t>rada</w:t>
      </w:r>
      <w:r w:rsidR="00481ACD">
        <w:rPr>
          <w:rFonts w:ascii="Times New Roman" w:hAnsi="Times New Roman"/>
          <w:sz w:val="24"/>
          <w:szCs w:val="24"/>
        </w:rPr>
        <w:t xml:space="preserve"> Pule</w:t>
      </w:r>
      <w:r>
        <w:rPr>
          <w:rFonts w:ascii="Times New Roman" w:hAnsi="Times New Roman"/>
          <w:sz w:val="24"/>
          <w:szCs w:val="24"/>
        </w:rPr>
        <w:t>.</w:t>
      </w:r>
      <w:r w:rsidRPr="0007745A">
        <w:rPr>
          <w:rFonts w:ascii="Times New Roman" w:hAnsi="Times New Roman"/>
          <w:sz w:val="24"/>
          <w:szCs w:val="24"/>
        </w:rPr>
        <w:t xml:space="preserve"> </w:t>
      </w:r>
    </w:p>
    <w:p w:rsidR="00202122" w:rsidRDefault="00202122" w:rsidP="00202122">
      <w:pPr>
        <w:rPr>
          <w:b/>
        </w:rPr>
      </w:pPr>
    </w:p>
    <w:p w:rsidR="00EF695B" w:rsidRPr="0007745A" w:rsidRDefault="00EF695B" w:rsidP="00202122">
      <w:pPr>
        <w:rPr>
          <w:b/>
        </w:rPr>
      </w:pPr>
    </w:p>
    <w:p w:rsidR="00202122" w:rsidRPr="0007745A" w:rsidRDefault="00202122" w:rsidP="00202122">
      <w:pPr>
        <w:pStyle w:val="Heading6"/>
        <w:tabs>
          <w:tab w:val="clear" w:pos="7088"/>
        </w:tabs>
        <w:rPr>
          <w:sz w:val="24"/>
          <w:szCs w:val="24"/>
        </w:rPr>
      </w:pPr>
      <w:r w:rsidRPr="0007745A">
        <w:rPr>
          <w:sz w:val="24"/>
          <w:szCs w:val="24"/>
        </w:rPr>
        <w:t xml:space="preserve">V. </w:t>
      </w:r>
      <w:r w:rsidRPr="0007745A">
        <w:rPr>
          <w:sz w:val="24"/>
          <w:szCs w:val="24"/>
        </w:rPr>
        <w:tab/>
        <w:t>OBVEZ</w:t>
      </w:r>
      <w:r>
        <w:rPr>
          <w:sz w:val="24"/>
          <w:szCs w:val="24"/>
        </w:rPr>
        <w:t>NIK</w:t>
      </w:r>
      <w:r w:rsidRPr="0007745A">
        <w:rPr>
          <w:sz w:val="24"/>
          <w:szCs w:val="24"/>
        </w:rPr>
        <w:t xml:space="preserve"> I </w:t>
      </w:r>
      <w:r>
        <w:rPr>
          <w:sz w:val="24"/>
          <w:szCs w:val="24"/>
        </w:rPr>
        <w:t>ROKOVI PLAĆANJA</w:t>
      </w:r>
      <w:r w:rsidRPr="0007745A">
        <w:rPr>
          <w:sz w:val="24"/>
          <w:szCs w:val="24"/>
        </w:rPr>
        <w:t xml:space="preserve"> KOMUNALNE NAKNADE</w:t>
      </w:r>
    </w:p>
    <w:p w:rsidR="00202122" w:rsidRDefault="00202122" w:rsidP="00202122"/>
    <w:p w:rsidR="00734223" w:rsidRDefault="00734223" w:rsidP="00202122"/>
    <w:p w:rsidR="00202122" w:rsidRPr="0007745A" w:rsidRDefault="00C3681B" w:rsidP="00202122">
      <w:pPr>
        <w:jc w:val="center"/>
        <w:rPr>
          <w:b/>
        </w:rPr>
      </w:pPr>
      <w:r>
        <w:rPr>
          <w:b/>
        </w:rPr>
        <w:lastRenderedPageBreak/>
        <w:t>Članak 11</w:t>
      </w:r>
      <w:r w:rsidR="00202122" w:rsidRPr="0007745A">
        <w:rPr>
          <w:b/>
        </w:rPr>
        <w:t>.</w:t>
      </w:r>
    </w:p>
    <w:p w:rsidR="00202122" w:rsidRDefault="00202122" w:rsidP="00202122">
      <w:pPr>
        <w:rPr>
          <w:color w:val="0000FF"/>
        </w:rPr>
      </w:pPr>
    </w:p>
    <w:p w:rsidR="00202122" w:rsidRDefault="00576CF7" w:rsidP="00202122">
      <w:pPr>
        <w:ind w:firstLine="720"/>
        <w:jc w:val="both"/>
      </w:pPr>
      <w:r>
        <w:t xml:space="preserve">(1) </w:t>
      </w:r>
      <w:r w:rsidR="00202122" w:rsidRPr="0007745A">
        <w:t xml:space="preserve">Obveznik plaćanja komunalne naknade je vlasnik ili korisnik stambenog prostora, poslovnog prostora, garažnog prostora, građevinskog zemljišta koje služi </w:t>
      </w:r>
      <w:r>
        <w:t>obavljanju</w:t>
      </w:r>
      <w:r w:rsidR="00202122" w:rsidRPr="0007745A">
        <w:t xml:space="preserve"> poslovne djelatnosti i neizgrađenog građevinskog zemljišta na području </w:t>
      </w:r>
      <w:r w:rsidR="00B254D1" w:rsidRPr="00B254D1">
        <w:t>g</w:t>
      </w:r>
      <w:r w:rsidR="00202122" w:rsidRPr="00B254D1">
        <w:t>rada</w:t>
      </w:r>
      <w:r w:rsidR="00B254D1" w:rsidRPr="00B254D1">
        <w:t xml:space="preserve"> Pule</w:t>
      </w:r>
      <w:r w:rsidR="00202122" w:rsidRPr="00B254D1">
        <w:t>.</w:t>
      </w:r>
      <w:r w:rsidR="00202122" w:rsidRPr="0007745A">
        <w:t xml:space="preserve"> </w:t>
      </w:r>
    </w:p>
    <w:p w:rsidR="00CC376B" w:rsidRDefault="00576CF7" w:rsidP="00202122">
      <w:pPr>
        <w:ind w:firstLine="720"/>
        <w:jc w:val="both"/>
      </w:pPr>
      <w:r>
        <w:t xml:space="preserve">(2) </w:t>
      </w:r>
      <w:r w:rsidR="00CC376B">
        <w:t>Korisnik nekretnine plaća komunalnu naknadu:</w:t>
      </w:r>
    </w:p>
    <w:p w:rsidR="00CC376B" w:rsidRDefault="00CC376B" w:rsidP="00CC376B">
      <w:pPr>
        <w:ind w:firstLine="720"/>
        <w:jc w:val="both"/>
      </w:pPr>
      <w:r>
        <w:t>1. a</w:t>
      </w:r>
      <w:r w:rsidR="00620D68">
        <w:t xml:space="preserve">ko je na njega obveza plaćanja </w:t>
      </w:r>
      <w:r>
        <w:t>te nak</w:t>
      </w:r>
      <w:r w:rsidR="002C2BF8">
        <w:t>nade prenesena pisanim ugovorom</w:t>
      </w:r>
    </w:p>
    <w:p w:rsidR="00CC376B" w:rsidRDefault="00CC376B" w:rsidP="00CC376B">
      <w:pPr>
        <w:ind w:firstLine="720"/>
        <w:jc w:val="both"/>
      </w:pPr>
      <w:r>
        <w:t xml:space="preserve">2. ako nekretninu koristi bez pravne osnove ili </w:t>
      </w:r>
    </w:p>
    <w:p w:rsidR="00CC376B" w:rsidRDefault="00CC376B" w:rsidP="00CC376B">
      <w:pPr>
        <w:ind w:firstLine="720"/>
        <w:jc w:val="both"/>
      </w:pPr>
      <w:r>
        <w:t>3. ako se ne može utvrditi vlasnik.</w:t>
      </w:r>
    </w:p>
    <w:p w:rsidR="00CC376B" w:rsidRPr="0007745A" w:rsidRDefault="00576CF7" w:rsidP="00CC376B">
      <w:pPr>
        <w:ind w:firstLine="720"/>
        <w:jc w:val="both"/>
        <w:rPr>
          <w:color w:val="3366FF"/>
        </w:rPr>
      </w:pPr>
      <w:r>
        <w:t xml:space="preserve">(3) </w:t>
      </w:r>
      <w:r w:rsidR="00CC376B">
        <w:t>Vlasnik nekretnine solidarno jamči za plaćanje komunalne naknade, ako je obveza plaćanja te naknade prenesena na korisnika nekretnine pisanim ugovorom.</w:t>
      </w:r>
    </w:p>
    <w:p w:rsidR="00CC376B" w:rsidRDefault="00576CF7" w:rsidP="00202122">
      <w:pPr>
        <w:ind w:firstLine="720"/>
        <w:jc w:val="both"/>
      </w:pPr>
      <w:r>
        <w:t xml:space="preserve">(4) </w:t>
      </w:r>
      <w:r w:rsidR="00CC376B">
        <w:t>Obveza plaćanja komunalne naknade nastaje:</w:t>
      </w:r>
    </w:p>
    <w:p w:rsidR="00CC376B" w:rsidRDefault="00CC376B" w:rsidP="00CC376B">
      <w:pPr>
        <w:ind w:firstLine="720"/>
        <w:jc w:val="both"/>
      </w:pPr>
      <w:r>
        <w:t>1. danom izvršnosti uporabne dozvole odnosno danom početka korištenja nekretnine koja se koristi bez uporabne dozvole,</w:t>
      </w:r>
    </w:p>
    <w:p w:rsidR="00CC376B" w:rsidRDefault="00C356BF" w:rsidP="00CC376B">
      <w:pPr>
        <w:ind w:firstLine="720"/>
        <w:jc w:val="both"/>
      </w:pPr>
      <w:r>
        <w:t xml:space="preserve">2. danom sklapanja ugovora </w:t>
      </w:r>
      <w:r w:rsidR="00CC376B">
        <w:t xml:space="preserve">kojim se stječe vlasništvo ili pravo korištenja nekretnine, </w:t>
      </w:r>
    </w:p>
    <w:p w:rsidR="00CC376B" w:rsidRDefault="00465223" w:rsidP="00CC376B">
      <w:pPr>
        <w:ind w:firstLine="720"/>
        <w:jc w:val="both"/>
      </w:pPr>
      <w:r>
        <w:t xml:space="preserve">3. </w:t>
      </w:r>
      <w:r w:rsidR="00CC376B">
        <w:t>danom pravomoćnosti odluke tijela javne vlasti kojim se stječe vlasništvo nekretnine,</w:t>
      </w:r>
    </w:p>
    <w:p w:rsidR="00CC376B" w:rsidRDefault="00CC376B" w:rsidP="00576CF7">
      <w:pPr>
        <w:ind w:firstLine="720"/>
        <w:jc w:val="both"/>
      </w:pPr>
      <w:r>
        <w:t>4. danom početka korištenja nekretnine ko</w:t>
      </w:r>
      <w:r w:rsidR="00017E7E">
        <w:t>ja se koristi bez pravne osnove.</w:t>
      </w:r>
      <w:r>
        <w:t xml:space="preserve"> </w:t>
      </w:r>
    </w:p>
    <w:p w:rsidR="00202122" w:rsidRDefault="00576CF7" w:rsidP="006372BF">
      <w:pPr>
        <w:ind w:firstLine="720"/>
        <w:jc w:val="both"/>
      </w:pPr>
      <w:r>
        <w:t xml:space="preserve">(5) </w:t>
      </w:r>
      <w:r w:rsidR="00202122" w:rsidRPr="0007745A">
        <w:t>Obveznik plaćanja komunalne naknade iz stavka 1</w:t>
      </w:r>
      <w:r w:rsidR="00202122">
        <w:t>.</w:t>
      </w:r>
      <w:r w:rsidR="00202122" w:rsidRPr="0007745A">
        <w:t xml:space="preserve"> ovog</w:t>
      </w:r>
      <w:r>
        <w:t>a</w:t>
      </w:r>
      <w:r w:rsidR="00202122" w:rsidRPr="0007745A">
        <w:t xml:space="preserve"> članka duž</w:t>
      </w:r>
      <w:r w:rsidR="00202122">
        <w:t>an</w:t>
      </w:r>
      <w:r w:rsidR="00783013">
        <w:t xml:space="preserve"> je u roku od 15</w:t>
      </w:r>
      <w:r w:rsidR="00202122" w:rsidRPr="0007745A">
        <w:t xml:space="preserve"> dana od dana nastanka obveze </w:t>
      </w:r>
      <w:r w:rsidR="006372BF">
        <w:t xml:space="preserve">plaćanja komunalne naknade, promjene osobe obveznika ili promjene drugih podataka bitnih za utvrđivanje obveze plaćanja komunalne naknade (promjena obračunske površine nekretnine ili promjena namjene nekretnine) prijaviti </w:t>
      </w:r>
      <w:r w:rsidR="00CC376B">
        <w:t xml:space="preserve"> upravno</w:t>
      </w:r>
      <w:r w:rsidR="006372BF">
        <w:t>m tijelu</w:t>
      </w:r>
      <w:r w:rsidR="00CC376B">
        <w:t xml:space="preserve"> nadlež</w:t>
      </w:r>
      <w:r w:rsidR="00202122" w:rsidRPr="0007745A">
        <w:t>no</w:t>
      </w:r>
      <w:r w:rsidR="003A79AB">
        <w:t>m</w:t>
      </w:r>
      <w:r>
        <w:t xml:space="preserve"> za poslove komunalnog </w:t>
      </w:r>
      <w:r w:rsidR="00202122" w:rsidRPr="0007745A">
        <w:t xml:space="preserve">gospodarstva </w:t>
      </w:r>
      <w:r w:rsidR="00202122" w:rsidRPr="001C6B43">
        <w:t>Grada Pule</w:t>
      </w:r>
      <w:r w:rsidR="00202122">
        <w:t xml:space="preserve"> </w:t>
      </w:r>
      <w:r w:rsidR="006372BF">
        <w:t xml:space="preserve">nastanak te obveze odnosno promjenu tih podataka. </w:t>
      </w:r>
    </w:p>
    <w:p w:rsidR="006372BF" w:rsidRDefault="00576CF7" w:rsidP="006372BF">
      <w:pPr>
        <w:ind w:firstLine="720"/>
        <w:jc w:val="both"/>
      </w:pPr>
      <w:r>
        <w:t xml:space="preserve">(6) </w:t>
      </w:r>
      <w:r w:rsidR="006372BF">
        <w:t>Ako</w:t>
      </w:r>
      <w:r w:rsidR="0001360F">
        <w:t xml:space="preserve"> obveznik plaćanja komunalne naknade ne prijavi obvezu plaćanja komunalne naknade, promjenu osobe obveznika ili promjenu drugih podataka bitnih za utvrđivanje obveze plaćanja komunalne naknade u propisanom roku, duž</w:t>
      </w:r>
      <w:r w:rsidR="0017000F">
        <w:t>an je platiti komunalnu naknadu</w:t>
      </w:r>
      <w:r w:rsidR="0001360F">
        <w:t xml:space="preserve"> od dana nastanka obveze.</w:t>
      </w:r>
    </w:p>
    <w:p w:rsidR="00734223" w:rsidRDefault="00734223" w:rsidP="006372BF">
      <w:pPr>
        <w:ind w:firstLine="720"/>
        <w:jc w:val="both"/>
        <w:rPr>
          <w:b/>
        </w:rPr>
      </w:pPr>
    </w:p>
    <w:p w:rsidR="00202122" w:rsidRPr="0007745A" w:rsidRDefault="00C3681B" w:rsidP="00202122">
      <w:pPr>
        <w:jc w:val="center"/>
        <w:rPr>
          <w:b/>
        </w:rPr>
      </w:pPr>
      <w:r>
        <w:rPr>
          <w:b/>
        </w:rPr>
        <w:t>Članak 12</w:t>
      </w:r>
      <w:r w:rsidR="00202122" w:rsidRPr="0007745A">
        <w:rPr>
          <w:b/>
        </w:rPr>
        <w:t>.</w:t>
      </w:r>
    </w:p>
    <w:p w:rsidR="00EF695B" w:rsidRDefault="00EF695B" w:rsidP="00202122">
      <w:pPr>
        <w:ind w:firstLine="720"/>
        <w:jc w:val="both"/>
      </w:pPr>
    </w:p>
    <w:p w:rsidR="008B7A0A" w:rsidRDefault="00184D04" w:rsidP="00202122">
      <w:pPr>
        <w:ind w:firstLine="720"/>
        <w:jc w:val="both"/>
      </w:pPr>
      <w:r>
        <w:t xml:space="preserve">(1) </w:t>
      </w:r>
      <w:r w:rsidR="00202122" w:rsidRPr="0007745A">
        <w:t>Rješenje o komunalnoj nak</w:t>
      </w:r>
      <w:r w:rsidR="00202122">
        <w:t>n</w:t>
      </w:r>
      <w:r w:rsidR="00202122" w:rsidRPr="0007745A">
        <w:t xml:space="preserve">adi donosi upravno tijelo nadležno za poslove komunalnog gospodarstva </w:t>
      </w:r>
      <w:r w:rsidR="00202122" w:rsidRPr="001C6B43">
        <w:t>Grada Pul</w:t>
      </w:r>
      <w:r w:rsidR="008B7A0A" w:rsidRPr="001C6B43">
        <w:t>e</w:t>
      </w:r>
      <w:r w:rsidR="008B7A0A">
        <w:t xml:space="preserve"> </w:t>
      </w:r>
      <w:r w:rsidR="000B2ABC">
        <w:t>u s</w:t>
      </w:r>
      <w:r w:rsidR="00703D99">
        <w:t>kladu s ovom Odlukom i Odlukom</w:t>
      </w:r>
      <w:r w:rsidR="008B7A0A">
        <w:t xml:space="preserve"> o vrijednosti boda komunalne naknade (B) u postupku pokrenutom po službenoj dužnosti.</w:t>
      </w:r>
    </w:p>
    <w:p w:rsidR="008B7A0A" w:rsidRDefault="00D1765F" w:rsidP="00202122">
      <w:pPr>
        <w:ind w:firstLine="720"/>
        <w:jc w:val="both"/>
      </w:pPr>
      <w:r>
        <w:t xml:space="preserve">(2) </w:t>
      </w:r>
      <w:r w:rsidR="008B7A0A">
        <w:t xml:space="preserve">Rješenje o komunalnoj naknadi donosi se do 31. ožujka tekuće godine, ako se odlukom </w:t>
      </w:r>
      <w:r w:rsidR="008B7A0A" w:rsidRPr="001C6B43">
        <w:t>Gradskog vijeća Grada Pule</w:t>
      </w:r>
      <w:r w:rsidR="008B7A0A">
        <w:t xml:space="preserve"> mijenja vrijednost boda komunalne naknade (B) ili drugi pod</w:t>
      </w:r>
      <w:r w:rsidR="0044060F">
        <w:t>a</w:t>
      </w:r>
      <w:r w:rsidR="00AF07A9">
        <w:t>tak</w:t>
      </w:r>
      <w:r w:rsidR="008B7A0A">
        <w:t xml:space="preserve"> bitan za njezin izrač</w:t>
      </w:r>
      <w:r w:rsidR="0017000F">
        <w:t>un u odnosu na prethodnu godinu</w:t>
      </w:r>
      <w:r w:rsidR="008B7A0A">
        <w:t xml:space="preserve"> te u slučaju promjene drugih podataka bitnih za utvrđivanje obveze plaćanja komunalne naknade.</w:t>
      </w:r>
    </w:p>
    <w:p w:rsidR="008B7A0A" w:rsidRDefault="008B7A0A" w:rsidP="008B7A0A">
      <w:pPr>
        <w:jc w:val="both"/>
      </w:pPr>
      <w:r>
        <w:t xml:space="preserve">            </w:t>
      </w:r>
      <w:r w:rsidR="00836303">
        <w:t xml:space="preserve">(3) </w:t>
      </w:r>
      <w:r>
        <w:t>Rješenje o komunalnoj naknadi donosi se i ovršava u postupku i na nači</w:t>
      </w:r>
      <w:r w:rsidR="0017000F">
        <w:t>n propisan zakonom</w:t>
      </w:r>
      <w:r w:rsidR="0044060F">
        <w:t xml:space="preserve"> kojim se uređuje opći odnos između porez</w:t>
      </w:r>
      <w:r w:rsidR="0017000F">
        <w:t>nih obveznika i poreznih tijela</w:t>
      </w:r>
      <w:r w:rsidR="0044060F">
        <w:t xml:space="preserve"> koja primjenjuju propise o porezima i drugim javnim davanjima, ako Zakonom o komunalnom gospo</w:t>
      </w:r>
      <w:r w:rsidR="00017E7E">
        <w:t>darstvu nije propisano drukčije</w:t>
      </w:r>
      <w:r w:rsidR="0044060F">
        <w:t>.</w:t>
      </w:r>
    </w:p>
    <w:p w:rsidR="008B7A0A" w:rsidRDefault="00184D04" w:rsidP="00202122">
      <w:pPr>
        <w:ind w:firstLine="720"/>
        <w:jc w:val="both"/>
      </w:pPr>
      <w:r>
        <w:t>(4) Rješenjem o komunalnoj naknadi utvrđuje se:</w:t>
      </w:r>
    </w:p>
    <w:p w:rsidR="00184D04" w:rsidRDefault="00184D04" w:rsidP="00184D04">
      <w:pPr>
        <w:ind w:firstLine="720"/>
        <w:jc w:val="both"/>
      </w:pPr>
      <w:r>
        <w:t>1. iznos komunalne naknade po četvornome metru (</w:t>
      </w:r>
      <w:r w:rsidRPr="00026B10">
        <w:t>m</w:t>
      </w:r>
      <w:r w:rsidRPr="00026B10">
        <w:rPr>
          <w:vertAlign w:val="superscript"/>
        </w:rPr>
        <w:t>2</w:t>
      </w:r>
      <w:r w:rsidRPr="0007745A">
        <w:t>)</w:t>
      </w:r>
      <w:r w:rsidRPr="00026B10">
        <w:t xml:space="preserve"> </w:t>
      </w:r>
      <w:r>
        <w:t>nekretnine</w:t>
      </w:r>
    </w:p>
    <w:p w:rsidR="00184D04" w:rsidRDefault="00184D04" w:rsidP="00184D04">
      <w:pPr>
        <w:ind w:firstLine="720"/>
        <w:jc w:val="both"/>
      </w:pPr>
      <w:r>
        <w:t>2. obračunska površina nekretnine</w:t>
      </w:r>
    </w:p>
    <w:p w:rsidR="00184D04" w:rsidRDefault="00184D04" w:rsidP="00184D04">
      <w:pPr>
        <w:ind w:firstLine="720"/>
        <w:jc w:val="both"/>
      </w:pPr>
      <w:r>
        <w:t>3. godišnji iznos komunalne naknade</w:t>
      </w:r>
    </w:p>
    <w:p w:rsidR="00184D04" w:rsidRDefault="00184D04" w:rsidP="00184D04">
      <w:pPr>
        <w:ind w:firstLine="720"/>
        <w:jc w:val="both"/>
      </w:pPr>
      <w:r>
        <w:t>4. m</w:t>
      </w:r>
      <w:r w:rsidR="0017000F">
        <w:t>jesečni iznos komunalne naknade</w:t>
      </w:r>
      <w:r>
        <w:t xml:space="preserve"> odnosno iznos obroka komunalne naknade ako se naknada ne plaća mjesečno</w:t>
      </w:r>
      <w:r w:rsidR="00B84378">
        <w:t xml:space="preserve">  i</w:t>
      </w:r>
    </w:p>
    <w:p w:rsidR="00184D04" w:rsidRDefault="00184D04" w:rsidP="00184D04">
      <w:pPr>
        <w:ind w:firstLine="720"/>
        <w:jc w:val="both"/>
      </w:pPr>
      <w:r>
        <w:t xml:space="preserve">5. rok za plaćanje mjesečnog </w:t>
      </w:r>
      <w:r w:rsidR="0017000F">
        <w:t>iznosa komunalne naknade</w:t>
      </w:r>
      <w:r>
        <w:t xml:space="preserve"> odnosno iznosa obroka komunalne naknade ako se naknada ne plaća mjesečno. </w:t>
      </w:r>
    </w:p>
    <w:p w:rsidR="00184D04" w:rsidRDefault="00184D04" w:rsidP="00184D04">
      <w:pPr>
        <w:ind w:firstLine="720"/>
        <w:jc w:val="both"/>
      </w:pPr>
      <w:r>
        <w:lastRenderedPageBreak/>
        <w:t>(5) Godišnji iznos komunalne naknade utvrđuje se množenjem površine nekretnine za koju se utvrđuje obveza plaćanja komunalne naknade i iznosa komunalne naknade</w:t>
      </w:r>
      <w:r w:rsidRPr="00184D04">
        <w:t xml:space="preserve"> </w:t>
      </w:r>
      <w:r>
        <w:t>po četvornome metru (</w:t>
      </w:r>
      <w:r w:rsidRPr="00026B10">
        <w:t>m</w:t>
      </w:r>
      <w:r w:rsidRPr="00026B10">
        <w:rPr>
          <w:vertAlign w:val="superscript"/>
        </w:rPr>
        <w:t>2</w:t>
      </w:r>
      <w:r w:rsidRPr="0007745A">
        <w:t>)</w:t>
      </w:r>
      <w:r w:rsidRPr="00026B10">
        <w:t xml:space="preserve"> </w:t>
      </w:r>
      <w:r>
        <w:t>površine nekretnine.</w:t>
      </w:r>
    </w:p>
    <w:p w:rsidR="00184D04" w:rsidRDefault="00184D04" w:rsidP="00202122">
      <w:pPr>
        <w:ind w:firstLine="720"/>
        <w:jc w:val="both"/>
      </w:pPr>
      <w:r>
        <w:t xml:space="preserve">(6) Ništavo je rješenje o komunalnoj naknadi koje nema sadržaj propisan stavkom 4. </w:t>
      </w:r>
      <w:r w:rsidR="00FB3299">
        <w:t>ovog</w:t>
      </w:r>
      <w:r w:rsidR="0017000F">
        <w:t xml:space="preserve"> članka</w:t>
      </w:r>
      <w:r>
        <w:t>.</w:t>
      </w:r>
    </w:p>
    <w:p w:rsidR="00202122" w:rsidRPr="0007745A" w:rsidRDefault="00FB02AD" w:rsidP="00202122">
      <w:pPr>
        <w:ind w:firstLine="720"/>
        <w:jc w:val="both"/>
      </w:pPr>
      <w:r>
        <w:t xml:space="preserve">(7) </w:t>
      </w:r>
      <w:r w:rsidR="00202122" w:rsidRPr="0007745A">
        <w:t xml:space="preserve">Protiv rješenja o komunalnoj naknadi </w:t>
      </w:r>
      <w:r>
        <w:t xml:space="preserve">i rješenja o njegovoj ovrsi te rješenja o obustavi postupka </w:t>
      </w:r>
      <w:r w:rsidR="00202122" w:rsidRPr="0007745A">
        <w:t xml:space="preserve">može se izjaviti žalba upravnom tijelu županije </w:t>
      </w:r>
      <w:r w:rsidR="00B677E0">
        <w:t>nadležno</w:t>
      </w:r>
      <w:r w:rsidR="00C95CCD">
        <w:t>m</w:t>
      </w:r>
      <w:r w:rsidR="00B677E0">
        <w:t xml:space="preserve"> za poslove </w:t>
      </w:r>
      <w:r w:rsidR="00202122" w:rsidRPr="0007745A">
        <w:t>komunalnog gospodarstva.</w:t>
      </w:r>
    </w:p>
    <w:p w:rsidR="0075194B" w:rsidRDefault="0075194B" w:rsidP="00734223">
      <w:pPr>
        <w:rPr>
          <w:b/>
        </w:rPr>
      </w:pPr>
    </w:p>
    <w:p w:rsidR="00202122" w:rsidRPr="0007745A" w:rsidRDefault="00734223" w:rsidP="00202122">
      <w:pPr>
        <w:jc w:val="center"/>
        <w:rPr>
          <w:b/>
        </w:rPr>
      </w:pPr>
      <w:r>
        <w:rPr>
          <w:b/>
        </w:rPr>
        <w:t>Članak 13</w:t>
      </w:r>
      <w:r w:rsidR="00202122" w:rsidRPr="0007745A">
        <w:rPr>
          <w:b/>
        </w:rPr>
        <w:t>.</w:t>
      </w:r>
      <w:r w:rsidR="00152BE3">
        <w:rPr>
          <w:b/>
        </w:rPr>
        <w:t xml:space="preserve"> </w:t>
      </w:r>
    </w:p>
    <w:p w:rsidR="00202122" w:rsidRDefault="00202122" w:rsidP="00202122"/>
    <w:p w:rsidR="00202122" w:rsidRPr="0007745A" w:rsidRDefault="00734223" w:rsidP="00202122">
      <w:pPr>
        <w:pStyle w:val="BodyText"/>
        <w:ind w:firstLine="720"/>
        <w:rPr>
          <w:rFonts w:ascii="Times New Roman" w:hAnsi="Times New Roman"/>
          <w:sz w:val="24"/>
          <w:szCs w:val="24"/>
        </w:rPr>
      </w:pPr>
      <w:r>
        <w:rPr>
          <w:rFonts w:ascii="Times New Roman" w:hAnsi="Times New Roman"/>
          <w:sz w:val="24"/>
          <w:szCs w:val="24"/>
        </w:rPr>
        <w:t xml:space="preserve">(1) </w:t>
      </w:r>
      <w:r w:rsidR="00202122" w:rsidRPr="0007745A">
        <w:rPr>
          <w:rFonts w:ascii="Times New Roman" w:hAnsi="Times New Roman"/>
          <w:sz w:val="24"/>
          <w:szCs w:val="24"/>
        </w:rPr>
        <w:t>Komunaln</w:t>
      </w:r>
      <w:r>
        <w:rPr>
          <w:rFonts w:ascii="Times New Roman" w:hAnsi="Times New Roman"/>
          <w:sz w:val="24"/>
          <w:szCs w:val="24"/>
        </w:rPr>
        <w:t xml:space="preserve">a naknada za stambeni prostor, garažni prostor i neizgrađeno građevinsko zemljište, </w:t>
      </w:r>
      <w:r w:rsidR="00202122" w:rsidRPr="0007745A">
        <w:rPr>
          <w:rFonts w:ascii="Times New Roman" w:hAnsi="Times New Roman"/>
          <w:sz w:val="24"/>
          <w:szCs w:val="24"/>
        </w:rPr>
        <w:t>plaća se tromjesečno s dospjećem zadnjeg dana trećeg mjeseca svakog tromjesečja, dok obveznici plaćanja komunalne naknade za poslovne prostore istu plaćaju s danom dospjeća petnaestog dana u mjesecu za tekući mjesec.</w:t>
      </w:r>
    </w:p>
    <w:p w:rsidR="00202122" w:rsidRDefault="00734223" w:rsidP="00202122">
      <w:pPr>
        <w:pStyle w:val="BodyText"/>
        <w:ind w:firstLine="720"/>
        <w:rPr>
          <w:rFonts w:ascii="Times New Roman" w:hAnsi="Times New Roman"/>
          <w:sz w:val="24"/>
          <w:szCs w:val="24"/>
        </w:rPr>
      </w:pPr>
      <w:r>
        <w:rPr>
          <w:rFonts w:ascii="Times New Roman" w:hAnsi="Times New Roman"/>
          <w:sz w:val="24"/>
          <w:szCs w:val="24"/>
        </w:rPr>
        <w:t xml:space="preserve">(2) </w:t>
      </w:r>
      <w:r w:rsidR="00202122" w:rsidRPr="0007745A">
        <w:rPr>
          <w:rFonts w:ascii="Times New Roman" w:hAnsi="Times New Roman"/>
          <w:sz w:val="24"/>
          <w:szCs w:val="24"/>
        </w:rPr>
        <w:t>Na zakašnjele uplate plaća se zakonska zatezna kamata.</w:t>
      </w:r>
    </w:p>
    <w:p w:rsidR="00152BE3" w:rsidRDefault="00152BE3" w:rsidP="00202122">
      <w:pPr>
        <w:pStyle w:val="BodyText"/>
        <w:ind w:firstLine="720"/>
        <w:rPr>
          <w:rFonts w:ascii="Times New Roman" w:hAnsi="Times New Roman"/>
          <w:sz w:val="24"/>
          <w:szCs w:val="24"/>
        </w:rPr>
      </w:pPr>
    </w:p>
    <w:p w:rsidR="00202122" w:rsidRDefault="00202122" w:rsidP="00202122">
      <w:pPr>
        <w:rPr>
          <w:b/>
        </w:rPr>
      </w:pPr>
    </w:p>
    <w:p w:rsidR="00EF695B" w:rsidRPr="0007745A" w:rsidRDefault="00EF695B" w:rsidP="00202122">
      <w:pPr>
        <w:rPr>
          <w:b/>
        </w:rPr>
      </w:pPr>
    </w:p>
    <w:p w:rsidR="00202122" w:rsidRPr="0007745A" w:rsidRDefault="00202122" w:rsidP="00202122">
      <w:pPr>
        <w:pStyle w:val="Heading6"/>
        <w:tabs>
          <w:tab w:val="clear" w:pos="7088"/>
        </w:tabs>
        <w:rPr>
          <w:sz w:val="24"/>
          <w:szCs w:val="24"/>
        </w:rPr>
      </w:pPr>
      <w:r w:rsidRPr="0007745A">
        <w:rPr>
          <w:sz w:val="24"/>
          <w:szCs w:val="24"/>
        </w:rPr>
        <w:t>V</w:t>
      </w:r>
      <w:r>
        <w:rPr>
          <w:sz w:val="24"/>
          <w:szCs w:val="24"/>
        </w:rPr>
        <w:t>I</w:t>
      </w:r>
      <w:r w:rsidRPr="0007745A">
        <w:rPr>
          <w:sz w:val="24"/>
          <w:szCs w:val="24"/>
        </w:rPr>
        <w:t xml:space="preserve">. </w:t>
      </w:r>
      <w:r w:rsidRPr="0007745A">
        <w:rPr>
          <w:sz w:val="24"/>
          <w:szCs w:val="24"/>
        </w:rPr>
        <w:tab/>
        <w:t xml:space="preserve">OSLOBAĐANJE OD </w:t>
      </w:r>
      <w:r>
        <w:rPr>
          <w:sz w:val="24"/>
          <w:szCs w:val="24"/>
        </w:rPr>
        <w:t xml:space="preserve">OBVEZE </w:t>
      </w:r>
      <w:r w:rsidRPr="0007745A">
        <w:rPr>
          <w:sz w:val="24"/>
          <w:szCs w:val="24"/>
        </w:rPr>
        <w:t>PLAĆANJA KOMUNALNE NAKNADE</w:t>
      </w:r>
    </w:p>
    <w:p w:rsidR="00202122" w:rsidRDefault="00202122" w:rsidP="00202122"/>
    <w:p w:rsidR="003936A9" w:rsidRDefault="003936A9" w:rsidP="00202122"/>
    <w:p w:rsidR="00202122" w:rsidRPr="0007745A" w:rsidRDefault="003936A9" w:rsidP="00202122">
      <w:pPr>
        <w:jc w:val="center"/>
        <w:rPr>
          <w:b/>
        </w:rPr>
      </w:pPr>
      <w:r>
        <w:rPr>
          <w:b/>
        </w:rPr>
        <w:t>Članak 14</w:t>
      </w:r>
      <w:r w:rsidR="00202122" w:rsidRPr="0007745A">
        <w:rPr>
          <w:b/>
        </w:rPr>
        <w:t>.</w:t>
      </w:r>
      <w:r w:rsidR="002065FB">
        <w:rPr>
          <w:b/>
        </w:rPr>
        <w:t xml:space="preserve"> </w:t>
      </w:r>
    </w:p>
    <w:p w:rsidR="003936A9" w:rsidRDefault="003936A9" w:rsidP="00202122">
      <w:pPr>
        <w:jc w:val="both"/>
        <w:rPr>
          <w:b/>
        </w:rPr>
      </w:pPr>
    </w:p>
    <w:p w:rsidR="00202122" w:rsidRPr="0007745A" w:rsidRDefault="00202122" w:rsidP="00202122">
      <w:pPr>
        <w:jc w:val="both"/>
      </w:pPr>
      <w:r w:rsidRPr="0007745A">
        <w:tab/>
      </w:r>
      <w:r w:rsidR="00576215">
        <w:t xml:space="preserve">(1) </w:t>
      </w:r>
      <w:r>
        <w:t xml:space="preserve">Od obveze </w:t>
      </w:r>
      <w:r w:rsidRPr="0007745A">
        <w:t xml:space="preserve">plaćanja komunalne naknade </w:t>
      </w:r>
      <w:r w:rsidR="003936A9">
        <w:t xml:space="preserve">u </w:t>
      </w:r>
      <w:r>
        <w:t>potpuno</w:t>
      </w:r>
      <w:r w:rsidR="003936A9">
        <w:t>sti</w:t>
      </w:r>
      <w:r>
        <w:t xml:space="preserve"> </w:t>
      </w:r>
      <w:r w:rsidR="003936A9">
        <w:t xml:space="preserve">se oslobađaju nekretnine važne za </w:t>
      </w:r>
      <w:r w:rsidR="003936A9" w:rsidRPr="001C6B43">
        <w:t>Grad Pulu</w:t>
      </w:r>
      <w:r w:rsidR="003936A9">
        <w:t xml:space="preserve"> </w:t>
      </w:r>
      <w:r w:rsidRPr="0007745A">
        <w:t>kako slijedi:</w:t>
      </w:r>
    </w:p>
    <w:p w:rsidR="00202122" w:rsidRPr="0007745A" w:rsidRDefault="003936A9" w:rsidP="00202122">
      <w:pPr>
        <w:numPr>
          <w:ilvl w:val="0"/>
          <w:numId w:val="1"/>
        </w:numPr>
        <w:jc w:val="both"/>
      </w:pPr>
      <w:r>
        <w:t xml:space="preserve">nekretnine u vlasništvu </w:t>
      </w:r>
      <w:r w:rsidR="00202122" w:rsidRPr="003754C6">
        <w:t>Grad</w:t>
      </w:r>
      <w:r w:rsidRPr="003754C6">
        <w:t xml:space="preserve">a </w:t>
      </w:r>
      <w:r w:rsidR="003754C6" w:rsidRPr="003754C6">
        <w:t>Pule</w:t>
      </w:r>
      <w:r w:rsidR="00202122" w:rsidRPr="0007745A">
        <w:t xml:space="preserve"> </w:t>
      </w:r>
      <w:r>
        <w:t>ili nekretnine dane na korištenje</w:t>
      </w:r>
      <w:r w:rsidRPr="003754C6">
        <w:t xml:space="preserve"> Gradu Puli</w:t>
      </w:r>
      <w:r w:rsidR="00202122" w:rsidRPr="003754C6">
        <w:t>,</w:t>
      </w:r>
    </w:p>
    <w:p w:rsidR="00202122" w:rsidRPr="0007745A" w:rsidRDefault="003936A9" w:rsidP="00202122">
      <w:pPr>
        <w:numPr>
          <w:ilvl w:val="0"/>
          <w:numId w:val="1"/>
        </w:numPr>
        <w:jc w:val="both"/>
      </w:pPr>
      <w:r>
        <w:t xml:space="preserve">nekretnine u kojima obavljaju djelatnosti </w:t>
      </w:r>
      <w:r w:rsidR="00202122" w:rsidRPr="0007745A">
        <w:t xml:space="preserve">trgovačka društva, javne ustanove i </w:t>
      </w:r>
      <w:r w:rsidR="00202122">
        <w:t xml:space="preserve">druge </w:t>
      </w:r>
      <w:r>
        <w:t>pravne osobe</w:t>
      </w:r>
      <w:r w:rsidR="00202122" w:rsidRPr="0007745A">
        <w:t>,</w:t>
      </w:r>
      <w:r>
        <w:t xml:space="preserve"> kojima je osnivač i vlasnik </w:t>
      </w:r>
      <w:r w:rsidR="003754C6" w:rsidRPr="003754C6">
        <w:t>Grad Pula</w:t>
      </w:r>
      <w:r w:rsidRPr="003754C6">
        <w:t>,</w:t>
      </w:r>
    </w:p>
    <w:p w:rsidR="00202122" w:rsidRPr="0007745A" w:rsidRDefault="003936A9" w:rsidP="00202122">
      <w:pPr>
        <w:numPr>
          <w:ilvl w:val="0"/>
          <w:numId w:val="1"/>
        </w:numPr>
        <w:jc w:val="both"/>
      </w:pPr>
      <w:r>
        <w:t xml:space="preserve">nekretnine u kojima </w:t>
      </w:r>
      <w:r w:rsidR="00202122" w:rsidRPr="0007745A">
        <w:t xml:space="preserve">trgovačka društva, javne ustanove i </w:t>
      </w:r>
      <w:r w:rsidR="00202122">
        <w:t xml:space="preserve">druge </w:t>
      </w:r>
      <w:r w:rsidR="00202122" w:rsidRPr="0007745A">
        <w:t xml:space="preserve">pravne </w:t>
      </w:r>
      <w:r w:rsidR="00202122">
        <w:t xml:space="preserve">osobe iz </w:t>
      </w:r>
      <w:r w:rsidR="001A4E20">
        <w:t xml:space="preserve">oblasti </w:t>
      </w:r>
      <w:r w:rsidR="00202122">
        <w:t>javnih potreba</w:t>
      </w:r>
      <w:r w:rsidR="00202122" w:rsidRPr="0007745A">
        <w:t xml:space="preserve"> </w:t>
      </w:r>
      <w:r>
        <w:t xml:space="preserve">obavljaju </w:t>
      </w:r>
      <w:r w:rsidR="00202122" w:rsidRPr="0007745A">
        <w:t xml:space="preserve">djelatnost </w:t>
      </w:r>
      <w:r>
        <w:t xml:space="preserve">koja se </w:t>
      </w:r>
      <w:r w:rsidR="00202122" w:rsidRPr="0007745A">
        <w:t xml:space="preserve">po zakonu financira iz Proračuna </w:t>
      </w:r>
      <w:r w:rsidR="00202122" w:rsidRPr="003754C6">
        <w:t>Grada Pule</w:t>
      </w:r>
      <w:r w:rsidR="00202122" w:rsidRPr="0007745A">
        <w:t>,</w:t>
      </w:r>
    </w:p>
    <w:p w:rsidR="00202122" w:rsidRPr="0007745A" w:rsidRDefault="003936A9" w:rsidP="00202122">
      <w:pPr>
        <w:numPr>
          <w:ilvl w:val="0"/>
          <w:numId w:val="1"/>
        </w:numPr>
        <w:jc w:val="both"/>
      </w:pPr>
      <w:r>
        <w:t xml:space="preserve">nekretnine koje se koriste za obavljanje </w:t>
      </w:r>
      <w:r w:rsidR="00202122">
        <w:t>vatr</w:t>
      </w:r>
      <w:r>
        <w:t>ogasne</w:t>
      </w:r>
      <w:r w:rsidR="00202122">
        <w:t xml:space="preserve"> djelatnost</w:t>
      </w:r>
      <w:r>
        <w:t>i</w:t>
      </w:r>
      <w:r w:rsidR="00576215">
        <w:t xml:space="preserve"> ili </w:t>
      </w:r>
    </w:p>
    <w:p w:rsidR="003754C6" w:rsidRPr="00274ED1" w:rsidRDefault="003936A9" w:rsidP="00274ED1">
      <w:pPr>
        <w:numPr>
          <w:ilvl w:val="0"/>
          <w:numId w:val="1"/>
        </w:numPr>
        <w:jc w:val="both"/>
      </w:pPr>
      <w:r w:rsidRPr="003754C6">
        <w:t xml:space="preserve">nekretnine koje koriste </w:t>
      </w:r>
      <w:r w:rsidR="00576215" w:rsidRPr="003754C6">
        <w:t xml:space="preserve">pravne osobe koje obavljaju djelatnosti javnog predškolskog, osnovnoškolskog i srednjoškolskog obrazovanja </w:t>
      </w:r>
    </w:p>
    <w:p w:rsidR="00274ED1" w:rsidRDefault="00202122" w:rsidP="00202122">
      <w:pPr>
        <w:jc w:val="both"/>
      </w:pPr>
      <w:r w:rsidRPr="0007745A">
        <w:tab/>
      </w:r>
      <w:r w:rsidR="00576215">
        <w:t xml:space="preserve">(2) </w:t>
      </w:r>
      <w:r>
        <w:t xml:space="preserve">Od obveze </w:t>
      </w:r>
      <w:r w:rsidRPr="0007745A">
        <w:t xml:space="preserve">plaćanja komunalne naknade </w:t>
      </w:r>
      <w:r>
        <w:t>djelomično će se osloboditi</w:t>
      </w:r>
      <w:r w:rsidRPr="0007745A">
        <w:t xml:space="preserve"> </w:t>
      </w:r>
      <w:r w:rsidR="00576215">
        <w:t xml:space="preserve">nekretnine </w:t>
      </w:r>
      <w:r w:rsidRPr="0007745A">
        <w:t xml:space="preserve">koje koriste trgovačka društva, javne ustanove i druge pravne osobe u </w:t>
      </w:r>
      <w:r w:rsidR="007A4A64">
        <w:t>su</w:t>
      </w:r>
      <w:r w:rsidRPr="0007745A">
        <w:t xml:space="preserve">vlasništvu </w:t>
      </w:r>
      <w:r w:rsidRPr="00274ED1">
        <w:t>Grada Pule</w:t>
      </w:r>
      <w:r w:rsidRPr="0007745A">
        <w:t xml:space="preserve"> prema  postotku udjela </w:t>
      </w:r>
      <w:r w:rsidRPr="00274ED1">
        <w:t>Grada Pule</w:t>
      </w:r>
      <w:r w:rsidRPr="0007745A">
        <w:t xml:space="preserve"> u vlasništvu istih.</w:t>
      </w:r>
    </w:p>
    <w:p w:rsidR="00BB5B69" w:rsidRDefault="00274ED1" w:rsidP="00202122">
      <w:pPr>
        <w:jc w:val="both"/>
      </w:pPr>
      <w:r>
        <w:t xml:space="preserve">            (3) Za nekretnine iz stavka 1. i 2. </w:t>
      </w:r>
      <w:r w:rsidR="00BB5B69">
        <w:t xml:space="preserve">ovoga </w:t>
      </w:r>
      <w:r>
        <w:t xml:space="preserve">članka </w:t>
      </w:r>
      <w:r w:rsidR="00BB5B69">
        <w:t xml:space="preserve">koje se daju u najam, </w:t>
      </w:r>
      <w:r w:rsidR="00BC30F8">
        <w:t xml:space="preserve">podnajam, </w:t>
      </w:r>
      <w:r w:rsidR="00BB5B69">
        <w:t>zakup</w:t>
      </w:r>
      <w:r w:rsidR="00BC30F8">
        <w:t>, podzakup</w:t>
      </w:r>
      <w:r w:rsidR="00BB5B69">
        <w:t xml:space="preserve"> ili na raspolaganje drugim pravnim i fizičkim osobama plaća se komunalna naknada. </w:t>
      </w:r>
    </w:p>
    <w:p w:rsidR="00202122" w:rsidRPr="0007745A" w:rsidRDefault="00BB5B69" w:rsidP="00202122">
      <w:pPr>
        <w:jc w:val="both"/>
      </w:pPr>
      <w:r>
        <w:t xml:space="preserve">           (4) Obveznik plaćanja je pravna i fizička osoba koja koristi nekretninu iz  stavka 3. ovoga članka.</w:t>
      </w:r>
    </w:p>
    <w:p w:rsidR="00202122" w:rsidRPr="0007745A" w:rsidRDefault="00202122" w:rsidP="00202122">
      <w:pPr>
        <w:jc w:val="both"/>
        <w:rPr>
          <w:b/>
        </w:rPr>
      </w:pPr>
    </w:p>
    <w:p w:rsidR="00202122" w:rsidRPr="0007745A" w:rsidRDefault="00202122" w:rsidP="00202122">
      <w:pPr>
        <w:jc w:val="center"/>
        <w:rPr>
          <w:b/>
        </w:rPr>
      </w:pPr>
      <w:r w:rsidRPr="0007745A">
        <w:rPr>
          <w:b/>
        </w:rPr>
        <w:t>Čl</w:t>
      </w:r>
      <w:r w:rsidR="00C267DA">
        <w:rPr>
          <w:b/>
        </w:rPr>
        <w:t>anak 15</w:t>
      </w:r>
      <w:r w:rsidRPr="0007745A">
        <w:rPr>
          <w:b/>
        </w:rPr>
        <w:t>.</w:t>
      </w:r>
    </w:p>
    <w:p w:rsidR="00202122" w:rsidRPr="000754D8" w:rsidRDefault="00202122" w:rsidP="00202122">
      <w:pPr>
        <w:jc w:val="both"/>
      </w:pPr>
    </w:p>
    <w:p w:rsidR="00202122" w:rsidRPr="000754D8" w:rsidRDefault="00C267DA" w:rsidP="00202122">
      <w:pPr>
        <w:ind w:firstLine="720"/>
        <w:jc w:val="both"/>
      </w:pPr>
      <w:r>
        <w:t xml:space="preserve">(1) </w:t>
      </w:r>
      <w:r w:rsidR="00202122" w:rsidRPr="000754D8">
        <w:t>Od obveze plaćanja komunalne naknade u tekućoj godini za stambeni prostor koji koriste za stanovanje potpuno će se osloboditi:</w:t>
      </w:r>
    </w:p>
    <w:p w:rsidR="00202122" w:rsidRPr="000754D8" w:rsidRDefault="00202122" w:rsidP="00202122">
      <w:pPr>
        <w:numPr>
          <w:ilvl w:val="0"/>
          <w:numId w:val="2"/>
        </w:numPr>
        <w:jc w:val="both"/>
      </w:pPr>
      <w:r w:rsidRPr="000754D8">
        <w:lastRenderedPageBreak/>
        <w:t xml:space="preserve">obveznici plaćanja komunalne naknade ako je prosječan prihod po članu obveznikova domaćinstva za prethodnu godinu bio manji od 30% </w:t>
      </w:r>
      <w:r w:rsidR="0049245D">
        <w:t>prosječno mjesečno isplaćene ne</w:t>
      </w:r>
      <w:r w:rsidRPr="000754D8">
        <w:t>to plaće po zaposlenom</w:t>
      </w:r>
      <w:r>
        <w:t xml:space="preserve"> u Republici Hrvatskoj,</w:t>
      </w:r>
      <w:r w:rsidRPr="000754D8">
        <w:t xml:space="preserve"> </w:t>
      </w:r>
    </w:p>
    <w:p w:rsidR="00202122" w:rsidRDefault="00202122" w:rsidP="00C267DA">
      <w:pPr>
        <w:numPr>
          <w:ilvl w:val="0"/>
          <w:numId w:val="2"/>
        </w:numPr>
        <w:jc w:val="both"/>
      </w:pPr>
      <w:r w:rsidRPr="000754D8">
        <w:t xml:space="preserve">obveznici koji primaju stalnu mjesečnu novčanu pomoć putem službe socijalne skrbi, pod uvjetom da nisu korisnici subvencije troškova stanovanja, te da je prosječan prihod po članu obveznikova domaćinstva za prethodnu godinu bio manji od 30% </w:t>
      </w:r>
      <w:r w:rsidR="0049245D">
        <w:t>prosječno mjesečno isplaćene ne</w:t>
      </w:r>
      <w:r w:rsidRPr="000754D8">
        <w:t>to plaće po zaposlenom u Republi</w:t>
      </w:r>
      <w:r>
        <w:t>ci</w:t>
      </w:r>
      <w:r w:rsidRPr="000754D8">
        <w:t xml:space="preserve"> Hrvatsk</w:t>
      </w:r>
      <w:r>
        <w:t>oj</w:t>
      </w:r>
      <w:r w:rsidRPr="000754D8">
        <w:t>.</w:t>
      </w:r>
    </w:p>
    <w:p w:rsidR="00202122" w:rsidRPr="000754D8" w:rsidRDefault="0049245D" w:rsidP="00202122">
      <w:pPr>
        <w:ind w:firstLine="708"/>
        <w:jc w:val="both"/>
      </w:pPr>
      <w:r>
        <w:t xml:space="preserve">(2) </w:t>
      </w:r>
      <w:r w:rsidR="00202122">
        <w:t>Zahtjev za oslobađanje od obveze plaćanja komunalne naknade podnosi se najkasnije do 31. ožujka tekuće godine za tu godinu.</w:t>
      </w:r>
    </w:p>
    <w:p w:rsidR="00202122" w:rsidRPr="000754D8" w:rsidRDefault="00C267DA" w:rsidP="00202122">
      <w:pPr>
        <w:ind w:firstLine="720"/>
        <w:jc w:val="both"/>
      </w:pPr>
      <w:r>
        <w:t xml:space="preserve">(3) </w:t>
      </w:r>
      <w:r w:rsidR="00202122" w:rsidRPr="000754D8">
        <w:t>U</w:t>
      </w:r>
      <w:r w:rsidR="00202122">
        <w:t xml:space="preserve">z zahtjev iz stavka 2. ovoga članka </w:t>
      </w:r>
      <w:r w:rsidR="00202122" w:rsidRPr="000754D8">
        <w:t>obveznik plaćanja dužan je priložiti uvjerenje o visini ukupnih prihoda svih članova obiteljskog domaćinstva za prethodnu godinu</w:t>
      </w:r>
      <w:r w:rsidR="00202122">
        <w:t xml:space="preserve"> i uvjerenje o prebivalištu</w:t>
      </w:r>
      <w:r w:rsidR="00202122" w:rsidRPr="000754D8">
        <w:t>.</w:t>
      </w:r>
    </w:p>
    <w:p w:rsidR="00202122" w:rsidRPr="000754D8" w:rsidRDefault="00C267DA" w:rsidP="00202122">
      <w:pPr>
        <w:ind w:firstLine="720"/>
        <w:jc w:val="both"/>
      </w:pPr>
      <w:r>
        <w:t xml:space="preserve">(4) </w:t>
      </w:r>
      <w:r w:rsidR="00202122" w:rsidRPr="000754D8">
        <w:t>Prihodom u smislu ovog članka smatra se prihod ostvaren na osnovi samostalnog i nesamostalnog rada, mirovine i drugih prihoda prema propisima o porezu na dohodak.</w:t>
      </w:r>
    </w:p>
    <w:p w:rsidR="00202122" w:rsidRDefault="00202122" w:rsidP="00202122">
      <w:pPr>
        <w:jc w:val="center"/>
        <w:rPr>
          <w:b/>
        </w:rPr>
      </w:pPr>
    </w:p>
    <w:p w:rsidR="00202122" w:rsidRPr="0007745A" w:rsidRDefault="00202122" w:rsidP="00202122">
      <w:pPr>
        <w:jc w:val="center"/>
      </w:pPr>
      <w:r w:rsidRPr="0007745A">
        <w:rPr>
          <w:b/>
        </w:rPr>
        <w:t>Članak 1</w:t>
      </w:r>
      <w:r w:rsidR="00823EF7">
        <w:rPr>
          <w:b/>
        </w:rPr>
        <w:t>6</w:t>
      </w:r>
      <w:r w:rsidRPr="0007745A">
        <w:rPr>
          <w:b/>
        </w:rPr>
        <w:t>.</w:t>
      </w:r>
    </w:p>
    <w:p w:rsidR="00202122" w:rsidRDefault="00202122" w:rsidP="00202122">
      <w:pPr>
        <w:jc w:val="both"/>
      </w:pPr>
    </w:p>
    <w:p w:rsidR="00202122" w:rsidRPr="0007745A" w:rsidRDefault="00202122" w:rsidP="00202122">
      <w:pPr>
        <w:jc w:val="both"/>
      </w:pPr>
      <w:r w:rsidRPr="0007745A">
        <w:tab/>
      </w:r>
      <w:r>
        <w:t xml:space="preserve">Od obveze </w:t>
      </w:r>
      <w:r w:rsidRPr="0007745A">
        <w:t xml:space="preserve">plaćanja komunalne naknade </w:t>
      </w:r>
      <w:r>
        <w:t>pot</w:t>
      </w:r>
      <w:r w:rsidRPr="0007745A">
        <w:t xml:space="preserve">puno </w:t>
      </w:r>
      <w:r>
        <w:t>će se osloboditi</w:t>
      </w:r>
      <w:r w:rsidRPr="0007745A">
        <w:t xml:space="preserve"> </w:t>
      </w:r>
      <w:r w:rsidRPr="000E0581">
        <w:t>vlasnici ili k</w:t>
      </w:r>
      <w:r w:rsidR="00823EF7" w:rsidRPr="000E0581">
        <w:t>orisnici nekretnina</w:t>
      </w:r>
      <w:r w:rsidR="00823EF7">
        <w:t xml:space="preserve"> iz članka 15</w:t>
      </w:r>
      <w:r w:rsidRPr="0007745A">
        <w:t xml:space="preserve">. ove Odluke pod uvjetom da te nekretnine ne daju u zakup, podzakup, najam, podnajam, na korištenje i sl. </w:t>
      </w:r>
    </w:p>
    <w:p w:rsidR="00202122" w:rsidRPr="0007745A" w:rsidRDefault="00202122" w:rsidP="00202122">
      <w:pPr>
        <w:jc w:val="both"/>
      </w:pPr>
    </w:p>
    <w:p w:rsidR="00202122" w:rsidRPr="0007745A" w:rsidRDefault="00202122" w:rsidP="00202122">
      <w:pPr>
        <w:jc w:val="center"/>
        <w:rPr>
          <w:b/>
        </w:rPr>
      </w:pPr>
      <w:r w:rsidRPr="0007745A">
        <w:rPr>
          <w:b/>
        </w:rPr>
        <w:t>Članak 1</w:t>
      </w:r>
      <w:r w:rsidR="00823EF7">
        <w:rPr>
          <w:b/>
        </w:rPr>
        <w:t>7</w:t>
      </w:r>
      <w:r w:rsidRPr="0007745A">
        <w:rPr>
          <w:b/>
        </w:rPr>
        <w:t>.</w:t>
      </w:r>
    </w:p>
    <w:p w:rsidR="00202122" w:rsidRDefault="00202122" w:rsidP="00202122">
      <w:pPr>
        <w:jc w:val="both"/>
      </w:pPr>
    </w:p>
    <w:p w:rsidR="00202122" w:rsidRDefault="00202122" w:rsidP="00202122">
      <w:pPr>
        <w:jc w:val="both"/>
      </w:pPr>
      <w:r w:rsidRPr="0007745A">
        <w:tab/>
        <w:t>Upravn</w:t>
      </w:r>
      <w:r>
        <w:t>o</w:t>
      </w:r>
      <w:r w:rsidRPr="0007745A">
        <w:t xml:space="preserve"> tijelo nadležno za poslove komunalnog gospodarstva donosi rješenje o potpu</w:t>
      </w:r>
      <w:r>
        <w:t>nom ili djelomičnom</w:t>
      </w:r>
      <w:r w:rsidRPr="0007745A">
        <w:t xml:space="preserve"> oslobađanju od plaćanja komunalne naknade po zahtjev</w:t>
      </w:r>
      <w:r>
        <w:t>u</w:t>
      </w:r>
      <w:r w:rsidRPr="0007745A">
        <w:t xml:space="preserve"> stranke</w:t>
      </w:r>
      <w:r>
        <w:t xml:space="preserve"> ili po</w:t>
      </w:r>
      <w:r w:rsidRPr="0007745A">
        <w:t xml:space="preserve"> </w:t>
      </w:r>
      <w:r>
        <w:t>službenoj dužnosti</w:t>
      </w:r>
      <w:r w:rsidRPr="0007745A">
        <w:t>.</w:t>
      </w:r>
      <w:r>
        <w:t xml:space="preserve"> </w:t>
      </w:r>
    </w:p>
    <w:p w:rsidR="00582D24" w:rsidRDefault="00582D24" w:rsidP="00202122">
      <w:pPr>
        <w:jc w:val="both"/>
      </w:pPr>
    </w:p>
    <w:p w:rsidR="00202122" w:rsidRPr="00F66C56" w:rsidRDefault="00202122" w:rsidP="00202122">
      <w:pPr>
        <w:jc w:val="both"/>
        <w:rPr>
          <w:u w:val="single"/>
        </w:rPr>
      </w:pPr>
    </w:p>
    <w:p w:rsidR="00EF695B" w:rsidRPr="00F66C56" w:rsidRDefault="00EF695B" w:rsidP="00202122">
      <w:pPr>
        <w:jc w:val="both"/>
        <w:rPr>
          <w:u w:val="single"/>
        </w:rPr>
      </w:pPr>
    </w:p>
    <w:p w:rsidR="00202122" w:rsidRPr="0007745A" w:rsidRDefault="00202122" w:rsidP="00202122">
      <w:pPr>
        <w:jc w:val="both"/>
        <w:rPr>
          <w:b/>
        </w:rPr>
      </w:pPr>
      <w:r w:rsidRPr="0007745A">
        <w:rPr>
          <w:b/>
        </w:rPr>
        <w:t>VI</w:t>
      </w:r>
      <w:r>
        <w:rPr>
          <w:b/>
        </w:rPr>
        <w:t>I</w:t>
      </w:r>
      <w:r w:rsidRPr="0007745A">
        <w:rPr>
          <w:b/>
        </w:rPr>
        <w:t xml:space="preserve">. </w:t>
      </w:r>
      <w:r w:rsidRPr="0007745A">
        <w:rPr>
          <w:b/>
        </w:rPr>
        <w:tab/>
        <w:t>PRIJELAZNE I ZAVRŠNE ODREDBE</w:t>
      </w:r>
    </w:p>
    <w:p w:rsidR="00202122" w:rsidRDefault="00202122" w:rsidP="00202122">
      <w:pPr>
        <w:jc w:val="both"/>
      </w:pPr>
    </w:p>
    <w:p w:rsidR="00202122" w:rsidRPr="0007745A" w:rsidRDefault="002D077C" w:rsidP="00202122">
      <w:pPr>
        <w:jc w:val="center"/>
        <w:rPr>
          <w:b/>
        </w:rPr>
      </w:pPr>
      <w:r>
        <w:rPr>
          <w:b/>
        </w:rPr>
        <w:t>Članak 18</w:t>
      </w:r>
      <w:r w:rsidR="00202122" w:rsidRPr="0007745A">
        <w:rPr>
          <w:b/>
        </w:rPr>
        <w:t>.</w:t>
      </w:r>
    </w:p>
    <w:p w:rsidR="00202122" w:rsidRDefault="00202122" w:rsidP="00202122">
      <w:pPr>
        <w:jc w:val="both"/>
      </w:pPr>
    </w:p>
    <w:p w:rsidR="00202122" w:rsidRPr="0007745A" w:rsidRDefault="00202122" w:rsidP="00202122">
      <w:pPr>
        <w:pStyle w:val="BodyText"/>
        <w:rPr>
          <w:rFonts w:ascii="Times New Roman" w:hAnsi="Times New Roman"/>
          <w:sz w:val="24"/>
          <w:szCs w:val="24"/>
        </w:rPr>
      </w:pPr>
      <w:r w:rsidRPr="0007745A">
        <w:rPr>
          <w:rFonts w:ascii="Times New Roman" w:hAnsi="Times New Roman"/>
          <w:sz w:val="24"/>
          <w:szCs w:val="24"/>
        </w:rPr>
        <w:tab/>
      </w:r>
      <w:r>
        <w:rPr>
          <w:rFonts w:ascii="Times New Roman" w:hAnsi="Times New Roman"/>
          <w:sz w:val="24"/>
          <w:szCs w:val="24"/>
        </w:rPr>
        <w:t>D</w:t>
      </w:r>
      <w:r w:rsidR="00206123">
        <w:rPr>
          <w:rFonts w:ascii="Times New Roman" w:hAnsi="Times New Roman"/>
          <w:sz w:val="24"/>
          <w:szCs w:val="24"/>
        </w:rPr>
        <w:t>anom stupanja na snagu ove O</w:t>
      </w:r>
      <w:r w:rsidRPr="0007745A">
        <w:rPr>
          <w:rFonts w:ascii="Times New Roman" w:hAnsi="Times New Roman"/>
          <w:sz w:val="24"/>
          <w:szCs w:val="24"/>
        </w:rPr>
        <w:t>dluke prestaje važiti Odluka o komunalnoj naknadi Grada Pule (</w:t>
      </w:r>
      <w:r w:rsidR="00FD575F">
        <w:rPr>
          <w:rFonts w:ascii="Times New Roman" w:hAnsi="Times New Roman"/>
          <w:sz w:val="24"/>
          <w:szCs w:val="24"/>
        </w:rPr>
        <w:t>„</w:t>
      </w:r>
      <w:r w:rsidRPr="0007745A">
        <w:rPr>
          <w:rFonts w:ascii="Times New Roman" w:hAnsi="Times New Roman"/>
          <w:sz w:val="24"/>
          <w:szCs w:val="24"/>
        </w:rPr>
        <w:t>Službene novine</w:t>
      </w:r>
      <w:r w:rsidR="00FD575F">
        <w:rPr>
          <w:rFonts w:ascii="Times New Roman" w:hAnsi="Times New Roman"/>
          <w:sz w:val="24"/>
          <w:szCs w:val="24"/>
        </w:rPr>
        <w:t>“</w:t>
      </w:r>
      <w:r w:rsidRPr="0007745A">
        <w:rPr>
          <w:rFonts w:ascii="Times New Roman" w:hAnsi="Times New Roman"/>
          <w:sz w:val="24"/>
          <w:szCs w:val="24"/>
        </w:rPr>
        <w:t xml:space="preserve"> Grada Pule br.</w:t>
      </w:r>
      <w:r w:rsidR="00FD575F">
        <w:rPr>
          <w:rFonts w:ascii="Times New Roman" w:hAnsi="Times New Roman"/>
          <w:sz w:val="24"/>
          <w:szCs w:val="24"/>
        </w:rPr>
        <w:t xml:space="preserve"> </w:t>
      </w:r>
      <w:r w:rsidR="004A56AE">
        <w:rPr>
          <w:rFonts w:ascii="Times New Roman" w:hAnsi="Times New Roman"/>
          <w:sz w:val="24"/>
          <w:szCs w:val="24"/>
        </w:rPr>
        <w:t>17/09</w:t>
      </w:r>
      <w:r w:rsidR="00206123">
        <w:rPr>
          <w:rFonts w:ascii="Times New Roman" w:hAnsi="Times New Roman"/>
          <w:sz w:val="24"/>
          <w:szCs w:val="24"/>
        </w:rPr>
        <w:t>, 07/12 i 04/14</w:t>
      </w:r>
      <w:r w:rsidRPr="0007745A">
        <w:rPr>
          <w:rFonts w:ascii="Times New Roman" w:hAnsi="Times New Roman"/>
          <w:sz w:val="24"/>
          <w:szCs w:val="24"/>
        </w:rPr>
        <w:t>)</w:t>
      </w:r>
    </w:p>
    <w:p w:rsidR="00202122" w:rsidRPr="0007745A" w:rsidRDefault="00202122" w:rsidP="00202122">
      <w:pPr>
        <w:jc w:val="both"/>
      </w:pPr>
    </w:p>
    <w:p w:rsidR="00202122" w:rsidRPr="0007745A" w:rsidRDefault="002D077C" w:rsidP="00202122">
      <w:pPr>
        <w:jc w:val="center"/>
        <w:rPr>
          <w:b/>
        </w:rPr>
      </w:pPr>
      <w:r>
        <w:rPr>
          <w:b/>
        </w:rPr>
        <w:t>Članak 19</w:t>
      </w:r>
      <w:r w:rsidR="00202122" w:rsidRPr="0007745A">
        <w:rPr>
          <w:b/>
        </w:rPr>
        <w:t>.</w:t>
      </w:r>
    </w:p>
    <w:p w:rsidR="00202122" w:rsidRDefault="00202122" w:rsidP="00202122">
      <w:pPr>
        <w:jc w:val="both"/>
      </w:pPr>
    </w:p>
    <w:p w:rsidR="00202122" w:rsidRPr="0007745A" w:rsidRDefault="00202122" w:rsidP="00202122">
      <w:pPr>
        <w:pStyle w:val="BodyText"/>
        <w:rPr>
          <w:rFonts w:ascii="Times New Roman" w:hAnsi="Times New Roman"/>
          <w:sz w:val="24"/>
          <w:szCs w:val="24"/>
        </w:rPr>
      </w:pPr>
      <w:r w:rsidRPr="0007745A">
        <w:rPr>
          <w:rFonts w:ascii="Times New Roman" w:hAnsi="Times New Roman"/>
          <w:sz w:val="24"/>
          <w:szCs w:val="24"/>
        </w:rPr>
        <w:tab/>
        <w:t xml:space="preserve">Ova </w:t>
      </w:r>
      <w:r>
        <w:rPr>
          <w:rFonts w:ascii="Times New Roman" w:hAnsi="Times New Roman"/>
          <w:sz w:val="24"/>
          <w:szCs w:val="24"/>
        </w:rPr>
        <w:t>O</w:t>
      </w:r>
      <w:r w:rsidRPr="0007745A">
        <w:rPr>
          <w:rFonts w:ascii="Times New Roman" w:hAnsi="Times New Roman"/>
          <w:sz w:val="24"/>
          <w:szCs w:val="24"/>
        </w:rPr>
        <w:t xml:space="preserve">dluka </w:t>
      </w:r>
      <w:r w:rsidR="003224CC">
        <w:rPr>
          <w:rFonts w:ascii="Times New Roman" w:hAnsi="Times New Roman"/>
          <w:sz w:val="24"/>
          <w:szCs w:val="24"/>
        </w:rPr>
        <w:t>objavljuje se</w:t>
      </w:r>
      <w:r w:rsidR="00045225">
        <w:rPr>
          <w:rFonts w:ascii="Times New Roman" w:hAnsi="Times New Roman"/>
          <w:sz w:val="24"/>
          <w:szCs w:val="24"/>
        </w:rPr>
        <w:t xml:space="preserve"> u „</w:t>
      </w:r>
      <w:r w:rsidRPr="0007745A">
        <w:rPr>
          <w:rFonts w:ascii="Times New Roman" w:hAnsi="Times New Roman"/>
          <w:sz w:val="24"/>
          <w:szCs w:val="24"/>
        </w:rPr>
        <w:t xml:space="preserve">Službenim novinama” Grada Pule, a </w:t>
      </w:r>
      <w:r w:rsidR="003224CC">
        <w:rPr>
          <w:rFonts w:ascii="Times New Roman" w:hAnsi="Times New Roman"/>
          <w:sz w:val="24"/>
          <w:szCs w:val="24"/>
        </w:rPr>
        <w:t xml:space="preserve">stupa na snagu </w:t>
      </w:r>
      <w:r w:rsidRPr="0007745A">
        <w:rPr>
          <w:rFonts w:ascii="Times New Roman" w:hAnsi="Times New Roman"/>
          <w:sz w:val="24"/>
          <w:szCs w:val="24"/>
        </w:rPr>
        <w:t xml:space="preserve">od </w:t>
      </w:r>
      <w:r w:rsidR="006A2CF3">
        <w:rPr>
          <w:rFonts w:ascii="Times New Roman" w:hAnsi="Times New Roman"/>
          <w:sz w:val="24"/>
          <w:szCs w:val="24"/>
        </w:rPr>
        <w:t>01.01.</w:t>
      </w:r>
      <w:r w:rsidR="00206123">
        <w:rPr>
          <w:rFonts w:ascii="Times New Roman" w:hAnsi="Times New Roman"/>
          <w:sz w:val="24"/>
          <w:szCs w:val="24"/>
        </w:rPr>
        <w:t>2019</w:t>
      </w:r>
      <w:r w:rsidRPr="0007745A">
        <w:rPr>
          <w:rFonts w:ascii="Times New Roman" w:hAnsi="Times New Roman"/>
          <w:sz w:val="24"/>
          <w:szCs w:val="24"/>
        </w:rPr>
        <w:t xml:space="preserve">. godine.  </w:t>
      </w:r>
    </w:p>
    <w:p w:rsidR="00202122" w:rsidRDefault="00202122" w:rsidP="00202122">
      <w:pPr>
        <w:jc w:val="both"/>
      </w:pPr>
    </w:p>
    <w:p w:rsidR="00076E3D" w:rsidRPr="0007745A" w:rsidRDefault="00076E3D" w:rsidP="00202122">
      <w:pPr>
        <w:jc w:val="both"/>
      </w:pPr>
    </w:p>
    <w:p w:rsidR="00076E3D" w:rsidRDefault="00076E3D" w:rsidP="00076E3D">
      <w:pPr>
        <w:rPr>
          <w:rFonts w:ascii="Arial" w:hAnsi="Arial" w:cs="Arial"/>
        </w:rPr>
      </w:pPr>
    </w:p>
    <w:p w:rsidR="00076E3D" w:rsidRPr="00264297" w:rsidRDefault="00076E3D" w:rsidP="00076E3D">
      <w:r w:rsidRPr="00264297">
        <w:t>Klasa:</w:t>
      </w:r>
      <w:r w:rsidRPr="00264297">
        <w:tab/>
      </w:r>
    </w:p>
    <w:p w:rsidR="00076E3D" w:rsidRPr="00264297" w:rsidRDefault="00076E3D" w:rsidP="00076E3D">
      <w:r w:rsidRPr="00264297">
        <w:t>Urbroj:</w:t>
      </w:r>
      <w:r w:rsidR="00E02513" w:rsidRPr="00264297">
        <w:t xml:space="preserve"> </w:t>
      </w:r>
    </w:p>
    <w:p w:rsidR="00076E3D" w:rsidRPr="00264297" w:rsidRDefault="00076E3D" w:rsidP="00076E3D">
      <w:pPr>
        <w:tabs>
          <w:tab w:val="center" w:pos="7088"/>
        </w:tabs>
        <w:rPr>
          <w:b/>
        </w:rPr>
      </w:pPr>
      <w:r w:rsidRPr="00264297">
        <w:t>Pula,</w:t>
      </w:r>
      <w:r w:rsidR="00FD575F">
        <w:t xml:space="preserve"> </w:t>
      </w:r>
      <w:r w:rsidR="00E02513">
        <w:t>______2019</w:t>
      </w:r>
      <w:r w:rsidR="00FD575F">
        <w:t xml:space="preserve">. </w:t>
      </w:r>
      <w:r w:rsidR="00202122" w:rsidRPr="00264297">
        <w:rPr>
          <w:b/>
        </w:rPr>
        <w:tab/>
      </w:r>
    </w:p>
    <w:p w:rsidR="00202122" w:rsidRPr="00A1543D" w:rsidRDefault="00202122" w:rsidP="00202122">
      <w:pPr>
        <w:rPr>
          <w:rFonts w:ascii="Arial" w:hAnsi="Arial" w:cs="Arial"/>
        </w:rPr>
      </w:pPr>
    </w:p>
    <w:p w:rsidR="00FD575F" w:rsidRDefault="00FD575F" w:rsidP="00FD575F">
      <w:pPr>
        <w:pStyle w:val="Heading9"/>
        <w:rPr>
          <w:sz w:val="24"/>
          <w:szCs w:val="24"/>
        </w:rPr>
      </w:pPr>
    </w:p>
    <w:p w:rsidR="00FD575F" w:rsidRDefault="00FD575F" w:rsidP="00FD575F">
      <w:pPr>
        <w:pStyle w:val="Heading9"/>
        <w:rPr>
          <w:sz w:val="24"/>
          <w:szCs w:val="24"/>
        </w:rPr>
      </w:pPr>
      <w:r w:rsidRPr="0007745A">
        <w:rPr>
          <w:sz w:val="24"/>
          <w:szCs w:val="24"/>
        </w:rPr>
        <w:t>GRADSKO VIJEĆE GRADA PUL</w:t>
      </w:r>
      <w:r>
        <w:rPr>
          <w:sz w:val="24"/>
          <w:szCs w:val="24"/>
        </w:rPr>
        <w:t>A</w:t>
      </w:r>
    </w:p>
    <w:p w:rsidR="00FD575F" w:rsidRDefault="00FD575F" w:rsidP="00FD575F">
      <w:pPr>
        <w:pStyle w:val="Heading6"/>
        <w:jc w:val="both"/>
        <w:rPr>
          <w:sz w:val="24"/>
          <w:szCs w:val="24"/>
        </w:rPr>
      </w:pPr>
    </w:p>
    <w:p w:rsidR="00FD575F" w:rsidRDefault="00FD575F" w:rsidP="00FD575F">
      <w:pPr>
        <w:pStyle w:val="Heading6"/>
        <w:jc w:val="both"/>
        <w:rPr>
          <w:sz w:val="24"/>
          <w:szCs w:val="24"/>
        </w:rPr>
      </w:pPr>
      <w:r>
        <w:rPr>
          <w:sz w:val="24"/>
          <w:szCs w:val="24"/>
        </w:rPr>
        <w:tab/>
      </w:r>
      <w:r w:rsidRPr="0007745A">
        <w:rPr>
          <w:sz w:val="24"/>
          <w:szCs w:val="24"/>
        </w:rPr>
        <w:t xml:space="preserve">PREDSJEDNIK </w:t>
      </w:r>
    </w:p>
    <w:p w:rsidR="00FD575F" w:rsidRDefault="00FD575F" w:rsidP="00FD575F">
      <w:pPr>
        <w:pStyle w:val="Heading6"/>
        <w:jc w:val="both"/>
      </w:pPr>
      <w:r>
        <w:rPr>
          <w:sz w:val="24"/>
          <w:szCs w:val="24"/>
        </w:rPr>
        <w:tab/>
      </w:r>
      <w:r w:rsidR="00E02513">
        <w:t>Tiziano Sošić</w:t>
      </w:r>
    </w:p>
    <w:p w:rsidR="00805914" w:rsidRDefault="00805914" w:rsidP="00805914">
      <w:pPr>
        <w:rPr>
          <w:rFonts w:ascii="Arial" w:hAnsi="Arial" w:cs="Arial"/>
        </w:rPr>
      </w:pPr>
    </w:p>
    <w:sectPr w:rsidR="00805914" w:rsidSect="00076E3D">
      <w:type w:val="continuous"/>
      <w:pgSz w:w="11906" w:h="16838"/>
      <w:pgMar w:top="1418" w:right="1418" w:bottom="1418" w:left="141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1B" w:rsidRDefault="00D8511B">
      <w:r>
        <w:separator/>
      </w:r>
    </w:p>
  </w:endnote>
  <w:endnote w:type="continuationSeparator" w:id="0">
    <w:p w:rsidR="00D8511B" w:rsidRDefault="00D85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1B" w:rsidRDefault="00D8511B">
      <w:r>
        <w:separator/>
      </w:r>
    </w:p>
  </w:footnote>
  <w:footnote w:type="continuationSeparator" w:id="0">
    <w:p w:rsidR="00D8511B" w:rsidRDefault="00D85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310"/>
    <w:multiLevelType w:val="hybridMultilevel"/>
    <w:tmpl w:val="5114EE0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22B529B1"/>
    <w:multiLevelType w:val="hybridMultilevel"/>
    <w:tmpl w:val="2F6240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62F005A"/>
    <w:multiLevelType w:val="hybridMultilevel"/>
    <w:tmpl w:val="80C8F188"/>
    <w:lvl w:ilvl="0" w:tplc="ABE063A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6C284E"/>
    <w:multiLevelType w:val="hybridMultilevel"/>
    <w:tmpl w:val="690C4F60"/>
    <w:lvl w:ilvl="0" w:tplc="B29A5A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29F7263"/>
    <w:multiLevelType w:val="hybridMultilevel"/>
    <w:tmpl w:val="6E3EDE3E"/>
    <w:lvl w:ilvl="0" w:tplc="4B5C5A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66B912AF"/>
    <w:multiLevelType w:val="hybridMultilevel"/>
    <w:tmpl w:val="23D4ED90"/>
    <w:lvl w:ilvl="0" w:tplc="77162BC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hdrShapeDefaults>
    <o:shapedefaults v:ext="edit" spidmax="62466"/>
  </w:hdrShapeDefaults>
  <w:footnotePr>
    <w:footnote w:id="-1"/>
    <w:footnote w:id="0"/>
  </w:footnotePr>
  <w:endnotePr>
    <w:endnote w:id="-1"/>
    <w:endnote w:id="0"/>
  </w:endnotePr>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39499D"/>
    <w:rsid w:val="00005E27"/>
    <w:rsid w:val="00010F52"/>
    <w:rsid w:val="000115E7"/>
    <w:rsid w:val="0001360F"/>
    <w:rsid w:val="00017E7E"/>
    <w:rsid w:val="00037713"/>
    <w:rsid w:val="0003776B"/>
    <w:rsid w:val="00045225"/>
    <w:rsid w:val="0005590D"/>
    <w:rsid w:val="00055B4F"/>
    <w:rsid w:val="00076E3D"/>
    <w:rsid w:val="0008410E"/>
    <w:rsid w:val="000A4126"/>
    <w:rsid w:val="000A6FD7"/>
    <w:rsid w:val="000B2ABC"/>
    <w:rsid w:val="000B393A"/>
    <w:rsid w:val="000C0AF4"/>
    <w:rsid w:val="000D5C39"/>
    <w:rsid w:val="000D6235"/>
    <w:rsid w:val="000E0581"/>
    <w:rsid w:val="00106AFD"/>
    <w:rsid w:val="00111812"/>
    <w:rsid w:val="00121E3C"/>
    <w:rsid w:val="00130294"/>
    <w:rsid w:val="001378E0"/>
    <w:rsid w:val="00137B35"/>
    <w:rsid w:val="00152BE3"/>
    <w:rsid w:val="0016486A"/>
    <w:rsid w:val="0017000F"/>
    <w:rsid w:val="00184D04"/>
    <w:rsid w:val="0019102D"/>
    <w:rsid w:val="00195008"/>
    <w:rsid w:val="001A4E20"/>
    <w:rsid w:val="001B1943"/>
    <w:rsid w:val="001C1F10"/>
    <w:rsid w:val="001C39E7"/>
    <w:rsid w:val="001C6B43"/>
    <w:rsid w:val="001C7546"/>
    <w:rsid w:val="001F2D0F"/>
    <w:rsid w:val="00202122"/>
    <w:rsid w:val="00206123"/>
    <w:rsid w:val="002061B0"/>
    <w:rsid w:val="002065FB"/>
    <w:rsid w:val="00227508"/>
    <w:rsid w:val="00244E15"/>
    <w:rsid w:val="00251CB6"/>
    <w:rsid w:val="0025605D"/>
    <w:rsid w:val="00264297"/>
    <w:rsid w:val="0027305C"/>
    <w:rsid w:val="00274ED1"/>
    <w:rsid w:val="00293117"/>
    <w:rsid w:val="002950F1"/>
    <w:rsid w:val="002B29F8"/>
    <w:rsid w:val="002B2B94"/>
    <w:rsid w:val="002C2BF8"/>
    <w:rsid w:val="002C3496"/>
    <w:rsid w:val="002D077C"/>
    <w:rsid w:val="002E5B60"/>
    <w:rsid w:val="003224CC"/>
    <w:rsid w:val="00330B67"/>
    <w:rsid w:val="0033108E"/>
    <w:rsid w:val="0033630C"/>
    <w:rsid w:val="0034578B"/>
    <w:rsid w:val="00357337"/>
    <w:rsid w:val="003574D9"/>
    <w:rsid w:val="003754C6"/>
    <w:rsid w:val="00384BEC"/>
    <w:rsid w:val="003936A9"/>
    <w:rsid w:val="0039499D"/>
    <w:rsid w:val="003958D4"/>
    <w:rsid w:val="003A79AB"/>
    <w:rsid w:val="003E4E16"/>
    <w:rsid w:val="003F6234"/>
    <w:rsid w:val="00400DA3"/>
    <w:rsid w:val="00404419"/>
    <w:rsid w:val="00404D72"/>
    <w:rsid w:val="00414A28"/>
    <w:rsid w:val="0042279C"/>
    <w:rsid w:val="0042332D"/>
    <w:rsid w:val="0043494D"/>
    <w:rsid w:val="0044060F"/>
    <w:rsid w:val="00450B24"/>
    <w:rsid w:val="00452763"/>
    <w:rsid w:val="00455FE0"/>
    <w:rsid w:val="00461099"/>
    <w:rsid w:val="00464206"/>
    <w:rsid w:val="00465223"/>
    <w:rsid w:val="004758CA"/>
    <w:rsid w:val="00481ACD"/>
    <w:rsid w:val="00481F17"/>
    <w:rsid w:val="00492388"/>
    <w:rsid w:val="0049245D"/>
    <w:rsid w:val="0049362C"/>
    <w:rsid w:val="00496101"/>
    <w:rsid w:val="00496DF3"/>
    <w:rsid w:val="004A56AE"/>
    <w:rsid w:val="004B017C"/>
    <w:rsid w:val="004B4777"/>
    <w:rsid w:val="004C58E4"/>
    <w:rsid w:val="004D3EA7"/>
    <w:rsid w:val="004D51DB"/>
    <w:rsid w:val="004E178D"/>
    <w:rsid w:val="004E205D"/>
    <w:rsid w:val="004E40FC"/>
    <w:rsid w:val="005125A7"/>
    <w:rsid w:val="00514076"/>
    <w:rsid w:val="00520DEC"/>
    <w:rsid w:val="00524BAC"/>
    <w:rsid w:val="00527DCD"/>
    <w:rsid w:val="00530F44"/>
    <w:rsid w:val="00535B01"/>
    <w:rsid w:val="005437D4"/>
    <w:rsid w:val="00543F27"/>
    <w:rsid w:val="0055628E"/>
    <w:rsid w:val="005574F4"/>
    <w:rsid w:val="00576215"/>
    <w:rsid w:val="00576CF7"/>
    <w:rsid w:val="00582D24"/>
    <w:rsid w:val="00584855"/>
    <w:rsid w:val="00591033"/>
    <w:rsid w:val="005972FE"/>
    <w:rsid w:val="005A1FFC"/>
    <w:rsid w:val="005C617A"/>
    <w:rsid w:val="005D74F6"/>
    <w:rsid w:val="005E3558"/>
    <w:rsid w:val="005E7BBB"/>
    <w:rsid w:val="005F1B4E"/>
    <w:rsid w:val="00612BB0"/>
    <w:rsid w:val="00620D68"/>
    <w:rsid w:val="006314C6"/>
    <w:rsid w:val="006372BF"/>
    <w:rsid w:val="00694151"/>
    <w:rsid w:val="006A2CF3"/>
    <w:rsid w:val="006B2C9D"/>
    <w:rsid w:val="006B6CBD"/>
    <w:rsid w:val="006C20DD"/>
    <w:rsid w:val="006C7A34"/>
    <w:rsid w:val="006D37FF"/>
    <w:rsid w:val="006D5C4D"/>
    <w:rsid w:val="006F6F37"/>
    <w:rsid w:val="00703D99"/>
    <w:rsid w:val="007061E2"/>
    <w:rsid w:val="007166C2"/>
    <w:rsid w:val="007250B5"/>
    <w:rsid w:val="00725F9A"/>
    <w:rsid w:val="00734223"/>
    <w:rsid w:val="00734C21"/>
    <w:rsid w:val="00734CD7"/>
    <w:rsid w:val="007405D5"/>
    <w:rsid w:val="0075194B"/>
    <w:rsid w:val="0075325F"/>
    <w:rsid w:val="0076398C"/>
    <w:rsid w:val="0077281A"/>
    <w:rsid w:val="00775C07"/>
    <w:rsid w:val="00783013"/>
    <w:rsid w:val="00787704"/>
    <w:rsid w:val="007A2691"/>
    <w:rsid w:val="007A4A64"/>
    <w:rsid w:val="007A6A81"/>
    <w:rsid w:val="007C56DB"/>
    <w:rsid w:val="007E734D"/>
    <w:rsid w:val="008017EC"/>
    <w:rsid w:val="00805914"/>
    <w:rsid w:val="00817DD3"/>
    <w:rsid w:val="00823EF7"/>
    <w:rsid w:val="00832B78"/>
    <w:rsid w:val="00836303"/>
    <w:rsid w:val="00846D61"/>
    <w:rsid w:val="008611CA"/>
    <w:rsid w:val="00863DA4"/>
    <w:rsid w:val="0087652B"/>
    <w:rsid w:val="00882D92"/>
    <w:rsid w:val="00891936"/>
    <w:rsid w:val="0089326B"/>
    <w:rsid w:val="0089456F"/>
    <w:rsid w:val="008A71B5"/>
    <w:rsid w:val="008B2A16"/>
    <w:rsid w:val="008B55D3"/>
    <w:rsid w:val="008B6DAE"/>
    <w:rsid w:val="008B7A0A"/>
    <w:rsid w:val="008C2842"/>
    <w:rsid w:val="008D7A5D"/>
    <w:rsid w:val="008F11D2"/>
    <w:rsid w:val="008F6E71"/>
    <w:rsid w:val="00920A6E"/>
    <w:rsid w:val="00922600"/>
    <w:rsid w:val="009246E7"/>
    <w:rsid w:val="0093542B"/>
    <w:rsid w:val="009441EE"/>
    <w:rsid w:val="009613CB"/>
    <w:rsid w:val="00962149"/>
    <w:rsid w:val="00967401"/>
    <w:rsid w:val="0097339A"/>
    <w:rsid w:val="009734B8"/>
    <w:rsid w:val="009746B6"/>
    <w:rsid w:val="009963F2"/>
    <w:rsid w:val="009A493E"/>
    <w:rsid w:val="009B5F87"/>
    <w:rsid w:val="009F0338"/>
    <w:rsid w:val="00A01E57"/>
    <w:rsid w:val="00A15B3E"/>
    <w:rsid w:val="00A16283"/>
    <w:rsid w:val="00A32DA9"/>
    <w:rsid w:val="00A34485"/>
    <w:rsid w:val="00A41A8C"/>
    <w:rsid w:val="00A62D97"/>
    <w:rsid w:val="00A65AF4"/>
    <w:rsid w:val="00A67FC9"/>
    <w:rsid w:val="00A72237"/>
    <w:rsid w:val="00A80240"/>
    <w:rsid w:val="00A858E4"/>
    <w:rsid w:val="00A86EE1"/>
    <w:rsid w:val="00A904FC"/>
    <w:rsid w:val="00AA0329"/>
    <w:rsid w:val="00AA0705"/>
    <w:rsid w:val="00AB7D5B"/>
    <w:rsid w:val="00AC06C8"/>
    <w:rsid w:val="00AC10D9"/>
    <w:rsid w:val="00AC7C8D"/>
    <w:rsid w:val="00AE0715"/>
    <w:rsid w:val="00AF07A9"/>
    <w:rsid w:val="00AF3286"/>
    <w:rsid w:val="00B00349"/>
    <w:rsid w:val="00B0331C"/>
    <w:rsid w:val="00B06A04"/>
    <w:rsid w:val="00B1086F"/>
    <w:rsid w:val="00B137FC"/>
    <w:rsid w:val="00B254D1"/>
    <w:rsid w:val="00B47687"/>
    <w:rsid w:val="00B51440"/>
    <w:rsid w:val="00B619BD"/>
    <w:rsid w:val="00B677E0"/>
    <w:rsid w:val="00B67963"/>
    <w:rsid w:val="00B77309"/>
    <w:rsid w:val="00B84378"/>
    <w:rsid w:val="00B946CE"/>
    <w:rsid w:val="00B97CCC"/>
    <w:rsid w:val="00BA1259"/>
    <w:rsid w:val="00BB2677"/>
    <w:rsid w:val="00BB37F6"/>
    <w:rsid w:val="00BB5AF9"/>
    <w:rsid w:val="00BB5B69"/>
    <w:rsid w:val="00BB7DCD"/>
    <w:rsid w:val="00BC30F8"/>
    <w:rsid w:val="00BD1832"/>
    <w:rsid w:val="00BE6C48"/>
    <w:rsid w:val="00C0208B"/>
    <w:rsid w:val="00C034A7"/>
    <w:rsid w:val="00C0653D"/>
    <w:rsid w:val="00C15D6F"/>
    <w:rsid w:val="00C15DF5"/>
    <w:rsid w:val="00C267DA"/>
    <w:rsid w:val="00C356BF"/>
    <w:rsid w:val="00C3681B"/>
    <w:rsid w:val="00C37120"/>
    <w:rsid w:val="00C47C1E"/>
    <w:rsid w:val="00C56D47"/>
    <w:rsid w:val="00C62D56"/>
    <w:rsid w:val="00C72FC1"/>
    <w:rsid w:val="00C767AA"/>
    <w:rsid w:val="00C95CCD"/>
    <w:rsid w:val="00CB4B18"/>
    <w:rsid w:val="00CC376B"/>
    <w:rsid w:val="00CD678C"/>
    <w:rsid w:val="00CD6AF0"/>
    <w:rsid w:val="00CE04ED"/>
    <w:rsid w:val="00CE29BA"/>
    <w:rsid w:val="00CE4E85"/>
    <w:rsid w:val="00D11102"/>
    <w:rsid w:val="00D13F23"/>
    <w:rsid w:val="00D1765F"/>
    <w:rsid w:val="00D17FEA"/>
    <w:rsid w:val="00D217B6"/>
    <w:rsid w:val="00D3172D"/>
    <w:rsid w:val="00D31951"/>
    <w:rsid w:val="00D33460"/>
    <w:rsid w:val="00D3769E"/>
    <w:rsid w:val="00D55445"/>
    <w:rsid w:val="00D8511B"/>
    <w:rsid w:val="00D86DDC"/>
    <w:rsid w:val="00D9354D"/>
    <w:rsid w:val="00DA0E4C"/>
    <w:rsid w:val="00DB5347"/>
    <w:rsid w:val="00DC2736"/>
    <w:rsid w:val="00E02513"/>
    <w:rsid w:val="00E76127"/>
    <w:rsid w:val="00E96408"/>
    <w:rsid w:val="00EA3DF4"/>
    <w:rsid w:val="00EB1A3A"/>
    <w:rsid w:val="00EB1B23"/>
    <w:rsid w:val="00EB1B25"/>
    <w:rsid w:val="00EB1BED"/>
    <w:rsid w:val="00EB36D8"/>
    <w:rsid w:val="00EB5983"/>
    <w:rsid w:val="00ED5AB2"/>
    <w:rsid w:val="00EE0EB2"/>
    <w:rsid w:val="00EF695B"/>
    <w:rsid w:val="00F0678E"/>
    <w:rsid w:val="00F06D46"/>
    <w:rsid w:val="00F12ECA"/>
    <w:rsid w:val="00F15368"/>
    <w:rsid w:val="00F15D56"/>
    <w:rsid w:val="00F378E6"/>
    <w:rsid w:val="00F61120"/>
    <w:rsid w:val="00F66C56"/>
    <w:rsid w:val="00F762F0"/>
    <w:rsid w:val="00FB02AD"/>
    <w:rsid w:val="00FB20E6"/>
    <w:rsid w:val="00FB3299"/>
    <w:rsid w:val="00FB55CD"/>
    <w:rsid w:val="00FD5674"/>
    <w:rsid w:val="00FD575F"/>
    <w:rsid w:val="00FF49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4F4"/>
    <w:rPr>
      <w:sz w:val="24"/>
      <w:szCs w:val="24"/>
    </w:rPr>
  </w:style>
  <w:style w:type="paragraph" w:styleId="Heading6">
    <w:name w:val="heading 6"/>
    <w:basedOn w:val="Normal"/>
    <w:next w:val="Normal"/>
    <w:qFormat/>
    <w:rsid w:val="00202122"/>
    <w:pPr>
      <w:keepNext/>
      <w:tabs>
        <w:tab w:val="center" w:pos="7088"/>
      </w:tabs>
      <w:outlineLvl w:val="5"/>
    </w:pPr>
    <w:rPr>
      <w:b/>
      <w:sz w:val="22"/>
      <w:szCs w:val="20"/>
    </w:rPr>
  </w:style>
  <w:style w:type="paragraph" w:styleId="Heading9">
    <w:name w:val="heading 9"/>
    <w:basedOn w:val="Normal"/>
    <w:next w:val="Normal"/>
    <w:qFormat/>
    <w:rsid w:val="00202122"/>
    <w:pPr>
      <w:keepNext/>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2122"/>
    <w:rPr>
      <w:sz w:val="22"/>
      <w:szCs w:val="20"/>
    </w:rPr>
  </w:style>
  <w:style w:type="paragraph" w:styleId="BodyText">
    <w:name w:val="Body Text"/>
    <w:basedOn w:val="Normal"/>
    <w:rsid w:val="00202122"/>
    <w:pPr>
      <w:jc w:val="both"/>
    </w:pPr>
    <w:rPr>
      <w:rFonts w:ascii="HRTimes" w:hAnsi="HRTimes"/>
      <w:sz w:val="22"/>
      <w:szCs w:val="20"/>
    </w:rPr>
  </w:style>
  <w:style w:type="paragraph" w:styleId="BodyTextIndent">
    <w:name w:val="Body Text Indent"/>
    <w:basedOn w:val="Normal"/>
    <w:rsid w:val="00202122"/>
    <w:pPr>
      <w:ind w:firstLine="720"/>
      <w:jc w:val="both"/>
    </w:pPr>
    <w:rPr>
      <w:sz w:val="22"/>
      <w:szCs w:val="20"/>
    </w:rPr>
  </w:style>
  <w:style w:type="paragraph" w:styleId="Header">
    <w:name w:val="header"/>
    <w:basedOn w:val="Normal"/>
    <w:rsid w:val="0089456F"/>
    <w:pPr>
      <w:tabs>
        <w:tab w:val="center" w:pos="4536"/>
        <w:tab w:val="right" w:pos="9072"/>
      </w:tabs>
    </w:pPr>
  </w:style>
  <w:style w:type="paragraph" w:styleId="Footer">
    <w:name w:val="footer"/>
    <w:basedOn w:val="Normal"/>
    <w:rsid w:val="0089456F"/>
    <w:pPr>
      <w:tabs>
        <w:tab w:val="center" w:pos="4536"/>
        <w:tab w:val="right" w:pos="9072"/>
      </w:tabs>
    </w:pPr>
  </w:style>
  <w:style w:type="paragraph" w:styleId="BalloonText">
    <w:name w:val="Balloon Text"/>
    <w:basedOn w:val="Normal"/>
    <w:semiHidden/>
    <w:rsid w:val="00787704"/>
    <w:rPr>
      <w:rFonts w:ascii="Tahoma" w:hAnsi="Tahoma" w:cs="Tahoma"/>
      <w:sz w:val="16"/>
      <w:szCs w:val="16"/>
    </w:rPr>
  </w:style>
  <w:style w:type="paragraph" w:styleId="ListParagraph">
    <w:name w:val="List Paragraph"/>
    <w:basedOn w:val="Normal"/>
    <w:uiPriority w:val="34"/>
    <w:qFormat/>
    <w:rsid w:val="00D11102"/>
    <w:pPr>
      <w:ind w:left="720"/>
      <w:contextualSpacing/>
    </w:pPr>
  </w:style>
</w:styles>
</file>

<file path=word/webSettings.xml><?xml version="1.0" encoding="utf-8"?>
<w:webSettings xmlns:r="http://schemas.openxmlformats.org/officeDocument/2006/relationships" xmlns:w="http://schemas.openxmlformats.org/wordprocessingml/2006/main">
  <w:divs>
    <w:div w:id="395402230">
      <w:bodyDiv w:val="1"/>
      <w:marLeft w:val="0"/>
      <w:marRight w:val="0"/>
      <w:marTop w:val="0"/>
      <w:marBottom w:val="0"/>
      <w:divBdr>
        <w:top w:val="none" w:sz="0" w:space="0" w:color="auto"/>
        <w:left w:val="none" w:sz="0" w:space="0" w:color="auto"/>
        <w:bottom w:val="none" w:sz="0" w:space="0" w:color="auto"/>
        <w:right w:val="none" w:sz="0" w:space="0" w:color="auto"/>
      </w:divBdr>
    </w:div>
    <w:div w:id="16282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7329-A0D6-41B8-B9E8-DAD5A3A0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2457</Words>
  <Characters>14009</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Temeljem članka 46</vt:lpstr>
      <vt:lpstr>Temeljem članka 46</vt:lpstr>
    </vt:vector>
  </TitlesOfParts>
  <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kbencic</cp:lastModifiedBy>
  <cp:revision>204</cp:revision>
  <cp:lastPrinted>2009-11-12T13:04:00Z</cp:lastPrinted>
  <dcterms:created xsi:type="dcterms:W3CDTF">2018-09-17T11:51:00Z</dcterms:created>
  <dcterms:modified xsi:type="dcterms:W3CDTF">2018-10-12T11:15:00Z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3408750</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CN=Domino-SPM/O=GradPula</vt:lpwstr>
  </property>
  <property fmtid="{D5CDD505-2E9C-101B-9397-08002B2CF9AE}" pid="16" name="SW_DocumentDB">
    <vt:lpwstr>SWING\SPMplus_Pula.nsf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SWINGINTEGRATOR.5.16.000.DOT</vt:lpwstr>
  </property>
  <property fmtid="{D5CDD505-2E9C-101B-9397-08002B2CF9AE}" pid="22" name="Sw_ActivateWM">
    <vt:lpwstr>ka_Yes</vt:lpwstr>
  </property>
  <property fmtid="{D5CDD505-2E9C-101B-9397-08002B2CF9AE}" pid="23" name="Sw_TC">
    <vt:lpwstr/>
  </property>
  <property fmtid="{D5CDD505-2E9C-101B-9397-08002B2CF9AE}" pid="24" name="Sw_CsDo">
    <vt:lpwstr>Urbroj</vt:lpwstr>
  </property>
  <property fmtid="{D5CDD505-2E9C-101B-9397-08002B2CF9AE}" pid="25" name="Sw_CsDoVal">
    <vt:lpwstr>2168/01-01-04-00-0346-09-4</vt:lpwstr>
  </property>
  <property fmtid="{D5CDD505-2E9C-101B-9397-08002B2CF9AE}" pid="26" name="Sw_Status">
    <vt:lpwstr>ka_Zakljuceno</vt:lpwstr>
  </property>
  <property fmtid="{D5CDD505-2E9C-101B-9397-08002B2CF9AE}" pid="27" name="Sw_PrintDlg">
    <vt:lpwstr/>
  </property>
</Properties>
</file>