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E5" w:rsidRPr="00D4501E" w:rsidRDefault="004268E5" w:rsidP="004268E5">
      <w:pPr>
        <w:pStyle w:val="BodyText"/>
        <w:spacing w:after="0"/>
        <w:jc w:val="center"/>
        <w:rPr>
          <w:rFonts w:ascii="Times New Roman" w:hAnsi="Times New Roman" w:cs="Times New Roman"/>
          <w:b/>
        </w:rPr>
      </w:pPr>
      <w:r w:rsidRPr="00D4501E">
        <w:rPr>
          <w:rFonts w:ascii="Times New Roman" w:hAnsi="Times New Roman" w:cs="Times New Roman"/>
          <w:b/>
        </w:rPr>
        <w:t>O B R A Z L O Ž E N J E</w:t>
      </w:r>
    </w:p>
    <w:p w:rsidR="004268E5" w:rsidRDefault="004268E5" w:rsidP="004268E5">
      <w:pPr>
        <w:autoSpaceDE w:val="0"/>
        <w:autoSpaceDN w:val="0"/>
        <w:adjustRightInd w:val="0"/>
        <w:jc w:val="center"/>
        <w:rPr>
          <w:b/>
          <w:bCs/>
        </w:rPr>
      </w:pPr>
    </w:p>
    <w:p w:rsidR="004268E5" w:rsidRDefault="004268E5" w:rsidP="004268E5">
      <w:pPr>
        <w:autoSpaceDE w:val="0"/>
        <w:autoSpaceDN w:val="0"/>
        <w:adjustRightInd w:val="0"/>
        <w:jc w:val="center"/>
        <w:rPr>
          <w:b/>
          <w:bCs/>
        </w:rPr>
      </w:pPr>
    </w:p>
    <w:p w:rsidR="004268E5" w:rsidRDefault="004268E5" w:rsidP="00E85093">
      <w:pPr>
        <w:jc w:val="both"/>
        <w:rPr>
          <w:b/>
        </w:rPr>
      </w:pPr>
      <w:r>
        <w:rPr>
          <w:b/>
        </w:rPr>
        <w:t>I - PRAVNI TEMELJ ZA DONOŠENJE AKTA</w:t>
      </w:r>
    </w:p>
    <w:p w:rsidR="004268E5" w:rsidRDefault="004268E5" w:rsidP="00E85093">
      <w:pPr>
        <w:ind w:right="-180"/>
        <w:jc w:val="both"/>
      </w:pPr>
    </w:p>
    <w:p w:rsidR="004268E5" w:rsidRPr="00673A2A" w:rsidRDefault="004268E5" w:rsidP="00E850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73A2A">
        <w:rPr>
          <w:rFonts w:ascii="Times New Roman" w:hAnsi="Times New Roman"/>
          <w:sz w:val="24"/>
          <w:szCs w:val="24"/>
        </w:rPr>
        <w:t>Pravni temelj za donošenje ovog akta je članak 61. Statuta Grada Pula-Pola (“Službene novine” Grada Pule broj 7/09, 16/09, 12/11, 01/13, 2/18, 2/20, 4/21 i 5/21) kojim je propisano da Gradonačelnik Grada Pule donosi akte iz svog djelokruga.</w:t>
      </w:r>
    </w:p>
    <w:p w:rsidR="004268E5" w:rsidRPr="00673A2A" w:rsidRDefault="004268E5" w:rsidP="00E85093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743E18" w:rsidRPr="00673A2A" w:rsidRDefault="004268E5" w:rsidP="00E85093">
      <w:pPr>
        <w:autoSpaceDE w:val="0"/>
        <w:autoSpaceDN w:val="0"/>
        <w:adjustRightInd w:val="0"/>
        <w:jc w:val="both"/>
        <w:rPr>
          <w:szCs w:val="28"/>
        </w:rPr>
      </w:pPr>
      <w:r w:rsidRPr="00673A2A">
        <w:rPr>
          <w:rFonts w:eastAsia="TimesNewRoman"/>
        </w:rPr>
        <w:t>Akcijskim plan</w:t>
      </w:r>
      <w:r w:rsidR="00F818C2">
        <w:rPr>
          <w:rFonts w:eastAsia="TimesNewRoman"/>
        </w:rPr>
        <w:t xml:space="preserve">om </w:t>
      </w:r>
      <w:r w:rsidRPr="00673A2A">
        <w:rPr>
          <w:rFonts w:eastAsia="TimesNewRoman"/>
        </w:rPr>
        <w:t>energetske učinkovitosti</w:t>
      </w:r>
      <w:r w:rsidR="00743E18" w:rsidRPr="00673A2A">
        <w:rPr>
          <w:rFonts w:eastAsia="TimesNewRoman"/>
        </w:rPr>
        <w:t xml:space="preserve"> </w:t>
      </w:r>
      <w:r w:rsidR="00F818C2">
        <w:rPr>
          <w:rFonts w:eastAsia="TimesNewRoman"/>
        </w:rPr>
        <w:t xml:space="preserve">Grada Pule 2022.-2024. </w:t>
      </w:r>
      <w:r w:rsidR="00F818C2" w:rsidRPr="00673A2A">
        <w:t xml:space="preserve">(“Službene novine” Grada Pule broj </w:t>
      </w:r>
      <w:r w:rsidR="006756F2">
        <w:t>15</w:t>
      </w:r>
      <w:r w:rsidR="00F818C2">
        <w:t>/22)</w:t>
      </w:r>
      <w:r w:rsidR="00D2353A">
        <w:t xml:space="preserve"> </w:t>
      </w:r>
      <w:r w:rsidR="00F818C2">
        <w:rPr>
          <w:rFonts w:eastAsia="TimesNewRoman"/>
        </w:rPr>
        <w:t>definirane su mjere</w:t>
      </w:r>
      <w:r w:rsidR="00743E18" w:rsidRPr="00673A2A">
        <w:rPr>
          <w:szCs w:val="28"/>
        </w:rPr>
        <w:t xml:space="preserve"> energetske učinkovitosti</w:t>
      </w:r>
      <w:r w:rsidR="00F818C2">
        <w:rPr>
          <w:szCs w:val="28"/>
        </w:rPr>
        <w:t xml:space="preserve"> po osnovi kojih su utvrđene i mjere koje se sufinanciraju ovom</w:t>
      </w:r>
      <w:r w:rsidR="00743E18" w:rsidRPr="00673A2A">
        <w:rPr>
          <w:szCs w:val="28"/>
        </w:rPr>
        <w:t xml:space="preserve"> Odluk</w:t>
      </w:r>
      <w:r w:rsidR="00F818C2">
        <w:rPr>
          <w:szCs w:val="28"/>
        </w:rPr>
        <w:t>om</w:t>
      </w:r>
      <w:r w:rsidR="00743E18" w:rsidRPr="00673A2A">
        <w:rPr>
          <w:szCs w:val="28"/>
        </w:rPr>
        <w:t>.</w:t>
      </w:r>
    </w:p>
    <w:p w:rsidR="00AF332B" w:rsidRPr="00673A2A" w:rsidRDefault="00AF332B" w:rsidP="00E85093">
      <w:pPr>
        <w:autoSpaceDE w:val="0"/>
        <w:autoSpaceDN w:val="0"/>
        <w:adjustRightInd w:val="0"/>
        <w:jc w:val="both"/>
        <w:rPr>
          <w:rFonts w:ascii="Calibri" w:hAnsi="Calibri" w:cs="Calibri"/>
          <w:szCs w:val="28"/>
        </w:rPr>
      </w:pPr>
    </w:p>
    <w:p w:rsidR="004268E5" w:rsidRDefault="00CC2728" w:rsidP="00E85093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>Odluka o provođenju  i sufinanciranju mjera energetske učinkovitosti na području Grada Pula-Pola (KLASA 372-01/22-01/264, URBROJ:</w:t>
      </w:r>
      <w:r w:rsidRPr="00934758">
        <w:t xml:space="preserve"> </w:t>
      </w:r>
      <w:r w:rsidRPr="00934758">
        <w:rPr>
          <w:color w:val="000000" w:themeColor="text1"/>
        </w:rPr>
        <w:t>2163-7-04-04-0455-22-2</w:t>
      </w:r>
      <w:r>
        <w:rPr>
          <w:color w:val="000000" w:themeColor="text1"/>
        </w:rPr>
        <w:t xml:space="preserve">) propisuje uvjete, kriterije i </w:t>
      </w:r>
      <w:r w:rsidRPr="00673A2A">
        <w:t>postupak provođenja mjera poticanja energetske učinkovitosti koj</w:t>
      </w:r>
      <w:r>
        <w:t>e neposredno sufinancira</w:t>
      </w:r>
      <w:r w:rsidRPr="00673A2A">
        <w:t xml:space="preserve"> Grad Pula</w:t>
      </w:r>
      <w:r>
        <w:t>-Pola.</w:t>
      </w:r>
    </w:p>
    <w:p w:rsidR="00CC2728" w:rsidRPr="00673A2A" w:rsidRDefault="00CC2728" w:rsidP="00E85093">
      <w:pPr>
        <w:autoSpaceDE w:val="0"/>
        <w:autoSpaceDN w:val="0"/>
        <w:adjustRightInd w:val="0"/>
        <w:jc w:val="both"/>
      </w:pPr>
    </w:p>
    <w:p w:rsidR="004268E5" w:rsidRPr="00673A2A" w:rsidRDefault="004268E5" w:rsidP="00E85093">
      <w:pPr>
        <w:jc w:val="both"/>
        <w:rPr>
          <w:b/>
        </w:rPr>
      </w:pPr>
      <w:r w:rsidRPr="00673A2A">
        <w:rPr>
          <w:b/>
        </w:rPr>
        <w:t>II - OSNOVNA PITANJA KOJA SE UREĐUJU AKTOM</w:t>
      </w:r>
    </w:p>
    <w:p w:rsidR="004268E5" w:rsidRPr="00673A2A" w:rsidRDefault="004268E5" w:rsidP="00E85093">
      <w:pPr>
        <w:autoSpaceDE w:val="0"/>
        <w:autoSpaceDN w:val="0"/>
        <w:adjustRightInd w:val="0"/>
        <w:ind w:left="357"/>
        <w:jc w:val="both"/>
      </w:pPr>
    </w:p>
    <w:p w:rsidR="003323FE" w:rsidRDefault="003323FE" w:rsidP="006469B7">
      <w:pPr>
        <w:jc w:val="both"/>
      </w:pPr>
      <w:r>
        <w:t>Obzirom se kroz institut e- konzultacija</w:t>
      </w:r>
      <w:r w:rsidR="00E222CA">
        <w:t>, a na prijedlog građana,</w:t>
      </w:r>
      <w:r>
        <w:t xml:space="preserve"> prihvatilo sufinanciranje i klimatizacijskih uređaja</w:t>
      </w:r>
      <w:r w:rsidR="00A145E2">
        <w:t>,</w:t>
      </w:r>
      <w:r>
        <w:t xml:space="preserve"> za koje </w:t>
      </w:r>
      <w:r w:rsidR="00A145E2">
        <w:t xml:space="preserve">nije provedena tranzicija u </w:t>
      </w:r>
      <w:r w:rsidR="00A145E2" w:rsidRPr="003323FE">
        <w:t>nove</w:t>
      </w:r>
      <w:r w:rsidR="00A145E2">
        <w:t xml:space="preserve"> energetske oznake (koje</w:t>
      </w:r>
      <w:r w:rsidR="00A145E2" w:rsidRPr="003323FE">
        <w:t xml:space="preserve"> će se implementirati nakon što bude donesena odgovarajuća relevantna EU regulativa</w:t>
      </w:r>
      <w:r w:rsidR="00A145E2">
        <w:t xml:space="preserve">), te su </w:t>
      </w:r>
      <w:r>
        <w:t xml:space="preserve">još </w:t>
      </w:r>
      <w:r w:rsidR="00A145E2">
        <w:t>na snazi stare energetske oznake, o</w:t>
      </w:r>
      <w:r w:rsidR="00743E18" w:rsidRPr="00673A2A">
        <w:t xml:space="preserve">vom se Odlukom </w:t>
      </w:r>
      <w:r w:rsidR="006469B7">
        <w:t xml:space="preserve">želi podnositeljima Zahtjeva </w:t>
      </w:r>
      <w:r>
        <w:t xml:space="preserve">za sufinanciranje kućanskih uređaja </w:t>
      </w:r>
      <w:r w:rsidR="006469B7">
        <w:t xml:space="preserve">precizno determinirati </w:t>
      </w:r>
      <w:r>
        <w:t xml:space="preserve">koji su energetski razredi </w:t>
      </w:r>
      <w:r w:rsidR="006469B7">
        <w:t>kućansk</w:t>
      </w:r>
      <w:r>
        <w:t>ih</w:t>
      </w:r>
      <w:r w:rsidR="006469B7">
        <w:t xml:space="preserve"> uređaj</w:t>
      </w:r>
      <w:r>
        <w:t>a</w:t>
      </w:r>
      <w:r w:rsidR="006469B7">
        <w:t xml:space="preserve"> </w:t>
      </w:r>
      <w:r>
        <w:t>prihvatljivi za sufinanciranje</w:t>
      </w:r>
    </w:p>
    <w:p w:rsidR="006469B7" w:rsidRDefault="00A145E2" w:rsidP="006469B7">
      <w:pPr>
        <w:jc w:val="both"/>
        <w:rPr>
          <w:bCs/>
        </w:rPr>
      </w:pPr>
      <w:r>
        <w:rPr>
          <w:bCs/>
        </w:rPr>
        <w:t xml:space="preserve">Osim energetskih razreda A, B i C </w:t>
      </w:r>
      <w:r w:rsidR="006469B7" w:rsidRPr="00F6615F">
        <w:rPr>
          <w:bCs/>
        </w:rPr>
        <w:t>sukladno novim energetskim oznakama</w:t>
      </w:r>
      <w:r>
        <w:rPr>
          <w:bCs/>
        </w:rPr>
        <w:t xml:space="preserve"> energetske učinkovitosti</w:t>
      </w:r>
      <w:r w:rsidR="006469B7" w:rsidRPr="00F6615F">
        <w:rPr>
          <w:bCs/>
        </w:rPr>
        <w:t xml:space="preserve">, </w:t>
      </w:r>
      <w:r>
        <w:rPr>
          <w:bCs/>
        </w:rPr>
        <w:t>prihvatljiv</w:t>
      </w:r>
      <w:r w:rsidR="00E222CA">
        <w:rPr>
          <w:bCs/>
        </w:rPr>
        <w:t>a</w:t>
      </w:r>
      <w:r>
        <w:rPr>
          <w:bCs/>
        </w:rPr>
        <w:t xml:space="preserve"> za sufinanciranje smatra se i oznaka ene</w:t>
      </w:r>
      <w:r w:rsidR="006469B7" w:rsidRPr="00F6615F">
        <w:rPr>
          <w:bCs/>
        </w:rPr>
        <w:t>rgetskog razreda A+++, sukladno starim energetskim oznakama</w:t>
      </w:r>
      <w:r>
        <w:rPr>
          <w:bCs/>
        </w:rPr>
        <w:t xml:space="preserve"> za energetsku učinkovitost, za sve uređaje koji se sufinanciraju.</w:t>
      </w:r>
      <w:r w:rsidR="00E222CA">
        <w:rPr>
          <w:bCs/>
        </w:rPr>
        <w:t xml:space="preserve"> </w:t>
      </w:r>
    </w:p>
    <w:p w:rsidR="00E222CA" w:rsidRDefault="00E222CA" w:rsidP="006469B7">
      <w:pPr>
        <w:jc w:val="both"/>
        <w:rPr>
          <w:bCs/>
        </w:rPr>
      </w:pPr>
      <w:r>
        <w:rPr>
          <w:bCs/>
        </w:rPr>
        <w:t>Predmetne propozicije će se primjenjivati od početka provođenja Javnog poziva, te će se svi zahtjevi istovjetno obraditi, u</w:t>
      </w:r>
      <w:r w:rsidR="000743CD">
        <w:rPr>
          <w:bCs/>
        </w:rPr>
        <w:t xml:space="preserve"> s</w:t>
      </w:r>
      <w:r>
        <w:rPr>
          <w:bCs/>
        </w:rPr>
        <w:t>klad</w:t>
      </w:r>
      <w:r w:rsidR="000743CD">
        <w:rPr>
          <w:bCs/>
        </w:rPr>
        <w:t>u s</w:t>
      </w:r>
      <w:r>
        <w:rPr>
          <w:bCs/>
        </w:rPr>
        <w:t xml:space="preserve"> naveden</w:t>
      </w:r>
      <w:r w:rsidR="000743CD">
        <w:rPr>
          <w:bCs/>
        </w:rPr>
        <w:t>i</w:t>
      </w:r>
      <w:r>
        <w:rPr>
          <w:bCs/>
        </w:rPr>
        <w:t>m.</w:t>
      </w:r>
    </w:p>
    <w:p w:rsidR="006469B7" w:rsidRDefault="006469B7" w:rsidP="006469B7">
      <w:pPr>
        <w:jc w:val="both"/>
        <w:rPr>
          <w:bCs/>
        </w:rPr>
      </w:pPr>
    </w:p>
    <w:p w:rsidR="006469B7" w:rsidRDefault="006469B7" w:rsidP="00E85093">
      <w:pPr>
        <w:jc w:val="both"/>
      </w:pPr>
    </w:p>
    <w:p w:rsidR="004268E5" w:rsidRPr="00834748" w:rsidRDefault="004268E5" w:rsidP="00E85093">
      <w:pPr>
        <w:autoSpaceDE w:val="0"/>
        <w:autoSpaceDN w:val="0"/>
        <w:adjustRightInd w:val="0"/>
        <w:ind w:left="476" w:hanging="476"/>
        <w:jc w:val="both"/>
        <w:rPr>
          <w:b/>
        </w:rPr>
      </w:pPr>
      <w:r w:rsidRPr="00673A2A">
        <w:rPr>
          <w:b/>
          <w:lang w:val="it-IT"/>
        </w:rPr>
        <w:t>I</w:t>
      </w:r>
      <w:r w:rsidR="00212140">
        <w:rPr>
          <w:b/>
          <w:lang w:val="it-IT"/>
        </w:rPr>
        <w:t>II</w:t>
      </w:r>
      <w:r w:rsidRPr="00834748">
        <w:rPr>
          <w:b/>
        </w:rPr>
        <w:t xml:space="preserve"> - </w:t>
      </w:r>
      <w:r w:rsidRPr="00673A2A">
        <w:rPr>
          <w:b/>
          <w:lang w:val="it-IT"/>
        </w:rPr>
        <w:t>PROCJENA</w:t>
      </w:r>
      <w:r w:rsidRPr="00834748">
        <w:rPr>
          <w:b/>
        </w:rPr>
        <w:t xml:space="preserve"> </w:t>
      </w:r>
      <w:r w:rsidRPr="00673A2A">
        <w:rPr>
          <w:b/>
          <w:lang w:val="it-IT"/>
        </w:rPr>
        <w:t>POTREBNIH</w:t>
      </w:r>
      <w:r w:rsidRPr="00834748">
        <w:rPr>
          <w:b/>
        </w:rPr>
        <w:t xml:space="preserve"> </w:t>
      </w:r>
      <w:r w:rsidRPr="00673A2A">
        <w:rPr>
          <w:b/>
          <w:lang w:val="it-IT"/>
        </w:rPr>
        <w:t>FINANCIJSKIH</w:t>
      </w:r>
      <w:r w:rsidRPr="00834748">
        <w:rPr>
          <w:b/>
        </w:rPr>
        <w:t xml:space="preserve"> </w:t>
      </w:r>
      <w:r w:rsidRPr="00673A2A">
        <w:rPr>
          <w:b/>
          <w:lang w:val="it-IT"/>
        </w:rPr>
        <w:t>SREDSTAVA</w:t>
      </w:r>
      <w:r w:rsidRPr="00834748">
        <w:rPr>
          <w:b/>
        </w:rPr>
        <w:t xml:space="preserve"> </w:t>
      </w:r>
    </w:p>
    <w:p w:rsidR="004268E5" w:rsidRPr="00834748" w:rsidRDefault="004268E5" w:rsidP="00E85093">
      <w:pPr>
        <w:autoSpaceDE w:val="0"/>
        <w:autoSpaceDN w:val="0"/>
        <w:adjustRightInd w:val="0"/>
        <w:jc w:val="both"/>
        <w:rPr>
          <w:b/>
        </w:rPr>
      </w:pPr>
    </w:p>
    <w:p w:rsidR="00796953" w:rsidRPr="00673A2A" w:rsidRDefault="004268E5" w:rsidP="004A5D6B">
      <w:pPr>
        <w:jc w:val="both"/>
      </w:pPr>
      <w:r w:rsidRPr="00673A2A">
        <w:t xml:space="preserve">Financijska sredstva za provedbu ove Odluke </w:t>
      </w:r>
      <w:r w:rsidR="00CC2728">
        <w:t xml:space="preserve">osigurana su u Proračunu Grada Pula-Pole za 2022. godinu, </w:t>
      </w:r>
      <w:r w:rsidR="00D2353A">
        <w:t>na pozicijama</w:t>
      </w:r>
      <w:r w:rsidR="004A5D6B" w:rsidRPr="00673A2A">
        <w:t xml:space="preserve"> energetske učinkovitosti.</w:t>
      </w:r>
    </w:p>
    <w:p w:rsidR="00796953" w:rsidRPr="00673A2A" w:rsidRDefault="00796953" w:rsidP="00834707">
      <w:r w:rsidRPr="00673A2A">
        <w:tab/>
      </w:r>
      <w:r w:rsidRPr="00673A2A">
        <w:tab/>
      </w:r>
      <w:r w:rsidRPr="00673A2A">
        <w:tab/>
      </w:r>
      <w:r w:rsidRPr="00673A2A">
        <w:tab/>
      </w:r>
      <w:r w:rsidRPr="00673A2A">
        <w:tab/>
      </w:r>
      <w:r w:rsidRPr="00673A2A">
        <w:tab/>
      </w:r>
      <w:r w:rsidRPr="00673A2A">
        <w:tab/>
      </w:r>
    </w:p>
    <w:p w:rsidR="00C472EC" w:rsidRDefault="00C472EC" w:rsidP="00C472EC">
      <w:pPr>
        <w:jc w:val="both"/>
        <w:rPr>
          <w:b/>
        </w:rPr>
      </w:pPr>
      <w:r w:rsidRPr="00673A2A">
        <w:t xml:space="preserve">Pripremila: </w:t>
      </w:r>
      <w:r w:rsidR="00CC2728">
        <w:t>Lorena Dropulić</w:t>
      </w:r>
      <w:r w:rsidRPr="00673A2A">
        <w:t>, dipl.ing.agr.</w:t>
      </w:r>
    </w:p>
    <w:sectPr w:rsidR="00C472EC" w:rsidSect="006756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630" w:rsidRDefault="00430630" w:rsidP="004837D5">
      <w:r>
        <w:separator/>
      </w:r>
    </w:p>
  </w:endnote>
  <w:endnote w:type="continuationSeparator" w:id="0">
    <w:p w:rsidR="00430630" w:rsidRDefault="00430630" w:rsidP="0048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630" w:rsidRDefault="00430630" w:rsidP="004837D5">
      <w:r>
        <w:separator/>
      </w:r>
    </w:p>
  </w:footnote>
  <w:footnote w:type="continuationSeparator" w:id="0">
    <w:p w:rsidR="00430630" w:rsidRDefault="00430630" w:rsidP="00483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976"/>
    <w:multiLevelType w:val="hybridMultilevel"/>
    <w:tmpl w:val="F9ACE056"/>
    <w:lvl w:ilvl="0" w:tplc="BF3A8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313E65C9"/>
    <w:multiLevelType w:val="hybridMultilevel"/>
    <w:tmpl w:val="F67A4A4A"/>
    <w:lvl w:ilvl="0" w:tplc="F4144C3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29929D4"/>
    <w:multiLevelType w:val="hybridMultilevel"/>
    <w:tmpl w:val="C5225454"/>
    <w:lvl w:ilvl="0" w:tplc="2DF0D7BA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20E35"/>
    <w:multiLevelType w:val="hybridMultilevel"/>
    <w:tmpl w:val="F9ACE056"/>
    <w:lvl w:ilvl="0" w:tplc="BF3A8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5EA11528"/>
    <w:multiLevelType w:val="hybridMultilevel"/>
    <w:tmpl w:val="8794B3E0"/>
    <w:lvl w:ilvl="0" w:tplc="25603F04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824" w:hanging="348"/>
      </w:pPr>
      <w:rPr>
        <w:rFonts w:ascii="Courier New" w:hAnsi="Courier New" w:cs="Courier New" w:hint="default"/>
        <w:w w:val="100"/>
        <w:sz w:val="24"/>
        <w:szCs w:val="24"/>
      </w:rPr>
    </w:lvl>
    <w:lvl w:ilvl="2" w:tplc="1E7E2FC6">
      <w:numFmt w:val="bullet"/>
      <w:lvlText w:val="•"/>
      <w:lvlJc w:val="left"/>
      <w:pPr>
        <w:ind w:left="1762" w:hanging="348"/>
      </w:pPr>
      <w:rPr>
        <w:rFonts w:hint="default"/>
      </w:rPr>
    </w:lvl>
    <w:lvl w:ilvl="3" w:tplc="4AAE7856">
      <w:numFmt w:val="bullet"/>
      <w:lvlText w:val="•"/>
      <w:lvlJc w:val="left"/>
      <w:pPr>
        <w:ind w:left="2705" w:hanging="348"/>
      </w:pPr>
      <w:rPr>
        <w:rFonts w:hint="default"/>
      </w:rPr>
    </w:lvl>
    <w:lvl w:ilvl="4" w:tplc="E49E4714">
      <w:numFmt w:val="bullet"/>
      <w:lvlText w:val="•"/>
      <w:lvlJc w:val="left"/>
      <w:pPr>
        <w:ind w:left="3648" w:hanging="348"/>
      </w:pPr>
      <w:rPr>
        <w:rFonts w:hint="default"/>
      </w:rPr>
    </w:lvl>
    <w:lvl w:ilvl="5" w:tplc="17708050">
      <w:numFmt w:val="bullet"/>
      <w:lvlText w:val="•"/>
      <w:lvlJc w:val="left"/>
      <w:pPr>
        <w:ind w:left="4591" w:hanging="348"/>
      </w:pPr>
      <w:rPr>
        <w:rFonts w:hint="default"/>
      </w:rPr>
    </w:lvl>
    <w:lvl w:ilvl="6" w:tplc="0A0256CA">
      <w:numFmt w:val="bullet"/>
      <w:lvlText w:val="•"/>
      <w:lvlJc w:val="left"/>
      <w:pPr>
        <w:ind w:left="5534" w:hanging="348"/>
      </w:pPr>
      <w:rPr>
        <w:rFonts w:hint="default"/>
      </w:rPr>
    </w:lvl>
    <w:lvl w:ilvl="7" w:tplc="1F22A1A6">
      <w:numFmt w:val="bullet"/>
      <w:lvlText w:val="•"/>
      <w:lvlJc w:val="left"/>
      <w:pPr>
        <w:ind w:left="6477" w:hanging="348"/>
      </w:pPr>
      <w:rPr>
        <w:rFonts w:hint="default"/>
      </w:rPr>
    </w:lvl>
    <w:lvl w:ilvl="8" w:tplc="E5C084DA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5">
    <w:nsid w:val="6B237191"/>
    <w:multiLevelType w:val="hybridMultilevel"/>
    <w:tmpl w:val="34065112"/>
    <w:lvl w:ilvl="0" w:tplc="AAD075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8E5"/>
    <w:rsid w:val="000743CD"/>
    <w:rsid w:val="000D6411"/>
    <w:rsid w:val="00212140"/>
    <w:rsid w:val="003323FE"/>
    <w:rsid w:val="004124FB"/>
    <w:rsid w:val="004268E5"/>
    <w:rsid w:val="00430630"/>
    <w:rsid w:val="004837D5"/>
    <w:rsid w:val="00497FB7"/>
    <w:rsid w:val="004A5D6B"/>
    <w:rsid w:val="005F23EB"/>
    <w:rsid w:val="00634107"/>
    <w:rsid w:val="006469B7"/>
    <w:rsid w:val="00673A2A"/>
    <w:rsid w:val="006756F2"/>
    <w:rsid w:val="006965E4"/>
    <w:rsid w:val="006E2ECE"/>
    <w:rsid w:val="00743E18"/>
    <w:rsid w:val="00796953"/>
    <w:rsid w:val="00834707"/>
    <w:rsid w:val="00834748"/>
    <w:rsid w:val="00842E03"/>
    <w:rsid w:val="009F2D2E"/>
    <w:rsid w:val="00A145E2"/>
    <w:rsid w:val="00A9420B"/>
    <w:rsid w:val="00AF332B"/>
    <w:rsid w:val="00B64D9C"/>
    <w:rsid w:val="00C472EC"/>
    <w:rsid w:val="00CC2728"/>
    <w:rsid w:val="00D2353A"/>
    <w:rsid w:val="00D275D4"/>
    <w:rsid w:val="00D4501E"/>
    <w:rsid w:val="00DD33C3"/>
    <w:rsid w:val="00DE54E0"/>
    <w:rsid w:val="00E222CA"/>
    <w:rsid w:val="00E36C61"/>
    <w:rsid w:val="00E85093"/>
    <w:rsid w:val="00F37BF4"/>
    <w:rsid w:val="00F8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5F23EB"/>
    <w:pPr>
      <w:widowControl w:val="0"/>
      <w:autoSpaceDE w:val="0"/>
      <w:autoSpaceDN w:val="0"/>
      <w:ind w:left="1261" w:right="1261"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glava Char"/>
    <w:basedOn w:val="DefaultParagraphFont"/>
    <w:link w:val="BodyText"/>
    <w:semiHidden/>
    <w:locked/>
    <w:rsid w:val="004268E5"/>
    <w:rPr>
      <w:sz w:val="24"/>
      <w:szCs w:val="24"/>
    </w:rPr>
  </w:style>
  <w:style w:type="paragraph" w:styleId="BodyText">
    <w:name w:val="Body Text"/>
    <w:aliases w:val="glava"/>
    <w:basedOn w:val="Normal"/>
    <w:link w:val="BodyTextChar"/>
    <w:semiHidden/>
    <w:unhideWhenUsed/>
    <w:rsid w:val="004268E5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4268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4268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NoSpacing1">
    <w:name w:val="No Spacing1"/>
    <w:qFormat/>
    <w:rsid w:val="004268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Svijetlatablicareetke1-isticanje21">
    <w:name w:val="Svijetla tablica rešetke 1 - isticanje 21"/>
    <w:basedOn w:val="TableNormal"/>
    <w:uiPriority w:val="46"/>
    <w:rsid w:val="004268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1"/>
    <w:qFormat/>
    <w:rsid w:val="004124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F23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7D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4837D5"/>
    <w:rPr>
      <w:vertAlign w:val="superscript"/>
    </w:rPr>
  </w:style>
  <w:style w:type="paragraph" w:styleId="Revision">
    <w:name w:val="Revision"/>
    <w:hidden/>
    <w:uiPriority w:val="99"/>
    <w:semiHidden/>
    <w:rsid w:val="00E3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D5470-0BA4-465B-A04E-1FA3CBF7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msabanagic</dc:creator>
  <cp:lastModifiedBy>slicardo</cp:lastModifiedBy>
  <cp:revision>2</cp:revision>
  <cp:lastPrinted>2022-10-18T11:11:00Z</cp:lastPrinted>
  <dcterms:created xsi:type="dcterms:W3CDTF">2022-10-18T11:54:00Z</dcterms:created>
  <dcterms:modified xsi:type="dcterms:W3CDTF">2022-10-18T11:54:00Z</dcterms:modified>
</cp:coreProperties>
</file>