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55" w:rsidRPr="00526AD1" w:rsidRDefault="00BE5B55" w:rsidP="001E1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D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5724525" cy="3067050"/>
            <wp:effectExtent l="19050" t="0" r="9525" b="0"/>
            <wp:docPr id="4" name="Picture 1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535" w:rsidRDefault="00AD6CD9" w:rsidP="00AD6CD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Pula, 14.02.2020.</w:t>
      </w:r>
    </w:p>
    <w:p w:rsidR="00AD6CD9" w:rsidRDefault="00AD6CD9" w:rsidP="001E12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B55" w:rsidRPr="00526AD1" w:rsidRDefault="00BE5B55" w:rsidP="001E12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AD1">
        <w:rPr>
          <w:rFonts w:ascii="Times New Roman" w:hAnsi="Times New Roman" w:cs="Times New Roman"/>
          <w:b/>
          <w:sz w:val="24"/>
          <w:szCs w:val="24"/>
        </w:rPr>
        <w:t xml:space="preserve">GRAD PULA </w:t>
      </w:r>
      <w:r w:rsidR="003A7E83" w:rsidRPr="00526AD1">
        <w:rPr>
          <w:rFonts w:ascii="Times New Roman" w:hAnsi="Times New Roman" w:cs="Times New Roman"/>
          <w:b/>
          <w:sz w:val="24"/>
          <w:szCs w:val="24"/>
        </w:rPr>
        <w:t>-</w:t>
      </w:r>
      <w:r w:rsidRPr="00526AD1">
        <w:rPr>
          <w:rFonts w:ascii="Times New Roman" w:hAnsi="Times New Roman" w:cs="Times New Roman"/>
          <w:b/>
          <w:sz w:val="24"/>
          <w:szCs w:val="24"/>
        </w:rPr>
        <w:t>POLA</w:t>
      </w:r>
    </w:p>
    <w:p w:rsidR="00BE5B55" w:rsidRDefault="00BE5B55" w:rsidP="001E12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AD1">
        <w:rPr>
          <w:rFonts w:ascii="Times New Roman" w:hAnsi="Times New Roman" w:cs="Times New Roman"/>
          <w:b/>
          <w:sz w:val="24"/>
          <w:szCs w:val="24"/>
        </w:rPr>
        <w:t>BILJEŠKE UZ FINANCIJSKE IZVJEŠTAJE</w:t>
      </w:r>
      <w:r w:rsidR="001E12E2" w:rsidRPr="00526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E83" w:rsidRPr="00526AD1">
        <w:rPr>
          <w:rFonts w:ascii="Times New Roman" w:hAnsi="Times New Roman" w:cs="Times New Roman"/>
          <w:b/>
          <w:sz w:val="24"/>
          <w:szCs w:val="24"/>
        </w:rPr>
        <w:t>-</w:t>
      </w:r>
      <w:r w:rsidR="001E12E2" w:rsidRPr="00526AD1">
        <w:rPr>
          <w:rFonts w:ascii="Times New Roman" w:hAnsi="Times New Roman" w:cs="Times New Roman"/>
          <w:b/>
          <w:sz w:val="24"/>
          <w:szCs w:val="24"/>
        </w:rPr>
        <w:t xml:space="preserve"> razina 22</w:t>
      </w:r>
    </w:p>
    <w:p w:rsidR="004E0535" w:rsidRPr="00526AD1" w:rsidRDefault="004E0535" w:rsidP="001E12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8754"/>
        <w:tblW w:w="9235" w:type="dxa"/>
        <w:tblLook w:val="04A0"/>
      </w:tblPr>
      <w:tblGrid>
        <w:gridCol w:w="1520"/>
        <w:gridCol w:w="1106"/>
        <w:gridCol w:w="1848"/>
        <w:gridCol w:w="444"/>
        <w:gridCol w:w="1815"/>
        <w:gridCol w:w="2502"/>
      </w:tblGrid>
      <w:tr w:rsidR="00AD6CD9" w:rsidRPr="00526AD1" w:rsidTr="00A02CC6">
        <w:trPr>
          <w:trHeight w:val="31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Broj RKP-a: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34813</w:t>
            </w:r>
          </w:p>
        </w:tc>
        <w:tc>
          <w:tcPr>
            <w:tcW w:w="6609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  <w:p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 </w:t>
            </w:r>
          </w:p>
        </w:tc>
      </w:tr>
      <w:tr w:rsidR="00AD6CD9" w:rsidRPr="00526AD1" w:rsidTr="00A02CC6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Matični broj: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02539560</w:t>
            </w:r>
          </w:p>
        </w:tc>
        <w:tc>
          <w:tcPr>
            <w:tcW w:w="6609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E32FFE" w:rsidRPr="00526AD1" w:rsidTr="00A02CC6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FFE" w:rsidRPr="00526AD1" w:rsidRDefault="00E32FFE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Naziv obveznika: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E32FFE" w:rsidRPr="00526AD1" w:rsidRDefault="00E32FFE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FFE" w:rsidRPr="00526AD1" w:rsidRDefault="00E32FFE" w:rsidP="00AD6C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Od datuma: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E32FFE" w:rsidRPr="00526AD1" w:rsidRDefault="00E32FFE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1.1.201</w:t>
            </w:r>
            <w:r w:rsidR="00AD6CD9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9</w:t>
            </w:r>
          </w:p>
        </w:tc>
      </w:tr>
      <w:tr w:rsidR="00AD6CD9" w:rsidRPr="00526AD1" w:rsidTr="00A02CC6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Pošta i mjesto: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25" w:color="C0C0C0" w:fill="auto"/>
            <w:noWrap/>
            <w:vAlign w:val="center"/>
            <w:hideMark/>
          </w:tcPr>
          <w:p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52100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Pula</w:t>
            </w:r>
          </w:p>
        </w:tc>
        <w:tc>
          <w:tcPr>
            <w:tcW w:w="44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D9" w:rsidRPr="00526AD1" w:rsidRDefault="00AD6CD9" w:rsidP="00AD6C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Do datuma: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25" w:color="C0C0C0" w:fill="auto"/>
            <w:noWrap/>
            <w:vAlign w:val="center"/>
            <w:hideMark/>
          </w:tcPr>
          <w:p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31.12.201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9</w:t>
            </w:r>
          </w:p>
        </w:tc>
      </w:tr>
      <w:tr w:rsidR="00AD6CD9" w:rsidRPr="00526AD1" w:rsidTr="00A02CC6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Ulica i kućni broj:</w:t>
            </w:r>
          </w:p>
        </w:tc>
        <w:tc>
          <w:tcPr>
            <w:tcW w:w="2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FORUM 1</w:t>
            </w:r>
          </w:p>
        </w:tc>
        <w:tc>
          <w:tcPr>
            <w:tcW w:w="44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D9" w:rsidRPr="00526AD1" w:rsidRDefault="00AD6CD9" w:rsidP="00AD6C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OIB: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25" w:color="C0C0C0" w:fill="auto"/>
            <w:noWrap/>
            <w:vAlign w:val="center"/>
            <w:hideMark/>
          </w:tcPr>
          <w:p w:rsidR="00AD6CD9" w:rsidRPr="00526AD1" w:rsidRDefault="00AD6CD9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79517841355</w:t>
            </w:r>
          </w:p>
        </w:tc>
      </w:tr>
      <w:tr w:rsidR="00E32FFE" w:rsidRPr="00526AD1" w:rsidTr="00A02CC6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FFE" w:rsidRPr="00526AD1" w:rsidRDefault="00E32FFE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Razina: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E32FFE" w:rsidRPr="00526AD1" w:rsidRDefault="00E32FFE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660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2FFE" w:rsidRPr="00526AD1" w:rsidRDefault="00E32FFE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C0C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C0C0C0"/>
                <w:sz w:val="18"/>
                <w:szCs w:val="18"/>
                <w:lang w:eastAsia="hr-HR"/>
              </w:rPr>
              <w:t> </w:t>
            </w:r>
          </w:p>
        </w:tc>
      </w:tr>
      <w:tr w:rsidR="00E32FFE" w:rsidRPr="00526AD1" w:rsidTr="00A02CC6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FFE" w:rsidRPr="00526AD1" w:rsidRDefault="00E32FFE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Šifra djelatnosti: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E32FFE" w:rsidRPr="00526AD1" w:rsidRDefault="00E32FFE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8411</w:t>
            </w:r>
          </w:p>
        </w:tc>
        <w:tc>
          <w:tcPr>
            <w:tcW w:w="660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2FFE" w:rsidRPr="00526AD1" w:rsidRDefault="00E32FFE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C0C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C0C0C0"/>
                <w:sz w:val="18"/>
                <w:szCs w:val="18"/>
                <w:lang w:eastAsia="hr-HR"/>
              </w:rPr>
              <w:t>Opće djelatnosti javne uprave</w:t>
            </w:r>
          </w:p>
        </w:tc>
      </w:tr>
      <w:tr w:rsidR="00E32FFE" w:rsidRPr="00526AD1" w:rsidTr="00A02CC6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FFE" w:rsidRPr="00526AD1" w:rsidRDefault="00E32FFE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Šifra grada/opć.: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E32FFE" w:rsidRPr="00526AD1" w:rsidRDefault="00E32FFE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hr-HR"/>
              </w:rPr>
              <w:t>359</w:t>
            </w:r>
          </w:p>
        </w:tc>
        <w:tc>
          <w:tcPr>
            <w:tcW w:w="66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2FFE" w:rsidRPr="00526AD1" w:rsidRDefault="00E32FFE" w:rsidP="00AD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C0C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C0C0C0"/>
                <w:sz w:val="18"/>
                <w:szCs w:val="18"/>
                <w:lang w:eastAsia="hr-HR"/>
              </w:rPr>
              <w:t> </w:t>
            </w:r>
          </w:p>
        </w:tc>
      </w:tr>
    </w:tbl>
    <w:p w:rsidR="003A7BA0" w:rsidRDefault="00A71598" w:rsidP="0082098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Grad Pula je</w:t>
      </w:r>
      <w:r w:rsidR="00785CE8" w:rsidRPr="00526AD1">
        <w:rPr>
          <w:rFonts w:ascii="Times New Roman" w:hAnsi="Times New Roman" w:cs="Times New Roman"/>
          <w:sz w:val="24"/>
          <w:szCs w:val="24"/>
        </w:rPr>
        <w:t xml:space="preserve"> dana 01.01.2012. godine uveo Lokalnu riznicu za sve svoje proračunske korisnike. </w:t>
      </w:r>
      <w:r w:rsidR="0005683A" w:rsidRPr="00526AD1">
        <w:rPr>
          <w:rFonts w:ascii="Times New Roman" w:hAnsi="Times New Roman" w:cs="Times New Roman"/>
          <w:sz w:val="24"/>
          <w:szCs w:val="24"/>
        </w:rPr>
        <w:t>Žiro računi p</w:t>
      </w:r>
      <w:r w:rsidR="00785CE8" w:rsidRPr="00526AD1">
        <w:rPr>
          <w:rFonts w:ascii="Times New Roman" w:hAnsi="Times New Roman" w:cs="Times New Roman"/>
          <w:sz w:val="24"/>
          <w:szCs w:val="24"/>
        </w:rPr>
        <w:t>roračunski</w:t>
      </w:r>
      <w:r w:rsidR="0005683A" w:rsidRPr="00526AD1">
        <w:rPr>
          <w:rFonts w:ascii="Times New Roman" w:hAnsi="Times New Roman" w:cs="Times New Roman"/>
          <w:sz w:val="24"/>
          <w:szCs w:val="24"/>
        </w:rPr>
        <w:t xml:space="preserve">h korisnika zatvoreni su </w:t>
      </w:r>
      <w:r w:rsidR="00744C26">
        <w:rPr>
          <w:rFonts w:ascii="Times New Roman" w:hAnsi="Times New Roman" w:cs="Times New Roman"/>
          <w:sz w:val="24"/>
          <w:szCs w:val="24"/>
        </w:rPr>
        <w:t xml:space="preserve">krajem </w:t>
      </w:r>
      <w:r w:rsidR="0005683A" w:rsidRPr="00526AD1">
        <w:rPr>
          <w:rFonts w:ascii="Times New Roman" w:hAnsi="Times New Roman" w:cs="Times New Roman"/>
          <w:sz w:val="24"/>
          <w:szCs w:val="24"/>
        </w:rPr>
        <w:t>2011. godine, a cjelokupno financijsko poslovanje obavlja se putem</w:t>
      </w:r>
      <w:r w:rsidR="00785CE8" w:rsidRPr="00526AD1">
        <w:rPr>
          <w:rFonts w:ascii="Times New Roman" w:hAnsi="Times New Roman" w:cs="Times New Roman"/>
          <w:sz w:val="24"/>
          <w:szCs w:val="24"/>
        </w:rPr>
        <w:t xml:space="preserve"> jedinstvenog žiro računa</w:t>
      </w:r>
      <w:r w:rsidR="0005683A" w:rsidRPr="00526AD1">
        <w:rPr>
          <w:rFonts w:ascii="Times New Roman" w:hAnsi="Times New Roman" w:cs="Times New Roman"/>
          <w:sz w:val="24"/>
          <w:szCs w:val="24"/>
        </w:rPr>
        <w:t xml:space="preserve"> Grada Pule</w:t>
      </w:r>
      <w:r w:rsidR="00785CE8" w:rsidRPr="00526AD1">
        <w:rPr>
          <w:rFonts w:ascii="Times New Roman" w:hAnsi="Times New Roman" w:cs="Times New Roman"/>
          <w:sz w:val="24"/>
          <w:szCs w:val="24"/>
        </w:rPr>
        <w:t>.</w:t>
      </w:r>
      <w:r w:rsidR="001E12E2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785CE8" w:rsidRPr="00526AD1">
        <w:rPr>
          <w:rFonts w:ascii="Times New Roman" w:hAnsi="Times New Roman" w:cs="Times New Roman"/>
          <w:sz w:val="24"/>
          <w:szCs w:val="24"/>
        </w:rPr>
        <w:t>Na dan 31.12.</w:t>
      </w:r>
      <w:r w:rsidR="003C20C6">
        <w:rPr>
          <w:rFonts w:ascii="Times New Roman" w:hAnsi="Times New Roman" w:cs="Times New Roman"/>
          <w:sz w:val="24"/>
          <w:szCs w:val="24"/>
        </w:rPr>
        <w:t>2019.</w:t>
      </w:r>
      <w:r w:rsidR="0005683A" w:rsidRPr="00526AD1">
        <w:rPr>
          <w:rFonts w:ascii="Times New Roman" w:hAnsi="Times New Roman" w:cs="Times New Roman"/>
          <w:sz w:val="24"/>
          <w:szCs w:val="24"/>
        </w:rPr>
        <w:t xml:space="preserve"> godine p</w:t>
      </w:r>
      <w:r w:rsidR="00785CE8" w:rsidRPr="00526AD1">
        <w:rPr>
          <w:rFonts w:ascii="Times New Roman" w:hAnsi="Times New Roman" w:cs="Times New Roman"/>
          <w:sz w:val="24"/>
          <w:szCs w:val="24"/>
        </w:rPr>
        <w:t xml:space="preserve">roračunski korisnici Grada Pule jesu: Istarsko narodno kazalište </w:t>
      </w:r>
      <w:r w:rsidR="003A7E83" w:rsidRPr="00526AD1">
        <w:rPr>
          <w:rFonts w:ascii="Times New Roman" w:hAnsi="Times New Roman" w:cs="Times New Roman"/>
          <w:sz w:val="24"/>
          <w:szCs w:val="24"/>
        </w:rPr>
        <w:t>-</w:t>
      </w:r>
      <w:r w:rsidR="00785CE8" w:rsidRPr="00526AD1">
        <w:rPr>
          <w:rFonts w:ascii="Times New Roman" w:hAnsi="Times New Roman" w:cs="Times New Roman"/>
          <w:sz w:val="24"/>
          <w:szCs w:val="24"/>
        </w:rPr>
        <w:t xml:space="preserve"> Gradsko kazalište Pula, Gradska knjižnica i čitaonica Pula, </w:t>
      </w:r>
      <w:r w:rsidR="007E5C9B" w:rsidRPr="00526AD1">
        <w:rPr>
          <w:rFonts w:ascii="Times New Roman" w:hAnsi="Times New Roman" w:cs="Times New Roman"/>
          <w:sz w:val="24"/>
          <w:szCs w:val="24"/>
        </w:rPr>
        <w:t>DV</w:t>
      </w:r>
      <w:r w:rsidR="00785CE8" w:rsidRPr="00526AD1">
        <w:rPr>
          <w:rFonts w:ascii="Times New Roman" w:hAnsi="Times New Roman" w:cs="Times New Roman"/>
          <w:sz w:val="24"/>
          <w:szCs w:val="24"/>
        </w:rPr>
        <w:t xml:space="preserve"> Pula,</w:t>
      </w:r>
      <w:r w:rsidR="007E5C9B" w:rsidRPr="00526AD1">
        <w:rPr>
          <w:rFonts w:ascii="Times New Roman" w:hAnsi="Times New Roman" w:cs="Times New Roman"/>
          <w:sz w:val="24"/>
          <w:szCs w:val="24"/>
        </w:rPr>
        <w:t xml:space="preserve"> DV Mali Svijet,</w:t>
      </w:r>
      <w:r w:rsidR="00785CE8" w:rsidRPr="00526AD1">
        <w:rPr>
          <w:rFonts w:ascii="Times New Roman" w:hAnsi="Times New Roman" w:cs="Times New Roman"/>
          <w:sz w:val="24"/>
          <w:szCs w:val="24"/>
        </w:rPr>
        <w:t xml:space="preserve"> DV Rin Tin Tin Pula, Javna vatrogasna postrojba Pula, Dnevni centar za rehabilitaciju Veruda </w:t>
      </w:r>
      <w:r w:rsidR="003A7E83" w:rsidRPr="00526AD1">
        <w:rPr>
          <w:rFonts w:ascii="Times New Roman" w:hAnsi="Times New Roman" w:cs="Times New Roman"/>
          <w:sz w:val="24"/>
          <w:szCs w:val="24"/>
        </w:rPr>
        <w:t>-</w:t>
      </w:r>
      <w:r w:rsidR="00785CE8" w:rsidRPr="00526AD1">
        <w:rPr>
          <w:rFonts w:ascii="Times New Roman" w:hAnsi="Times New Roman" w:cs="Times New Roman"/>
          <w:sz w:val="24"/>
          <w:szCs w:val="24"/>
        </w:rPr>
        <w:t xml:space="preserve"> Pula, Osnovne škole</w:t>
      </w:r>
      <w:r w:rsidR="0005683A" w:rsidRPr="00526AD1">
        <w:rPr>
          <w:rFonts w:ascii="Times New Roman" w:hAnsi="Times New Roman" w:cs="Times New Roman"/>
          <w:sz w:val="24"/>
          <w:szCs w:val="24"/>
        </w:rPr>
        <w:t xml:space="preserve"> na području grada Pule</w:t>
      </w:r>
      <w:r w:rsidR="00785CE8" w:rsidRPr="00526AD1">
        <w:rPr>
          <w:rFonts w:ascii="Times New Roman" w:hAnsi="Times New Roman" w:cs="Times New Roman"/>
          <w:sz w:val="24"/>
          <w:szCs w:val="24"/>
        </w:rPr>
        <w:t>, Mjesni odbori te Vijeća nacionalnih manjina na području grada Pule.</w:t>
      </w:r>
    </w:p>
    <w:p w:rsidR="00A02CC6" w:rsidRDefault="00A02CC6" w:rsidP="0082098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606" w:rsidRPr="00526AD1" w:rsidRDefault="005843AE" w:rsidP="001E1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b/>
          <w:sz w:val="24"/>
          <w:szCs w:val="24"/>
        </w:rPr>
        <w:lastRenderedPageBreak/>
        <w:t>Obrazac</w:t>
      </w:r>
      <w:r w:rsidR="00BC3606" w:rsidRPr="00526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b/>
          <w:sz w:val="24"/>
          <w:szCs w:val="24"/>
        </w:rPr>
        <w:t>PR</w:t>
      </w:r>
      <w:r w:rsidR="003A7E83" w:rsidRPr="00526AD1">
        <w:rPr>
          <w:rFonts w:ascii="Times New Roman" w:hAnsi="Times New Roman" w:cs="Times New Roman"/>
          <w:b/>
          <w:sz w:val="24"/>
          <w:szCs w:val="24"/>
        </w:rPr>
        <w:t>-</w:t>
      </w:r>
      <w:r w:rsidRPr="00526AD1">
        <w:rPr>
          <w:rFonts w:ascii="Times New Roman" w:hAnsi="Times New Roman" w:cs="Times New Roman"/>
          <w:b/>
          <w:sz w:val="24"/>
          <w:szCs w:val="24"/>
        </w:rPr>
        <w:t>RAS</w:t>
      </w:r>
      <w:r w:rsidR="00BC3606" w:rsidRPr="00526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E83" w:rsidRPr="00526AD1">
        <w:rPr>
          <w:rFonts w:ascii="Times New Roman" w:hAnsi="Times New Roman" w:cs="Times New Roman"/>
          <w:b/>
          <w:sz w:val="24"/>
          <w:szCs w:val="24"/>
        </w:rPr>
        <w:t>-</w:t>
      </w:r>
      <w:r w:rsidR="00BC3606" w:rsidRPr="00526AD1">
        <w:rPr>
          <w:rFonts w:ascii="Times New Roman" w:hAnsi="Times New Roman" w:cs="Times New Roman"/>
          <w:b/>
          <w:sz w:val="24"/>
          <w:szCs w:val="24"/>
        </w:rPr>
        <w:t xml:space="preserve"> Izvještaj o prihodima i rashodima, primicima i izdacima</w:t>
      </w:r>
    </w:p>
    <w:p w:rsidR="00E95A49" w:rsidRDefault="005843AE" w:rsidP="00A02CC6">
      <w:pPr>
        <w:pStyle w:val="Style20"/>
        <w:widowControl/>
        <w:tabs>
          <w:tab w:val="center" w:pos="4819"/>
        </w:tabs>
        <w:spacing w:line="276" w:lineRule="auto"/>
        <w:contextualSpacing/>
        <w:rPr>
          <w:rFonts w:ascii="Times New Roman" w:hAnsi="Times New Roman" w:cs="Times New Roman"/>
          <w:b/>
        </w:rPr>
      </w:pPr>
      <w:r w:rsidRPr="00AD6CD9">
        <w:rPr>
          <w:rFonts w:ascii="Times New Roman" w:hAnsi="Times New Roman" w:cs="Times New Roman"/>
          <w:b/>
        </w:rPr>
        <w:t>BILJEŠKA br</w:t>
      </w:r>
      <w:r w:rsidR="00BE5B55" w:rsidRPr="00AD6CD9">
        <w:rPr>
          <w:rFonts w:ascii="Times New Roman" w:hAnsi="Times New Roman" w:cs="Times New Roman"/>
          <w:b/>
        </w:rPr>
        <w:t>. 1.</w:t>
      </w:r>
    </w:p>
    <w:p w:rsidR="0095249B" w:rsidRPr="00526AD1" w:rsidRDefault="0095249B" w:rsidP="00A02CC6">
      <w:pPr>
        <w:pStyle w:val="Style20"/>
        <w:widowControl/>
        <w:tabs>
          <w:tab w:val="center" w:pos="4819"/>
        </w:tabs>
        <w:spacing w:line="276" w:lineRule="auto"/>
        <w:contextualSpacing/>
        <w:rPr>
          <w:rFonts w:ascii="Times New Roman" w:hAnsi="Times New Roman" w:cs="Times New Roman"/>
          <w:b/>
        </w:rPr>
      </w:pPr>
    </w:p>
    <w:p w:rsidR="00A71598" w:rsidRPr="00526AD1" w:rsidRDefault="008C5303" w:rsidP="00A02CC6">
      <w:pPr>
        <w:pStyle w:val="Style20"/>
        <w:widowControl/>
        <w:tabs>
          <w:tab w:val="center" w:pos="4819"/>
        </w:tabs>
        <w:spacing w:line="276" w:lineRule="auto"/>
        <w:contextualSpacing/>
        <w:rPr>
          <w:rFonts w:ascii="Times New Roman" w:hAnsi="Times New Roman" w:cs="Times New Roman"/>
          <w:b/>
        </w:rPr>
      </w:pPr>
      <w:r w:rsidRPr="00526AD1">
        <w:rPr>
          <w:rFonts w:ascii="Times New Roman" w:hAnsi="Times New Roman" w:cs="Times New Roman"/>
        </w:rPr>
        <w:t>R</w:t>
      </w:r>
      <w:r w:rsidR="00174DBB" w:rsidRPr="00526AD1">
        <w:rPr>
          <w:rFonts w:ascii="Times New Roman" w:hAnsi="Times New Roman" w:cs="Times New Roman"/>
        </w:rPr>
        <w:t xml:space="preserve">azina 22 izvještavanja </w:t>
      </w:r>
      <w:r w:rsidR="00BE5B55" w:rsidRPr="00526AD1">
        <w:rPr>
          <w:rFonts w:ascii="Times New Roman" w:hAnsi="Times New Roman" w:cs="Times New Roman"/>
        </w:rPr>
        <w:t>propisuje da obrazac PR</w:t>
      </w:r>
      <w:r w:rsidR="003A7E83" w:rsidRPr="00526AD1">
        <w:rPr>
          <w:rFonts w:ascii="Times New Roman" w:hAnsi="Times New Roman" w:cs="Times New Roman"/>
        </w:rPr>
        <w:t>-</w:t>
      </w:r>
      <w:r w:rsidR="00BE5B55" w:rsidRPr="00526AD1">
        <w:rPr>
          <w:rFonts w:ascii="Times New Roman" w:hAnsi="Times New Roman" w:cs="Times New Roman"/>
        </w:rPr>
        <w:t>RAS treba obuhvatiti prihode i primitke te rashode i izdatke proračuna, uključujući plaćene rashode korisnika koji se financiraju iz prihoda i primitaka proračuna. Ovaj izvještaj ne uključuje vlastite i namjenske prihode i primitke proračunskih korisnika te rashode i izdatke koji se financiraju iz navedenih prihoda i primitaka.</w:t>
      </w:r>
    </w:p>
    <w:p w:rsidR="004A2799" w:rsidRDefault="004A2799" w:rsidP="00A02CC6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95249B" w:rsidRPr="00526AD1" w:rsidRDefault="0095249B" w:rsidP="00A02CC6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743410" w:rsidRPr="00526AD1" w:rsidRDefault="00743410" w:rsidP="00A02CC6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8931E9">
        <w:rPr>
          <w:rFonts w:ascii="Times New Roman" w:hAnsi="Times New Roman" w:cs="Times New Roman"/>
          <w:b/>
        </w:rPr>
        <w:t xml:space="preserve">BILJEŠKA br. </w:t>
      </w:r>
      <w:r w:rsidR="00BE5B55" w:rsidRPr="008931E9">
        <w:rPr>
          <w:rFonts w:ascii="Times New Roman" w:hAnsi="Times New Roman" w:cs="Times New Roman"/>
          <w:b/>
        </w:rPr>
        <w:t>2</w:t>
      </w:r>
      <w:r w:rsidRPr="008931E9">
        <w:rPr>
          <w:rFonts w:ascii="Times New Roman" w:hAnsi="Times New Roman" w:cs="Times New Roman"/>
          <w:b/>
        </w:rPr>
        <w:t>.</w:t>
      </w:r>
    </w:p>
    <w:p w:rsidR="004A2799" w:rsidRPr="00526AD1" w:rsidRDefault="004A2799" w:rsidP="00A02CC6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743410" w:rsidRDefault="00743410" w:rsidP="00A02CC6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526AD1">
        <w:rPr>
          <w:rFonts w:ascii="Times New Roman" w:hAnsi="Times New Roman" w:cs="Times New Roman"/>
          <w:b/>
        </w:rPr>
        <w:t>Prihodi poslovanja</w:t>
      </w:r>
    </w:p>
    <w:p w:rsidR="00525422" w:rsidRPr="00526AD1" w:rsidRDefault="00525422" w:rsidP="00A02CC6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A71598" w:rsidRDefault="00743410" w:rsidP="00A02CC6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526AD1">
        <w:rPr>
          <w:rFonts w:ascii="Times New Roman" w:hAnsi="Times New Roman" w:cs="Times New Roman"/>
        </w:rPr>
        <w:t>Prihodi se priznaju u trenutku u kojem su postali raspoloživi odnosno mjerljivi. Prihodi poslovanja obuhvaćaju rezultate transakcija</w:t>
      </w:r>
      <w:r w:rsidR="00BE5B55" w:rsidRPr="00526AD1">
        <w:rPr>
          <w:rFonts w:ascii="Times New Roman" w:hAnsi="Times New Roman" w:cs="Times New Roman"/>
        </w:rPr>
        <w:t xml:space="preserve"> </w:t>
      </w:r>
      <w:r w:rsidRPr="00526AD1">
        <w:rPr>
          <w:rFonts w:ascii="Times New Roman" w:hAnsi="Times New Roman" w:cs="Times New Roman"/>
        </w:rPr>
        <w:t>koje utječu na povećanje neto vrijednosti, a klasificiraju se u skupine računa kako je navedeno u tablici kojoj slijedi</w:t>
      </w:r>
      <w:r w:rsidR="00BE5B55" w:rsidRPr="00526AD1">
        <w:rPr>
          <w:rFonts w:ascii="Times New Roman" w:hAnsi="Times New Roman" w:cs="Times New Roman"/>
        </w:rPr>
        <w:t>:</w:t>
      </w:r>
    </w:p>
    <w:p w:rsidR="00685BE8" w:rsidRDefault="00685BE8" w:rsidP="00525422">
      <w:pPr>
        <w:pStyle w:val="Style20"/>
        <w:widowControl/>
        <w:spacing w:line="276" w:lineRule="auto"/>
        <w:rPr>
          <w:rFonts w:ascii="Times New Roman" w:hAnsi="Times New Roman" w:cs="Times New Roman"/>
        </w:rPr>
      </w:pPr>
    </w:p>
    <w:tbl>
      <w:tblPr>
        <w:tblW w:w="9684" w:type="dxa"/>
        <w:jc w:val="center"/>
        <w:tblInd w:w="170" w:type="dxa"/>
        <w:tblLook w:val="04A0"/>
      </w:tblPr>
      <w:tblGrid>
        <w:gridCol w:w="872"/>
        <w:gridCol w:w="3120"/>
        <w:gridCol w:w="567"/>
        <w:gridCol w:w="1701"/>
        <w:gridCol w:w="1512"/>
        <w:gridCol w:w="756"/>
        <w:gridCol w:w="1156"/>
      </w:tblGrid>
      <w:tr w:rsidR="00685BE8" w:rsidRPr="00170360" w:rsidTr="001715D7">
        <w:trPr>
          <w:trHeight w:val="226"/>
          <w:jc w:val="center"/>
        </w:trPr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85BE8" w:rsidRPr="004E0535" w:rsidRDefault="00685BE8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05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Razred / Skupina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5BE8" w:rsidRPr="004E0535" w:rsidRDefault="00685BE8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05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5BE8" w:rsidRPr="004E0535" w:rsidRDefault="00685BE8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05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85BE8" w:rsidRPr="004E0535" w:rsidRDefault="00685BE8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05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Ostvareno u izvještajnom razdoblju prethodne godine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85BE8" w:rsidRPr="004E0535" w:rsidRDefault="00685BE8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05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Ostvareno u izvještajnom razdoblju tekuće godine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85BE8" w:rsidRPr="004E0535" w:rsidRDefault="00685BE8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05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Indeks (5/4)</w:t>
            </w:r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BE8" w:rsidRPr="004E0535" w:rsidRDefault="00685BE8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05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Povećanje / Smanjenje</w:t>
            </w:r>
          </w:p>
        </w:tc>
      </w:tr>
      <w:tr w:rsidR="00685BE8" w:rsidRPr="00170360" w:rsidTr="001715D7">
        <w:trPr>
          <w:trHeight w:val="436"/>
          <w:jc w:val="center"/>
        </w:trPr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85BE8" w:rsidRPr="00170360" w:rsidTr="001715D7">
        <w:trPr>
          <w:trHeight w:val="151"/>
          <w:jc w:val="center"/>
        </w:trPr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85BE8" w:rsidRPr="001715D7" w:rsidRDefault="00685BE8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15D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85BE8" w:rsidRPr="001715D7" w:rsidRDefault="00685BE8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15D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85BE8" w:rsidRPr="001715D7" w:rsidRDefault="00685BE8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15D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85BE8" w:rsidRPr="001715D7" w:rsidRDefault="00685BE8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15D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85BE8" w:rsidRPr="001715D7" w:rsidRDefault="00685BE8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15D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85BE8" w:rsidRPr="001715D7" w:rsidRDefault="00685BE8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15D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5BE8" w:rsidRPr="001715D7" w:rsidRDefault="00685BE8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15D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5-4</w:t>
            </w:r>
          </w:p>
        </w:tc>
      </w:tr>
      <w:tr w:rsidR="00685BE8" w:rsidRPr="00170360" w:rsidTr="004E0535">
        <w:trPr>
          <w:trHeight w:val="241"/>
          <w:jc w:val="center"/>
        </w:trPr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BE8" w:rsidRPr="00853D5A" w:rsidRDefault="00A02CC6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00</w:t>
            </w:r>
            <w:r w:rsidR="00685BE8"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163.407.738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164.727.079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100,8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1.319.341</w:t>
            </w:r>
          </w:p>
        </w:tc>
      </w:tr>
      <w:tr w:rsidR="00685BE8" w:rsidRPr="00170360" w:rsidTr="004E0535">
        <w:trPr>
          <w:trHeight w:val="467"/>
          <w:jc w:val="center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Pomoći iz inozemstva i od subjekata unutar općeg proračuna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BE8" w:rsidRPr="00853D5A" w:rsidRDefault="00A02CC6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685BE8"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24.803.407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21.042.926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84,8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-3.760.481</w:t>
            </w:r>
          </w:p>
        </w:tc>
      </w:tr>
      <w:tr w:rsidR="00685BE8" w:rsidRPr="00170360" w:rsidTr="004E0535">
        <w:trPr>
          <w:trHeight w:val="241"/>
          <w:jc w:val="center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Prihodi od imovine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BE8" w:rsidRPr="00853D5A" w:rsidRDefault="00A02CC6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685BE8"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31.677.716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29.400.572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92,8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-2.277.144</w:t>
            </w:r>
          </w:p>
        </w:tc>
      </w:tr>
      <w:tr w:rsidR="00685BE8" w:rsidRPr="00170360" w:rsidTr="004E0535">
        <w:trPr>
          <w:trHeight w:val="692"/>
          <w:jc w:val="center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Prihodi od upravnih i administrativnih  pristojbi, pristojbi po posebnim propisima i naknada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BE8" w:rsidRPr="00853D5A" w:rsidRDefault="00685BE8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67.381.780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73.690.899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109,4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6.309.119</w:t>
            </w:r>
          </w:p>
        </w:tc>
      </w:tr>
      <w:tr w:rsidR="00685BE8" w:rsidRPr="00170360" w:rsidTr="004E0535">
        <w:trPr>
          <w:trHeight w:val="467"/>
          <w:jc w:val="center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Prihodi od prodaje proizvoda i robe te pruž. usluga i prihodi od donacija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BE8" w:rsidRPr="00853D5A" w:rsidRDefault="00685BE8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83.226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1.412.344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1.697,0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1.329.118</w:t>
            </w:r>
          </w:p>
        </w:tc>
      </w:tr>
      <w:tr w:rsidR="00685BE8" w:rsidRPr="00170360" w:rsidTr="004E0535">
        <w:trPr>
          <w:trHeight w:val="241"/>
          <w:jc w:val="center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Kazne, upravne mjere i ostali prihodi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BE8" w:rsidRPr="00853D5A" w:rsidRDefault="00685BE8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1.665.372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1.388.598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83,4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-276.774</w:t>
            </w:r>
          </w:p>
        </w:tc>
      </w:tr>
      <w:tr w:rsidR="00685BE8" w:rsidRPr="00170360" w:rsidTr="001715D7">
        <w:trPr>
          <w:trHeight w:val="226"/>
          <w:jc w:val="center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5BE8" w:rsidRPr="00170360" w:rsidRDefault="00A02CC6" w:rsidP="006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00</w:t>
            </w:r>
            <w:r w:rsidR="00685BE8" w:rsidRPr="001703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289.019.239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291.662.418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85BE8" w:rsidRPr="00170360" w:rsidRDefault="00685BE8" w:rsidP="0068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03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2.643.179</w:t>
            </w:r>
          </w:p>
        </w:tc>
      </w:tr>
    </w:tbl>
    <w:p w:rsidR="00525422" w:rsidRPr="00526AD1" w:rsidRDefault="00525422" w:rsidP="00525422">
      <w:pPr>
        <w:pStyle w:val="Style20"/>
        <w:widowControl/>
        <w:spacing w:line="276" w:lineRule="auto"/>
        <w:rPr>
          <w:rFonts w:ascii="Times New Roman" w:hAnsi="Times New Roman" w:cs="Times New Roman"/>
        </w:rPr>
      </w:pPr>
    </w:p>
    <w:p w:rsidR="00174DBB" w:rsidRPr="00685BE8" w:rsidRDefault="00743410" w:rsidP="00A02C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BE8">
        <w:rPr>
          <w:rFonts w:ascii="Times New Roman" w:hAnsi="Times New Roman" w:cs="Times New Roman"/>
          <w:sz w:val="24"/>
          <w:szCs w:val="24"/>
        </w:rPr>
        <w:t xml:space="preserve">PRIHODI POSLOVANJA (AOP001) </w:t>
      </w:r>
      <w:r w:rsidR="008931E9">
        <w:rPr>
          <w:rFonts w:ascii="Times New Roman" w:hAnsi="Times New Roman" w:cs="Times New Roman"/>
          <w:sz w:val="24"/>
          <w:szCs w:val="24"/>
        </w:rPr>
        <w:t>-</w:t>
      </w:r>
      <w:r w:rsidRPr="00685BE8">
        <w:rPr>
          <w:rFonts w:ascii="Times New Roman" w:hAnsi="Times New Roman" w:cs="Times New Roman"/>
          <w:sz w:val="24"/>
          <w:szCs w:val="24"/>
        </w:rPr>
        <w:t xml:space="preserve"> </w:t>
      </w:r>
      <w:r w:rsidR="005E29B3" w:rsidRPr="00685BE8">
        <w:rPr>
          <w:rFonts w:ascii="Times New Roman" w:hAnsi="Times New Roman" w:cs="Times New Roman"/>
          <w:sz w:val="24"/>
          <w:szCs w:val="24"/>
        </w:rPr>
        <w:t>ostvareni su u iznosu od</w:t>
      </w:r>
      <w:r w:rsidRPr="00685BE8">
        <w:rPr>
          <w:rFonts w:ascii="Times New Roman" w:hAnsi="Times New Roman" w:cs="Times New Roman"/>
          <w:sz w:val="24"/>
          <w:szCs w:val="24"/>
        </w:rPr>
        <w:t xml:space="preserve"> </w:t>
      </w:r>
      <w:r w:rsidR="00685BE8" w:rsidRPr="00685BE8">
        <w:rPr>
          <w:rFonts w:ascii="Times New Roman" w:hAnsi="Times New Roman" w:cs="Times New Roman"/>
          <w:sz w:val="24"/>
          <w:szCs w:val="24"/>
        </w:rPr>
        <w:t>291.662.418</w:t>
      </w:r>
      <w:r w:rsidRPr="00685BE8">
        <w:rPr>
          <w:rFonts w:ascii="Times New Roman" w:hAnsi="Times New Roman" w:cs="Times New Roman"/>
          <w:sz w:val="24"/>
          <w:szCs w:val="24"/>
        </w:rPr>
        <w:t xml:space="preserve"> kn odnosno</w:t>
      </w:r>
      <w:r w:rsidR="00685BE8">
        <w:rPr>
          <w:rFonts w:ascii="Times New Roman" w:hAnsi="Times New Roman" w:cs="Times New Roman"/>
          <w:sz w:val="24"/>
          <w:szCs w:val="24"/>
        </w:rPr>
        <w:t xml:space="preserve"> za 2.643.179 kn ili 0,9% više nego</w:t>
      </w:r>
      <w:r w:rsidRPr="00685BE8">
        <w:rPr>
          <w:rFonts w:ascii="Times New Roman" w:hAnsi="Times New Roman" w:cs="Times New Roman"/>
          <w:sz w:val="24"/>
          <w:szCs w:val="24"/>
        </w:rPr>
        <w:t xml:space="preserve"> </w:t>
      </w:r>
      <w:r w:rsidR="00685BE8">
        <w:rPr>
          <w:rFonts w:ascii="Times New Roman" w:hAnsi="Times New Roman" w:cs="Times New Roman"/>
          <w:sz w:val="24"/>
          <w:szCs w:val="24"/>
        </w:rPr>
        <w:t>u</w:t>
      </w:r>
      <w:r w:rsidRPr="00685BE8">
        <w:rPr>
          <w:rFonts w:ascii="Times New Roman" w:hAnsi="Times New Roman" w:cs="Times New Roman"/>
          <w:sz w:val="24"/>
          <w:szCs w:val="24"/>
        </w:rPr>
        <w:t xml:space="preserve"> </w:t>
      </w:r>
      <w:r w:rsidR="00685BE8" w:rsidRPr="00685BE8">
        <w:rPr>
          <w:rFonts w:ascii="Times New Roman" w:hAnsi="Times New Roman" w:cs="Times New Roman"/>
          <w:sz w:val="24"/>
          <w:szCs w:val="24"/>
        </w:rPr>
        <w:t>izvještajno</w:t>
      </w:r>
      <w:r w:rsidR="00685BE8">
        <w:rPr>
          <w:rFonts w:ascii="Times New Roman" w:hAnsi="Times New Roman" w:cs="Times New Roman"/>
          <w:sz w:val="24"/>
          <w:szCs w:val="24"/>
        </w:rPr>
        <w:t>m</w:t>
      </w:r>
      <w:r w:rsidR="00685BE8" w:rsidRPr="00685BE8">
        <w:rPr>
          <w:rFonts w:ascii="Times New Roman" w:hAnsi="Times New Roman" w:cs="Times New Roman"/>
          <w:sz w:val="24"/>
          <w:szCs w:val="24"/>
        </w:rPr>
        <w:t xml:space="preserve"> razdoblj</w:t>
      </w:r>
      <w:r w:rsidR="00685BE8">
        <w:rPr>
          <w:rFonts w:ascii="Times New Roman" w:hAnsi="Times New Roman" w:cs="Times New Roman"/>
          <w:sz w:val="24"/>
          <w:szCs w:val="24"/>
        </w:rPr>
        <w:t>u</w:t>
      </w:r>
      <w:r w:rsidRPr="00685BE8">
        <w:rPr>
          <w:rFonts w:ascii="Times New Roman" w:hAnsi="Times New Roman" w:cs="Times New Roman"/>
          <w:sz w:val="24"/>
          <w:szCs w:val="24"/>
        </w:rPr>
        <w:t xml:space="preserve"> </w:t>
      </w:r>
      <w:r w:rsidR="00685BE8" w:rsidRPr="00685BE8">
        <w:rPr>
          <w:rFonts w:ascii="Times New Roman" w:hAnsi="Times New Roman" w:cs="Times New Roman"/>
          <w:sz w:val="24"/>
          <w:szCs w:val="24"/>
        </w:rPr>
        <w:t>2018</w:t>
      </w:r>
      <w:r w:rsidR="001E12E2" w:rsidRPr="00685BE8">
        <w:rPr>
          <w:rFonts w:ascii="Times New Roman" w:hAnsi="Times New Roman" w:cs="Times New Roman"/>
          <w:sz w:val="24"/>
          <w:szCs w:val="24"/>
        </w:rPr>
        <w:t>.</w:t>
      </w:r>
      <w:r w:rsidRPr="00685BE8">
        <w:rPr>
          <w:rFonts w:ascii="Times New Roman" w:hAnsi="Times New Roman" w:cs="Times New Roman"/>
          <w:sz w:val="24"/>
          <w:szCs w:val="24"/>
        </w:rPr>
        <w:t xml:space="preserve"> godine</w:t>
      </w:r>
      <w:r w:rsidR="00685BE8">
        <w:rPr>
          <w:rFonts w:ascii="Times New Roman" w:hAnsi="Times New Roman" w:cs="Times New Roman"/>
          <w:sz w:val="24"/>
          <w:szCs w:val="24"/>
        </w:rPr>
        <w:t>.</w:t>
      </w:r>
    </w:p>
    <w:p w:rsidR="00AE5C38" w:rsidRDefault="00AE5C38" w:rsidP="00A02CC6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95249B" w:rsidRPr="00526AD1" w:rsidRDefault="0095249B" w:rsidP="00A02CC6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AE5C38" w:rsidRDefault="00AE5C38" w:rsidP="00A02CC6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8931E9">
        <w:rPr>
          <w:rFonts w:ascii="Times New Roman" w:hAnsi="Times New Roman" w:cs="Times New Roman"/>
          <w:b/>
        </w:rPr>
        <w:t>BILJEŠKA br. 3.</w:t>
      </w:r>
    </w:p>
    <w:p w:rsidR="00525422" w:rsidRPr="00526AD1" w:rsidRDefault="00525422" w:rsidP="00A02CC6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E23CA1" w:rsidRPr="00526AD1" w:rsidRDefault="00BE5B55" w:rsidP="00A02C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b/>
          <w:sz w:val="24"/>
          <w:szCs w:val="24"/>
        </w:rPr>
        <w:t>Prihodi od poreza (AOP002)</w:t>
      </w:r>
      <w:r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3A7E83" w:rsidRPr="00526AD1">
        <w:rPr>
          <w:rFonts w:ascii="Times New Roman" w:hAnsi="Times New Roman" w:cs="Times New Roman"/>
          <w:sz w:val="24"/>
          <w:szCs w:val="24"/>
        </w:rPr>
        <w:t>-</w:t>
      </w:r>
      <w:r w:rsidRPr="00526AD1">
        <w:rPr>
          <w:rFonts w:ascii="Times New Roman" w:hAnsi="Times New Roman" w:cs="Times New Roman"/>
          <w:sz w:val="24"/>
          <w:szCs w:val="24"/>
        </w:rPr>
        <w:t xml:space="preserve"> iznose </w:t>
      </w:r>
      <w:r w:rsidR="004F144F">
        <w:rPr>
          <w:rFonts w:ascii="Times New Roman" w:hAnsi="Times New Roman" w:cs="Times New Roman"/>
          <w:sz w:val="24"/>
          <w:szCs w:val="24"/>
        </w:rPr>
        <w:t>164.727.079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 i ostvareni su za </w:t>
      </w:r>
      <w:r w:rsidR="004F144F">
        <w:rPr>
          <w:rFonts w:ascii="Times New Roman" w:hAnsi="Times New Roman" w:cs="Times New Roman"/>
          <w:sz w:val="24"/>
          <w:szCs w:val="24"/>
        </w:rPr>
        <w:t>0</w:t>
      </w:r>
      <w:r w:rsidR="00A82ECE" w:rsidRPr="00526AD1">
        <w:rPr>
          <w:rFonts w:ascii="Times New Roman" w:hAnsi="Times New Roman" w:cs="Times New Roman"/>
          <w:sz w:val="24"/>
          <w:szCs w:val="24"/>
        </w:rPr>
        <w:t>,8</w:t>
      </w:r>
      <w:r w:rsidRPr="00526AD1">
        <w:rPr>
          <w:rFonts w:ascii="Times New Roman" w:hAnsi="Times New Roman" w:cs="Times New Roman"/>
          <w:sz w:val="24"/>
          <w:szCs w:val="24"/>
        </w:rPr>
        <w:t xml:space="preserve">% </w:t>
      </w:r>
      <w:r w:rsidR="00A82ECE" w:rsidRPr="00526AD1">
        <w:rPr>
          <w:rFonts w:ascii="Times New Roman" w:hAnsi="Times New Roman" w:cs="Times New Roman"/>
          <w:sz w:val="24"/>
          <w:szCs w:val="24"/>
        </w:rPr>
        <w:t>više</w:t>
      </w:r>
      <w:r w:rsidRPr="00526AD1">
        <w:rPr>
          <w:rFonts w:ascii="Times New Roman" w:hAnsi="Times New Roman" w:cs="Times New Roman"/>
          <w:sz w:val="24"/>
          <w:szCs w:val="24"/>
        </w:rPr>
        <w:t xml:space="preserve"> nego u </w:t>
      </w:r>
      <w:r w:rsidR="00685BE8">
        <w:rPr>
          <w:rFonts w:ascii="Times New Roman" w:hAnsi="Times New Roman" w:cs="Times New Roman"/>
          <w:sz w:val="24"/>
          <w:szCs w:val="24"/>
        </w:rPr>
        <w:t>2018.</w:t>
      </w:r>
      <w:r w:rsidRPr="00526AD1">
        <w:rPr>
          <w:rFonts w:ascii="Times New Roman" w:hAnsi="Times New Roman" w:cs="Times New Roman"/>
          <w:sz w:val="24"/>
          <w:szCs w:val="24"/>
        </w:rPr>
        <w:t xml:space="preserve"> godini u istom razdoblju izvještavanja. </w:t>
      </w:r>
      <w:r w:rsidR="00AE5C38" w:rsidRPr="00526AD1">
        <w:rPr>
          <w:rFonts w:ascii="Times New Roman" w:hAnsi="Times New Roman" w:cs="Times New Roman"/>
          <w:sz w:val="24"/>
          <w:szCs w:val="24"/>
        </w:rPr>
        <w:t xml:space="preserve">Prihodi od poreza čine 56,5% ukupno ostvarenih prihoda poslovanja. </w:t>
      </w:r>
      <w:r w:rsidR="00E23CA1" w:rsidRPr="00526AD1">
        <w:rPr>
          <w:rFonts w:ascii="Times New Roman" w:hAnsi="Times New Roman" w:cs="Times New Roman"/>
          <w:sz w:val="24"/>
          <w:szCs w:val="24"/>
        </w:rPr>
        <w:t xml:space="preserve">Unutar navedene skupine prihoda evidentirani su porez i prirez na dohodak </w:t>
      </w:r>
      <w:r w:rsidR="00F54ED4" w:rsidRPr="00526AD1">
        <w:rPr>
          <w:rFonts w:ascii="Times New Roman" w:hAnsi="Times New Roman" w:cs="Times New Roman"/>
          <w:sz w:val="24"/>
          <w:szCs w:val="24"/>
        </w:rPr>
        <w:t>za decentralizirane</w:t>
      </w:r>
      <w:r w:rsidR="00E23CA1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F54ED4" w:rsidRPr="00526AD1">
        <w:rPr>
          <w:rFonts w:ascii="Times New Roman" w:hAnsi="Times New Roman" w:cs="Times New Roman"/>
          <w:sz w:val="24"/>
          <w:szCs w:val="24"/>
        </w:rPr>
        <w:t>funkcije vatrogastva</w:t>
      </w:r>
      <w:r w:rsidR="00A82ECE" w:rsidRPr="00526AD1">
        <w:rPr>
          <w:rFonts w:ascii="Times New Roman" w:hAnsi="Times New Roman" w:cs="Times New Roman"/>
          <w:sz w:val="24"/>
          <w:szCs w:val="24"/>
        </w:rPr>
        <w:t xml:space="preserve"> u iznosu od 1.</w:t>
      </w:r>
      <w:r w:rsidR="004F144F">
        <w:rPr>
          <w:rFonts w:ascii="Times New Roman" w:hAnsi="Times New Roman" w:cs="Times New Roman"/>
          <w:sz w:val="24"/>
          <w:szCs w:val="24"/>
        </w:rPr>
        <w:t>869.219</w:t>
      </w:r>
      <w:r w:rsidR="00B071C9">
        <w:rPr>
          <w:rFonts w:ascii="Times New Roman" w:hAnsi="Times New Roman" w:cs="Times New Roman"/>
          <w:sz w:val="24"/>
          <w:szCs w:val="24"/>
        </w:rPr>
        <w:t xml:space="preserve"> kn</w:t>
      </w:r>
      <w:r w:rsidR="00F54ED4" w:rsidRPr="00526AD1">
        <w:rPr>
          <w:rFonts w:ascii="Times New Roman" w:hAnsi="Times New Roman" w:cs="Times New Roman"/>
          <w:sz w:val="24"/>
          <w:szCs w:val="24"/>
        </w:rPr>
        <w:t xml:space="preserve"> i osnovnog školstva</w:t>
      </w:r>
      <w:r w:rsidR="00E23CA1" w:rsidRPr="00526AD1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A82ECE" w:rsidRPr="00526AD1">
        <w:rPr>
          <w:rFonts w:ascii="Times New Roman" w:hAnsi="Times New Roman" w:cs="Times New Roman"/>
          <w:sz w:val="24"/>
          <w:szCs w:val="24"/>
        </w:rPr>
        <w:t>3.</w:t>
      </w:r>
      <w:r w:rsidR="004F144F">
        <w:rPr>
          <w:rFonts w:ascii="Times New Roman" w:hAnsi="Times New Roman" w:cs="Times New Roman"/>
          <w:sz w:val="24"/>
          <w:szCs w:val="24"/>
        </w:rPr>
        <w:t>551.531</w:t>
      </w:r>
      <w:r w:rsidR="00E23CA1" w:rsidRPr="00526AD1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891F84" w:rsidRPr="004F144F" w:rsidRDefault="00A82ECE" w:rsidP="00A02C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lastRenderedPageBreak/>
        <w:t xml:space="preserve">Značajnije povećanje prihoda u odnosu na isto izvještajno razdoblje u </w:t>
      </w:r>
      <w:r w:rsidR="00685BE8">
        <w:rPr>
          <w:rFonts w:ascii="Times New Roman" w:hAnsi="Times New Roman" w:cs="Times New Roman"/>
          <w:sz w:val="24"/>
          <w:szCs w:val="24"/>
        </w:rPr>
        <w:t>2018.</w:t>
      </w:r>
      <w:r w:rsidRPr="00526AD1">
        <w:rPr>
          <w:rFonts w:ascii="Times New Roman" w:hAnsi="Times New Roman" w:cs="Times New Roman"/>
          <w:sz w:val="24"/>
          <w:szCs w:val="24"/>
        </w:rPr>
        <w:t xml:space="preserve"> god</w:t>
      </w:r>
      <w:r w:rsidR="004F144F">
        <w:rPr>
          <w:rFonts w:ascii="Times New Roman" w:hAnsi="Times New Roman" w:cs="Times New Roman"/>
          <w:sz w:val="24"/>
          <w:szCs w:val="24"/>
        </w:rPr>
        <w:t xml:space="preserve">ini zabilježeno je </w:t>
      </w:r>
      <w:r w:rsidR="00B071C9">
        <w:rPr>
          <w:rFonts w:ascii="Times New Roman" w:hAnsi="Times New Roman" w:cs="Times New Roman"/>
          <w:sz w:val="24"/>
          <w:szCs w:val="24"/>
        </w:rPr>
        <w:t>kod</w:t>
      </w:r>
      <w:r w:rsidR="004F144F">
        <w:rPr>
          <w:rFonts w:ascii="Times New Roman" w:hAnsi="Times New Roman" w:cs="Times New Roman"/>
          <w:sz w:val="24"/>
          <w:szCs w:val="24"/>
        </w:rPr>
        <w:t xml:space="preserve"> P</w:t>
      </w:r>
      <w:r w:rsidRPr="00526AD1">
        <w:rPr>
          <w:rFonts w:ascii="Times New Roman" w:hAnsi="Times New Roman" w:cs="Times New Roman"/>
          <w:sz w:val="24"/>
          <w:szCs w:val="24"/>
        </w:rPr>
        <w:t>orez</w:t>
      </w:r>
      <w:r w:rsidR="004F144F">
        <w:rPr>
          <w:rFonts w:ascii="Times New Roman" w:hAnsi="Times New Roman" w:cs="Times New Roman"/>
          <w:sz w:val="24"/>
          <w:szCs w:val="24"/>
        </w:rPr>
        <w:t>a</w:t>
      </w:r>
      <w:r w:rsidRPr="00526AD1">
        <w:rPr>
          <w:rFonts w:ascii="Times New Roman" w:hAnsi="Times New Roman" w:cs="Times New Roman"/>
          <w:sz w:val="24"/>
          <w:szCs w:val="24"/>
        </w:rPr>
        <w:t xml:space="preserve"> i prirez na dohodak od imovin</w:t>
      </w:r>
      <w:r w:rsidR="00F86F5E">
        <w:rPr>
          <w:rFonts w:ascii="Times New Roman" w:hAnsi="Times New Roman" w:cs="Times New Roman"/>
          <w:sz w:val="24"/>
          <w:szCs w:val="24"/>
        </w:rPr>
        <w:t>e i imovinskih prava (AOP006)</w:t>
      </w:r>
      <w:r w:rsidR="004F144F">
        <w:rPr>
          <w:rFonts w:ascii="Times New Roman" w:hAnsi="Times New Roman" w:cs="Times New Roman"/>
          <w:sz w:val="24"/>
          <w:szCs w:val="24"/>
        </w:rPr>
        <w:t xml:space="preserve"> koji</w:t>
      </w:r>
      <w:r w:rsidR="00F86F5E">
        <w:rPr>
          <w:rFonts w:ascii="Times New Roman" w:hAnsi="Times New Roman" w:cs="Times New Roman"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sz w:val="24"/>
          <w:szCs w:val="24"/>
        </w:rPr>
        <w:t xml:space="preserve">iznose </w:t>
      </w:r>
      <w:r w:rsidR="004F144F">
        <w:rPr>
          <w:rFonts w:ascii="Times New Roman" w:hAnsi="Times New Roman" w:cs="Times New Roman"/>
          <w:sz w:val="24"/>
          <w:szCs w:val="24"/>
        </w:rPr>
        <w:t>8.259.579</w:t>
      </w:r>
      <w:r w:rsidR="008931E9">
        <w:rPr>
          <w:rFonts w:ascii="Times New Roman" w:hAnsi="Times New Roman" w:cs="Times New Roman"/>
          <w:sz w:val="24"/>
          <w:szCs w:val="24"/>
        </w:rPr>
        <w:t xml:space="preserve"> kn</w:t>
      </w:r>
      <w:r w:rsidR="004F144F">
        <w:rPr>
          <w:rFonts w:ascii="Times New Roman" w:hAnsi="Times New Roman" w:cs="Times New Roman"/>
          <w:sz w:val="24"/>
          <w:szCs w:val="24"/>
        </w:rPr>
        <w:t>.</w:t>
      </w:r>
      <w:r w:rsidR="00B071C9" w:rsidRPr="00B071C9">
        <w:rPr>
          <w:rFonts w:ascii="Times New Roman" w:hAnsi="Times New Roman" w:cs="Times New Roman"/>
          <w:sz w:val="24"/>
          <w:szCs w:val="24"/>
        </w:rPr>
        <w:t xml:space="preserve"> </w:t>
      </w:r>
      <w:r w:rsidR="00B071C9" w:rsidRPr="004F144F">
        <w:rPr>
          <w:rFonts w:ascii="Times New Roman" w:hAnsi="Times New Roman" w:cs="Times New Roman"/>
          <w:sz w:val="24"/>
          <w:szCs w:val="24"/>
        </w:rPr>
        <w:t xml:space="preserve">Povrat poreza i prireza na dohodak po godišnjoj prijavi </w:t>
      </w:r>
      <w:r w:rsidR="00B071C9">
        <w:rPr>
          <w:rFonts w:ascii="Times New Roman" w:hAnsi="Times New Roman" w:cs="Times New Roman"/>
          <w:sz w:val="24"/>
          <w:szCs w:val="24"/>
        </w:rPr>
        <w:t xml:space="preserve">koji iznosi </w:t>
      </w:r>
      <w:r w:rsidR="00B071C9" w:rsidRPr="004F144F">
        <w:rPr>
          <w:rFonts w:ascii="Times New Roman" w:hAnsi="Times New Roman" w:cs="Times New Roman"/>
          <w:sz w:val="24"/>
          <w:szCs w:val="24"/>
        </w:rPr>
        <w:t>9.121.482</w:t>
      </w:r>
      <w:r w:rsidR="00B071C9">
        <w:rPr>
          <w:rFonts w:ascii="Times New Roman" w:hAnsi="Times New Roman" w:cs="Times New Roman"/>
          <w:sz w:val="24"/>
          <w:szCs w:val="24"/>
        </w:rPr>
        <w:t xml:space="preserve"> kn. </w:t>
      </w:r>
      <w:r w:rsidR="005E29B3" w:rsidRPr="00526AD1">
        <w:rPr>
          <w:rFonts w:ascii="Times New Roman" w:hAnsi="Times New Roman" w:cs="Times New Roman"/>
          <w:sz w:val="24"/>
          <w:szCs w:val="24"/>
        </w:rPr>
        <w:t xml:space="preserve">Značajnije smanjenje prihoda u odnosu na isto izvještajno razdoblje u </w:t>
      </w:r>
      <w:r w:rsidR="00685BE8">
        <w:rPr>
          <w:rFonts w:ascii="Times New Roman" w:hAnsi="Times New Roman" w:cs="Times New Roman"/>
          <w:sz w:val="24"/>
          <w:szCs w:val="24"/>
        </w:rPr>
        <w:t>2018.</w:t>
      </w:r>
      <w:r w:rsidR="005E29B3" w:rsidRPr="00526AD1">
        <w:rPr>
          <w:rFonts w:ascii="Times New Roman" w:hAnsi="Times New Roman" w:cs="Times New Roman"/>
          <w:sz w:val="24"/>
          <w:szCs w:val="24"/>
        </w:rPr>
        <w:t xml:space="preserve"> godini zabilježeno je </w:t>
      </w:r>
      <w:r w:rsidR="004F144F">
        <w:rPr>
          <w:rFonts w:ascii="Times New Roman" w:hAnsi="Times New Roman" w:cs="Times New Roman"/>
          <w:sz w:val="24"/>
          <w:szCs w:val="24"/>
        </w:rPr>
        <w:t>kod</w:t>
      </w:r>
      <w:r w:rsidR="005E29B3" w:rsidRPr="00526AD1">
        <w:rPr>
          <w:rFonts w:ascii="Times New Roman" w:hAnsi="Times New Roman" w:cs="Times New Roman"/>
          <w:sz w:val="24"/>
          <w:szCs w:val="24"/>
        </w:rPr>
        <w:t xml:space="preserve"> odjelj</w:t>
      </w:r>
      <w:r w:rsidR="004F144F">
        <w:rPr>
          <w:rFonts w:ascii="Times New Roman" w:hAnsi="Times New Roman" w:cs="Times New Roman"/>
          <w:sz w:val="24"/>
          <w:szCs w:val="24"/>
        </w:rPr>
        <w:t xml:space="preserve">ka </w:t>
      </w:r>
      <w:r w:rsidR="00891F84" w:rsidRPr="004F144F">
        <w:rPr>
          <w:rFonts w:ascii="Times New Roman" w:hAnsi="Times New Roman" w:cs="Times New Roman"/>
          <w:sz w:val="24"/>
          <w:szCs w:val="24"/>
        </w:rPr>
        <w:t>Porezi na korištenje dobara ili</w:t>
      </w:r>
      <w:r w:rsidR="004F144F">
        <w:rPr>
          <w:rFonts w:ascii="Times New Roman" w:hAnsi="Times New Roman" w:cs="Times New Roman"/>
          <w:sz w:val="24"/>
          <w:szCs w:val="24"/>
        </w:rPr>
        <w:t xml:space="preserve"> izvođenje aktivnosti (AOP028) koji</w:t>
      </w:r>
      <w:r w:rsidR="00F86F5E" w:rsidRPr="004F144F">
        <w:rPr>
          <w:rFonts w:ascii="Times New Roman" w:hAnsi="Times New Roman" w:cs="Times New Roman"/>
          <w:sz w:val="24"/>
          <w:szCs w:val="24"/>
        </w:rPr>
        <w:t xml:space="preserve"> </w:t>
      </w:r>
      <w:r w:rsidR="00891F84" w:rsidRPr="004F144F">
        <w:rPr>
          <w:rFonts w:ascii="Times New Roman" w:hAnsi="Times New Roman" w:cs="Times New Roman"/>
          <w:sz w:val="24"/>
          <w:szCs w:val="24"/>
        </w:rPr>
        <w:t xml:space="preserve">iznose </w:t>
      </w:r>
      <w:r w:rsidR="004F144F">
        <w:rPr>
          <w:rFonts w:ascii="Times New Roman" w:hAnsi="Times New Roman" w:cs="Times New Roman"/>
          <w:sz w:val="24"/>
          <w:szCs w:val="24"/>
        </w:rPr>
        <w:t>70.367</w:t>
      </w:r>
      <w:r w:rsidR="00891F84" w:rsidRPr="004F144F">
        <w:rPr>
          <w:rFonts w:ascii="Times New Roman" w:hAnsi="Times New Roman" w:cs="Times New Roman"/>
          <w:sz w:val="24"/>
          <w:szCs w:val="24"/>
        </w:rPr>
        <w:t xml:space="preserve"> kn, a ostvareni </w:t>
      </w:r>
      <w:r w:rsidR="00006B6B" w:rsidRPr="004F144F">
        <w:rPr>
          <w:rFonts w:ascii="Times New Roman" w:hAnsi="Times New Roman" w:cs="Times New Roman"/>
          <w:sz w:val="24"/>
          <w:szCs w:val="24"/>
        </w:rPr>
        <w:t xml:space="preserve">su </w:t>
      </w:r>
      <w:r w:rsidR="00891F84" w:rsidRPr="004F144F">
        <w:rPr>
          <w:rFonts w:ascii="Times New Roman" w:hAnsi="Times New Roman" w:cs="Times New Roman"/>
          <w:sz w:val="24"/>
          <w:szCs w:val="24"/>
        </w:rPr>
        <w:t xml:space="preserve">po osnovi poreza na tvrtku </w:t>
      </w:r>
      <w:r w:rsidR="00934389">
        <w:rPr>
          <w:rFonts w:ascii="Times New Roman" w:hAnsi="Times New Roman" w:cs="Times New Roman"/>
          <w:sz w:val="24"/>
          <w:szCs w:val="24"/>
        </w:rPr>
        <w:t>ili naziv. R</w:t>
      </w:r>
      <w:r w:rsidR="00891F84" w:rsidRPr="004F144F">
        <w:rPr>
          <w:rFonts w:ascii="Times New Roman" w:hAnsi="Times New Roman" w:cs="Times New Roman"/>
          <w:sz w:val="24"/>
          <w:szCs w:val="24"/>
        </w:rPr>
        <w:t xml:space="preserve">azlog smanjenja prihoda je taj što </w:t>
      </w:r>
      <w:r w:rsidR="00234DDC" w:rsidRPr="004F144F">
        <w:rPr>
          <w:rFonts w:ascii="Times New Roman" w:hAnsi="Times New Roman" w:cs="Times New Roman"/>
          <w:sz w:val="24"/>
          <w:szCs w:val="24"/>
        </w:rPr>
        <w:t>je</w:t>
      </w:r>
      <w:r w:rsidR="00891F84" w:rsidRPr="004F144F">
        <w:rPr>
          <w:rFonts w:ascii="Times New Roman" w:hAnsi="Times New Roman" w:cs="Times New Roman"/>
          <w:sz w:val="24"/>
          <w:szCs w:val="24"/>
        </w:rPr>
        <w:t xml:space="preserve"> u </w:t>
      </w:r>
      <w:r w:rsidR="00685BE8" w:rsidRPr="004F144F">
        <w:rPr>
          <w:rFonts w:ascii="Times New Roman" w:hAnsi="Times New Roman" w:cs="Times New Roman"/>
          <w:sz w:val="24"/>
          <w:szCs w:val="24"/>
        </w:rPr>
        <w:t>201</w:t>
      </w:r>
      <w:r w:rsidR="004F144F">
        <w:rPr>
          <w:rFonts w:ascii="Times New Roman" w:hAnsi="Times New Roman" w:cs="Times New Roman"/>
          <w:sz w:val="24"/>
          <w:szCs w:val="24"/>
        </w:rPr>
        <w:t>7</w:t>
      </w:r>
      <w:r w:rsidR="00685BE8" w:rsidRPr="004F144F">
        <w:rPr>
          <w:rFonts w:ascii="Times New Roman" w:hAnsi="Times New Roman" w:cs="Times New Roman"/>
          <w:sz w:val="24"/>
          <w:szCs w:val="24"/>
        </w:rPr>
        <w:t>.</w:t>
      </w:r>
      <w:r w:rsidR="00891F84" w:rsidRPr="004F144F">
        <w:rPr>
          <w:rFonts w:ascii="Times New Roman" w:hAnsi="Times New Roman" w:cs="Times New Roman"/>
          <w:sz w:val="24"/>
          <w:szCs w:val="24"/>
        </w:rPr>
        <w:t xml:space="preserve"> godini </w:t>
      </w:r>
      <w:r w:rsidR="00234DDC" w:rsidRPr="004F144F">
        <w:rPr>
          <w:rFonts w:ascii="Times New Roman" w:hAnsi="Times New Roman" w:cs="Times New Roman"/>
          <w:sz w:val="24"/>
          <w:szCs w:val="24"/>
        </w:rPr>
        <w:t>ukinut</w:t>
      </w:r>
      <w:r w:rsidR="00891F84" w:rsidRPr="004F144F">
        <w:rPr>
          <w:rFonts w:ascii="Times New Roman" w:hAnsi="Times New Roman" w:cs="Times New Roman"/>
          <w:sz w:val="24"/>
          <w:szCs w:val="24"/>
        </w:rPr>
        <w:t xml:space="preserve"> porez na tvrtku ili naziv kao jed</w:t>
      </w:r>
      <w:r w:rsidR="00234DDC" w:rsidRPr="004F144F">
        <w:rPr>
          <w:rFonts w:ascii="Times New Roman" w:hAnsi="Times New Roman" w:cs="Times New Roman"/>
          <w:sz w:val="24"/>
          <w:szCs w:val="24"/>
        </w:rPr>
        <w:t xml:space="preserve">an </w:t>
      </w:r>
      <w:r w:rsidR="00891F84" w:rsidRPr="004F144F">
        <w:rPr>
          <w:rFonts w:ascii="Times New Roman" w:hAnsi="Times New Roman" w:cs="Times New Roman"/>
          <w:sz w:val="24"/>
          <w:szCs w:val="24"/>
        </w:rPr>
        <w:t>od prihoda jedinica lokalne samouprave stoga se uplate u proračun odnose samo na uplate po zaduženjima iz ranijih godina.</w:t>
      </w:r>
    </w:p>
    <w:p w:rsidR="00AE5C38" w:rsidRDefault="00AE5C38" w:rsidP="00A02CC6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95249B" w:rsidRPr="00526AD1" w:rsidRDefault="0095249B" w:rsidP="00A02CC6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AE5C38" w:rsidRDefault="00AE5C38" w:rsidP="00A02CC6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934389">
        <w:rPr>
          <w:rFonts w:ascii="Times New Roman" w:hAnsi="Times New Roman" w:cs="Times New Roman"/>
          <w:b/>
        </w:rPr>
        <w:t>BILJEŠKA br. 4.</w:t>
      </w:r>
    </w:p>
    <w:p w:rsidR="00525422" w:rsidRPr="00526AD1" w:rsidRDefault="00525422" w:rsidP="00A02CC6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BE5B55" w:rsidRPr="00526AD1" w:rsidRDefault="00BE5B55" w:rsidP="00A02C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b/>
          <w:sz w:val="24"/>
          <w:szCs w:val="24"/>
        </w:rPr>
        <w:t>P</w:t>
      </w:r>
      <w:r w:rsidR="000178CC" w:rsidRPr="00526AD1">
        <w:rPr>
          <w:rFonts w:ascii="Times New Roman" w:hAnsi="Times New Roman" w:cs="Times New Roman"/>
          <w:b/>
          <w:sz w:val="24"/>
          <w:szCs w:val="24"/>
        </w:rPr>
        <w:t>omoći iz</w:t>
      </w:r>
      <w:r w:rsidRPr="00526AD1">
        <w:rPr>
          <w:rFonts w:ascii="Times New Roman" w:hAnsi="Times New Roman" w:cs="Times New Roman"/>
          <w:b/>
          <w:sz w:val="24"/>
          <w:szCs w:val="24"/>
        </w:rPr>
        <w:t xml:space="preserve"> inozemstva i od subjekata unutar općeg proračuna (AOP04</w:t>
      </w:r>
      <w:r w:rsidR="001E12E2" w:rsidRPr="00526AD1">
        <w:rPr>
          <w:rFonts w:ascii="Times New Roman" w:hAnsi="Times New Roman" w:cs="Times New Roman"/>
          <w:b/>
          <w:sz w:val="24"/>
          <w:szCs w:val="24"/>
        </w:rPr>
        <w:t>5</w:t>
      </w:r>
      <w:r w:rsidRPr="00526AD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23470">
        <w:rPr>
          <w:rFonts w:ascii="Times New Roman" w:hAnsi="Times New Roman" w:cs="Times New Roman"/>
          <w:b/>
          <w:sz w:val="24"/>
          <w:szCs w:val="24"/>
        </w:rPr>
        <w:t>-</w:t>
      </w:r>
      <w:r w:rsidRPr="00526AD1">
        <w:rPr>
          <w:rFonts w:ascii="Times New Roman" w:hAnsi="Times New Roman" w:cs="Times New Roman"/>
          <w:sz w:val="24"/>
          <w:szCs w:val="24"/>
        </w:rPr>
        <w:t xml:space="preserve"> iznose </w:t>
      </w:r>
      <w:r w:rsidR="00E242EF">
        <w:rPr>
          <w:rFonts w:ascii="Times New Roman" w:hAnsi="Times New Roman" w:cs="Times New Roman"/>
          <w:sz w:val="24"/>
          <w:szCs w:val="24"/>
        </w:rPr>
        <w:t>21.042.926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 i ostvareni su za </w:t>
      </w:r>
      <w:r w:rsidR="00E242EF">
        <w:rPr>
          <w:rFonts w:ascii="Times New Roman" w:hAnsi="Times New Roman" w:cs="Times New Roman"/>
          <w:sz w:val="24"/>
          <w:szCs w:val="24"/>
        </w:rPr>
        <w:t>15,2</w:t>
      </w:r>
      <w:r w:rsidRPr="00526AD1">
        <w:rPr>
          <w:rFonts w:ascii="Times New Roman" w:hAnsi="Times New Roman" w:cs="Times New Roman"/>
          <w:sz w:val="24"/>
          <w:szCs w:val="24"/>
        </w:rPr>
        <w:t>%</w:t>
      </w:r>
      <w:r w:rsidR="00667AB8" w:rsidRPr="00526AD1">
        <w:rPr>
          <w:rFonts w:ascii="Times New Roman" w:hAnsi="Times New Roman" w:cs="Times New Roman"/>
          <w:sz w:val="24"/>
          <w:szCs w:val="24"/>
        </w:rPr>
        <w:t xml:space="preserve"> ili </w:t>
      </w:r>
      <w:r w:rsidR="00E242EF">
        <w:rPr>
          <w:rFonts w:ascii="Times New Roman" w:hAnsi="Times New Roman" w:cs="Times New Roman"/>
          <w:sz w:val="24"/>
          <w:szCs w:val="24"/>
        </w:rPr>
        <w:t>3.760.481</w:t>
      </w:r>
      <w:r w:rsidR="00667AB8" w:rsidRPr="00526AD1">
        <w:rPr>
          <w:rFonts w:ascii="Times New Roman" w:hAnsi="Times New Roman" w:cs="Times New Roman"/>
          <w:sz w:val="24"/>
          <w:szCs w:val="24"/>
        </w:rPr>
        <w:t xml:space="preserve"> kn</w:t>
      </w:r>
      <w:r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7248F5" w:rsidRPr="00526AD1">
        <w:rPr>
          <w:rFonts w:ascii="Times New Roman" w:hAnsi="Times New Roman" w:cs="Times New Roman"/>
          <w:sz w:val="24"/>
          <w:szCs w:val="24"/>
        </w:rPr>
        <w:t>manje</w:t>
      </w:r>
      <w:r w:rsidRPr="00526AD1">
        <w:rPr>
          <w:rFonts w:ascii="Times New Roman" w:hAnsi="Times New Roman" w:cs="Times New Roman"/>
          <w:sz w:val="24"/>
          <w:szCs w:val="24"/>
        </w:rPr>
        <w:t xml:space="preserve"> nego u </w:t>
      </w:r>
      <w:r w:rsidR="00685BE8">
        <w:rPr>
          <w:rFonts w:ascii="Times New Roman" w:hAnsi="Times New Roman" w:cs="Times New Roman"/>
          <w:sz w:val="24"/>
          <w:szCs w:val="24"/>
        </w:rPr>
        <w:t>2018.</w:t>
      </w:r>
      <w:r w:rsidRPr="00526AD1">
        <w:rPr>
          <w:rFonts w:ascii="Times New Roman" w:hAnsi="Times New Roman" w:cs="Times New Roman"/>
          <w:sz w:val="24"/>
          <w:szCs w:val="24"/>
        </w:rPr>
        <w:t xml:space="preserve"> godini u istom razdoblju izvještavanja. </w:t>
      </w:r>
      <w:r w:rsidR="00667AB8" w:rsidRPr="00526AD1">
        <w:rPr>
          <w:rFonts w:ascii="Times New Roman" w:hAnsi="Times New Roman" w:cs="Times New Roman"/>
          <w:sz w:val="24"/>
          <w:szCs w:val="24"/>
        </w:rPr>
        <w:t xml:space="preserve">Navedene pomoći čine </w:t>
      </w:r>
      <w:r w:rsidR="00E242EF">
        <w:rPr>
          <w:rFonts w:ascii="Times New Roman" w:hAnsi="Times New Roman" w:cs="Times New Roman"/>
          <w:sz w:val="24"/>
          <w:szCs w:val="24"/>
        </w:rPr>
        <w:t>7,2</w:t>
      </w:r>
      <w:r w:rsidR="00934389">
        <w:rPr>
          <w:rFonts w:ascii="Times New Roman" w:hAnsi="Times New Roman" w:cs="Times New Roman"/>
          <w:sz w:val="24"/>
          <w:szCs w:val="24"/>
        </w:rPr>
        <w:t>% ukupno ostvarenih</w:t>
      </w:r>
      <w:r w:rsidR="00667AB8" w:rsidRPr="00526AD1">
        <w:rPr>
          <w:rFonts w:ascii="Times New Roman" w:hAnsi="Times New Roman" w:cs="Times New Roman"/>
          <w:sz w:val="24"/>
          <w:szCs w:val="24"/>
        </w:rPr>
        <w:t xml:space="preserve"> prihoda poslovanja.</w:t>
      </w:r>
      <w:r w:rsidR="00A82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A49" w:rsidRPr="00526AD1" w:rsidRDefault="00E95A49" w:rsidP="00A02C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5A49" w:rsidRPr="00526AD1" w:rsidRDefault="00E95A49" w:rsidP="00A02C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Z</w:t>
      </w:r>
      <w:r w:rsidR="00AE5C38" w:rsidRPr="00526AD1">
        <w:rPr>
          <w:rFonts w:ascii="Times New Roman" w:hAnsi="Times New Roman" w:cs="Times New Roman"/>
          <w:sz w:val="24"/>
          <w:szCs w:val="24"/>
        </w:rPr>
        <w:t>načajnije povećanje pomoći zabilježeno je u odjeljcima:</w:t>
      </w:r>
    </w:p>
    <w:p w:rsidR="00E242EF" w:rsidRDefault="00AE5C38" w:rsidP="00A02CC6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Kapitalne pomoć</w:t>
      </w:r>
      <w:r w:rsidR="00BD13E2">
        <w:rPr>
          <w:rFonts w:ascii="Times New Roman" w:hAnsi="Times New Roman" w:cs="Times New Roman"/>
          <w:sz w:val="24"/>
          <w:szCs w:val="24"/>
        </w:rPr>
        <w:t xml:space="preserve">i od </w:t>
      </w:r>
      <w:r w:rsidR="00E242EF">
        <w:rPr>
          <w:rFonts w:ascii="Times New Roman" w:hAnsi="Times New Roman" w:cs="Times New Roman"/>
          <w:sz w:val="24"/>
          <w:szCs w:val="24"/>
        </w:rPr>
        <w:t>međunarodnih organizacija (AOP051</w:t>
      </w:r>
      <w:r w:rsidR="00BD13E2">
        <w:rPr>
          <w:rFonts w:ascii="Times New Roman" w:hAnsi="Times New Roman" w:cs="Times New Roman"/>
          <w:sz w:val="24"/>
          <w:szCs w:val="24"/>
        </w:rPr>
        <w:t xml:space="preserve">) - </w:t>
      </w:r>
      <w:r w:rsidRPr="00526AD1">
        <w:rPr>
          <w:rFonts w:ascii="Times New Roman" w:hAnsi="Times New Roman" w:cs="Times New Roman"/>
          <w:sz w:val="24"/>
          <w:szCs w:val="24"/>
        </w:rPr>
        <w:t xml:space="preserve">iznose </w:t>
      </w:r>
      <w:r w:rsidR="00E242EF">
        <w:rPr>
          <w:rFonts w:ascii="Times New Roman" w:hAnsi="Times New Roman" w:cs="Times New Roman"/>
          <w:sz w:val="24"/>
          <w:szCs w:val="24"/>
        </w:rPr>
        <w:t>111.359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kn, a odnose s</w:t>
      </w:r>
      <w:r w:rsidR="00BD13E2">
        <w:rPr>
          <w:rFonts w:ascii="Times New Roman" w:hAnsi="Times New Roman" w:cs="Times New Roman"/>
          <w:sz w:val="24"/>
          <w:szCs w:val="24"/>
        </w:rPr>
        <w:t>e</w:t>
      </w:r>
      <w:r w:rsidRPr="00526AD1">
        <w:rPr>
          <w:rFonts w:ascii="Times New Roman" w:hAnsi="Times New Roman" w:cs="Times New Roman"/>
          <w:sz w:val="24"/>
          <w:szCs w:val="24"/>
        </w:rPr>
        <w:t xml:space="preserve"> na </w:t>
      </w:r>
      <w:r w:rsidR="00E242EF">
        <w:rPr>
          <w:rFonts w:ascii="Times New Roman" w:hAnsi="Times New Roman" w:cs="Times New Roman"/>
          <w:sz w:val="24"/>
          <w:szCs w:val="24"/>
        </w:rPr>
        <w:t>pomoć za projekt WIFI4EU kojim se proširila mreža besplatnog gradskog interneta</w:t>
      </w:r>
      <w:r w:rsidRPr="00526AD1">
        <w:rPr>
          <w:rFonts w:ascii="Times New Roman" w:hAnsi="Times New Roman" w:cs="Times New Roman"/>
          <w:sz w:val="24"/>
          <w:szCs w:val="24"/>
        </w:rPr>
        <w:t xml:space="preserve">. U </w:t>
      </w:r>
      <w:r w:rsidR="00685BE8">
        <w:rPr>
          <w:rFonts w:ascii="Times New Roman" w:hAnsi="Times New Roman" w:cs="Times New Roman"/>
          <w:sz w:val="24"/>
          <w:szCs w:val="24"/>
        </w:rPr>
        <w:t>2018.</w:t>
      </w:r>
      <w:r w:rsidRPr="00526AD1">
        <w:rPr>
          <w:rFonts w:ascii="Times New Roman" w:hAnsi="Times New Roman" w:cs="Times New Roman"/>
          <w:sz w:val="24"/>
          <w:szCs w:val="24"/>
        </w:rPr>
        <w:t xml:space="preserve"> godini nije bilo ostvarenja po navedenom prihodu.</w:t>
      </w:r>
    </w:p>
    <w:p w:rsidR="00E242EF" w:rsidRDefault="00E242EF" w:rsidP="00A02CC6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2EF">
        <w:rPr>
          <w:rFonts w:ascii="Times New Roman" w:hAnsi="Times New Roman" w:cs="Times New Roman"/>
          <w:sz w:val="24"/>
          <w:szCs w:val="24"/>
        </w:rPr>
        <w:t xml:space="preserve">Tekuće pomoći </w:t>
      </w:r>
      <w:r>
        <w:rPr>
          <w:rFonts w:ascii="Times New Roman" w:hAnsi="Times New Roman" w:cs="Times New Roman"/>
          <w:sz w:val="24"/>
          <w:szCs w:val="24"/>
        </w:rPr>
        <w:t>temeljem p</w:t>
      </w:r>
      <w:r w:rsidR="00123470">
        <w:rPr>
          <w:rFonts w:ascii="Times New Roman" w:hAnsi="Times New Roman" w:cs="Times New Roman"/>
          <w:sz w:val="24"/>
          <w:szCs w:val="24"/>
        </w:rPr>
        <w:t>rijenosa EU sredstava (AOP067) -</w:t>
      </w:r>
      <w:r>
        <w:rPr>
          <w:rFonts w:ascii="Times New Roman" w:hAnsi="Times New Roman" w:cs="Times New Roman"/>
          <w:sz w:val="24"/>
          <w:szCs w:val="24"/>
        </w:rPr>
        <w:t xml:space="preserve"> iznose 2.834.239 kn i za 12,9% ili 324.777 kn ostvarene su više nego u istom razdoblju izvještavanja 2018. godine. Čine ih ostvarene pomoći na ime projekta:</w:t>
      </w:r>
    </w:p>
    <w:p w:rsidR="00E242EF" w:rsidRDefault="00E242EF" w:rsidP="00A02CC6">
      <w:pPr>
        <w:pStyle w:val="ListParagraph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2EF">
        <w:rPr>
          <w:rFonts w:ascii="Times New Roman" w:hAnsi="Times New Roman" w:cs="Times New Roman"/>
          <w:sz w:val="24"/>
          <w:szCs w:val="24"/>
        </w:rPr>
        <w:t>Zajedno do znanja</w:t>
      </w:r>
      <w:r w:rsidR="00B071C9">
        <w:rPr>
          <w:rFonts w:ascii="Times New Roman" w:hAnsi="Times New Roman" w:cs="Times New Roman"/>
          <w:sz w:val="24"/>
          <w:szCs w:val="24"/>
        </w:rPr>
        <w:t xml:space="preserve"> </w:t>
      </w:r>
      <w:r w:rsidRPr="00E242EF">
        <w:rPr>
          <w:rFonts w:ascii="Times New Roman" w:hAnsi="Times New Roman" w:cs="Times New Roman"/>
          <w:sz w:val="24"/>
          <w:szCs w:val="24"/>
        </w:rPr>
        <w:t>2 u iznosu od 1.570.378 kn,</w:t>
      </w:r>
      <w:r w:rsidR="006017E0">
        <w:rPr>
          <w:rFonts w:ascii="Times New Roman" w:hAnsi="Times New Roman" w:cs="Times New Roman"/>
          <w:sz w:val="24"/>
          <w:szCs w:val="24"/>
        </w:rPr>
        <w:t xml:space="preserve"> a</w:t>
      </w:r>
      <w:r w:rsidRPr="00E242EF">
        <w:rPr>
          <w:rFonts w:ascii="Times New Roman" w:hAnsi="Times New Roman" w:cs="Times New Roman"/>
          <w:sz w:val="24"/>
          <w:szCs w:val="24"/>
        </w:rPr>
        <w:t xml:space="preserve"> kojim se osiguravaju pomoćnici u nastavi te pomoć učenicima s poteškoćama u razvoju u osnovnim školama na području Pule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42EF" w:rsidRDefault="00E242EF" w:rsidP="00A02CC6">
      <w:pPr>
        <w:pStyle w:val="ListParagraph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2EF">
        <w:rPr>
          <w:rFonts w:ascii="Times New Roman" w:hAnsi="Times New Roman" w:cs="Times New Roman"/>
          <w:sz w:val="24"/>
          <w:szCs w:val="24"/>
        </w:rPr>
        <w:t>Školska shema kojim država financira voće, povrće i mlijeko u osnovnim školama radi podizanja svijesti o značenju zdrave prehrane u iznosu od 229.437 kn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42EF" w:rsidRDefault="00E242EF" w:rsidP="00A02CC6">
      <w:pPr>
        <w:pStyle w:val="ListParagraph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2EF">
        <w:rPr>
          <w:rFonts w:ascii="Times New Roman" w:hAnsi="Times New Roman" w:cs="Times New Roman"/>
          <w:sz w:val="24"/>
          <w:szCs w:val="24"/>
        </w:rPr>
        <w:t>SOS kojem je cilj smanjenje stope nezaposlenosti i socijalne isključenosti u iznosu od 340.725 kn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42EF" w:rsidRPr="00E242EF" w:rsidRDefault="00E242EF" w:rsidP="00A02CC6">
      <w:pPr>
        <w:pStyle w:val="ListParagraph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Razmisli, odvoji, štedi u iznosu od 61.743 kn čija je svrha informirati i educirati građane o održivom razvoju gospodarenja otpadom;</w:t>
      </w:r>
    </w:p>
    <w:p w:rsidR="00E242EF" w:rsidRPr="00E242EF" w:rsidRDefault="00E242EF" w:rsidP="00A02CC6">
      <w:pPr>
        <w:pStyle w:val="ListParagraph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2EF">
        <w:rPr>
          <w:rFonts w:ascii="Times New Roman" w:hAnsi="Times New Roman" w:cs="Times New Roman"/>
          <w:noProof/>
          <w:sz w:val="24"/>
          <w:szCs w:val="24"/>
        </w:rPr>
        <w:t>ITU urbano područje Pula u iznosu od 631.956 kn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 ciljem jačanja uloge gradova kao pokretača gospodarskog razvoja.</w:t>
      </w:r>
    </w:p>
    <w:p w:rsidR="00221600" w:rsidRPr="00526AD1" w:rsidRDefault="00221600" w:rsidP="00A02C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3E2" w:rsidRDefault="0009763E" w:rsidP="00A02C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 xml:space="preserve">Značajnije smanjenje pomoći u odnosu na isto izvještajno razdoblje </w:t>
      </w:r>
      <w:r w:rsidR="00685BE8">
        <w:rPr>
          <w:rFonts w:ascii="Times New Roman" w:hAnsi="Times New Roman" w:cs="Times New Roman"/>
          <w:sz w:val="24"/>
          <w:szCs w:val="24"/>
        </w:rPr>
        <w:t>2018.</w:t>
      </w:r>
      <w:r w:rsidRPr="00526AD1">
        <w:rPr>
          <w:rFonts w:ascii="Times New Roman" w:hAnsi="Times New Roman" w:cs="Times New Roman"/>
          <w:sz w:val="24"/>
          <w:szCs w:val="24"/>
        </w:rPr>
        <w:t xml:space="preserve"> godin</w:t>
      </w:r>
      <w:r w:rsidR="00BD13E2">
        <w:rPr>
          <w:rFonts w:ascii="Times New Roman" w:hAnsi="Times New Roman" w:cs="Times New Roman"/>
          <w:sz w:val="24"/>
          <w:szCs w:val="24"/>
        </w:rPr>
        <w:t>e</w:t>
      </w:r>
      <w:r w:rsidRPr="00526AD1">
        <w:rPr>
          <w:rFonts w:ascii="Times New Roman" w:hAnsi="Times New Roman" w:cs="Times New Roman"/>
          <w:sz w:val="24"/>
          <w:szCs w:val="24"/>
        </w:rPr>
        <w:t xml:space="preserve"> zabilježeno je u odjeljcima:</w:t>
      </w:r>
    </w:p>
    <w:p w:rsidR="00E242EF" w:rsidRDefault="00E242EF" w:rsidP="00A02CC6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Kapitalne pomoći proračunu iz drugih proračuna</w:t>
      </w:r>
      <w:r w:rsidR="006017E0">
        <w:rPr>
          <w:rFonts w:ascii="Times New Roman" w:hAnsi="Times New Roman" w:cs="Times New Roman"/>
          <w:sz w:val="24"/>
          <w:szCs w:val="24"/>
        </w:rPr>
        <w:t xml:space="preserve"> (AOP056)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sz w:val="24"/>
          <w:szCs w:val="24"/>
        </w:rPr>
        <w:t>iznose</w:t>
      </w:r>
      <w:r>
        <w:rPr>
          <w:rFonts w:ascii="Times New Roman" w:hAnsi="Times New Roman" w:cs="Times New Roman"/>
          <w:sz w:val="24"/>
          <w:szCs w:val="24"/>
        </w:rPr>
        <w:t xml:space="preserve"> 405.719 kn i  za 2.094.281 kn ili 83,8% su ostvarene manje nego u 2018. godini</w:t>
      </w:r>
      <w:r w:rsidRPr="00526AD1">
        <w:rPr>
          <w:rFonts w:ascii="Times New Roman" w:hAnsi="Times New Roman" w:cs="Times New Roman"/>
          <w:sz w:val="24"/>
          <w:szCs w:val="24"/>
        </w:rPr>
        <w:t xml:space="preserve"> u istom razdoblju izvještavanja</w:t>
      </w:r>
      <w:r>
        <w:rPr>
          <w:rFonts w:ascii="Times New Roman" w:hAnsi="Times New Roman" w:cs="Times New Roman"/>
          <w:sz w:val="24"/>
          <w:szCs w:val="24"/>
        </w:rPr>
        <w:t xml:space="preserve">. U 2018. godini Grad </w:t>
      </w:r>
      <w:r w:rsidR="006017E0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primio</w:t>
      </w:r>
      <w:r w:rsidRPr="00E242E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noProof/>
          <w:sz w:val="24"/>
          <w:szCs w:val="24"/>
        </w:rPr>
        <w:t>kapitaln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Pr="00526AD1">
        <w:rPr>
          <w:rFonts w:ascii="Times New Roman" w:hAnsi="Times New Roman" w:cs="Times New Roman"/>
          <w:noProof/>
          <w:sz w:val="24"/>
          <w:szCs w:val="24"/>
        </w:rPr>
        <w:t xml:space="preserve"> pomoće radi uređenja Uspo</w:t>
      </w:r>
      <w:r>
        <w:rPr>
          <w:rFonts w:ascii="Times New Roman" w:hAnsi="Times New Roman" w:cs="Times New Roman"/>
          <w:noProof/>
          <w:sz w:val="24"/>
          <w:szCs w:val="24"/>
        </w:rPr>
        <w:t>na Marijana Rotara (Serpentine</w:t>
      </w:r>
      <w:r w:rsidR="00B071C9">
        <w:rPr>
          <w:rFonts w:ascii="Times New Roman" w:hAnsi="Times New Roman" w:cs="Times New Roman"/>
          <w:noProof/>
          <w:sz w:val="24"/>
          <w:szCs w:val="24"/>
        </w:rPr>
        <w:t>).</w:t>
      </w:r>
    </w:p>
    <w:p w:rsidR="00BD13E2" w:rsidRPr="00BD13E2" w:rsidRDefault="0009763E" w:rsidP="005103FB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3E2">
        <w:rPr>
          <w:rFonts w:ascii="Times New Roman" w:hAnsi="Times New Roman" w:cs="Times New Roman"/>
          <w:sz w:val="24"/>
          <w:szCs w:val="24"/>
        </w:rPr>
        <w:t>Tekuće</w:t>
      </w:r>
      <w:r w:rsidR="00AE5C38" w:rsidRPr="00BD13E2">
        <w:rPr>
          <w:rFonts w:ascii="Times New Roman" w:hAnsi="Times New Roman" w:cs="Times New Roman"/>
          <w:sz w:val="24"/>
          <w:szCs w:val="24"/>
        </w:rPr>
        <w:t xml:space="preserve"> pomoći proračunu iz drugih proračuna</w:t>
      </w:r>
      <w:r w:rsidRPr="00BD13E2">
        <w:rPr>
          <w:rFonts w:ascii="Times New Roman" w:hAnsi="Times New Roman" w:cs="Times New Roman"/>
          <w:sz w:val="24"/>
          <w:szCs w:val="24"/>
        </w:rPr>
        <w:t xml:space="preserve"> (AOP055)</w:t>
      </w:r>
      <w:r w:rsidR="00905C21" w:rsidRPr="00BD13E2">
        <w:rPr>
          <w:rFonts w:ascii="Times New Roman" w:hAnsi="Times New Roman" w:cs="Times New Roman"/>
          <w:sz w:val="24"/>
          <w:szCs w:val="24"/>
        </w:rPr>
        <w:t xml:space="preserve"> - </w:t>
      </w:r>
      <w:r w:rsidR="00AE5C38" w:rsidRPr="00BD13E2">
        <w:rPr>
          <w:rFonts w:ascii="Times New Roman" w:hAnsi="Times New Roman" w:cs="Times New Roman"/>
          <w:sz w:val="24"/>
          <w:szCs w:val="24"/>
        </w:rPr>
        <w:t>iznos</w:t>
      </w:r>
      <w:r w:rsidRPr="00BD13E2">
        <w:rPr>
          <w:rFonts w:ascii="Times New Roman" w:hAnsi="Times New Roman" w:cs="Times New Roman"/>
          <w:sz w:val="24"/>
          <w:szCs w:val="24"/>
        </w:rPr>
        <w:t xml:space="preserve">e </w:t>
      </w:r>
      <w:r w:rsidR="00D21070">
        <w:rPr>
          <w:rFonts w:ascii="Times New Roman" w:hAnsi="Times New Roman" w:cs="Times New Roman"/>
          <w:sz w:val="24"/>
          <w:szCs w:val="24"/>
        </w:rPr>
        <w:t>4.126.897</w:t>
      </w:r>
      <w:r w:rsidRPr="00BD13E2">
        <w:rPr>
          <w:rFonts w:ascii="Times New Roman" w:hAnsi="Times New Roman" w:cs="Times New Roman"/>
          <w:sz w:val="24"/>
          <w:szCs w:val="24"/>
        </w:rPr>
        <w:t xml:space="preserve"> </w:t>
      </w:r>
      <w:r w:rsidR="00AE5C38" w:rsidRPr="00BD13E2">
        <w:rPr>
          <w:rFonts w:ascii="Times New Roman" w:hAnsi="Times New Roman" w:cs="Times New Roman"/>
          <w:sz w:val="24"/>
          <w:szCs w:val="24"/>
        </w:rPr>
        <w:t xml:space="preserve">kn od čega decentralizirana sredstava namijenjena vatrogastvu iznose </w:t>
      </w:r>
      <w:r w:rsidR="00D21070">
        <w:rPr>
          <w:rFonts w:ascii="Times New Roman" w:hAnsi="Times New Roman" w:cs="Times New Roman"/>
          <w:sz w:val="24"/>
          <w:szCs w:val="24"/>
        </w:rPr>
        <w:t>2.839.268</w:t>
      </w:r>
      <w:r w:rsidRPr="00BD13E2">
        <w:rPr>
          <w:rFonts w:ascii="Times New Roman" w:hAnsi="Times New Roman" w:cs="Times New Roman"/>
          <w:sz w:val="24"/>
          <w:szCs w:val="24"/>
        </w:rPr>
        <w:t xml:space="preserve"> kn. Čine ih:</w:t>
      </w:r>
    </w:p>
    <w:p w:rsidR="0009763E" w:rsidRPr="00BD13E2" w:rsidRDefault="00BD13E2" w:rsidP="005103FB">
      <w:pPr>
        <w:pStyle w:val="ListParagraph"/>
        <w:widowControl w:val="0"/>
        <w:numPr>
          <w:ilvl w:val="0"/>
          <w:numId w:val="35"/>
        </w:numPr>
        <w:adjustRightInd w:val="0"/>
        <w:spacing w:after="0"/>
        <w:ind w:left="1134" w:hanging="567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09763E" w:rsidRPr="00BD13E2">
        <w:rPr>
          <w:rFonts w:ascii="Times New Roman" w:hAnsi="Times New Roman" w:cs="Times New Roman"/>
          <w:sz w:val="24"/>
          <w:szCs w:val="24"/>
        </w:rPr>
        <w:t>ekuće pomoći iz državnog proračun</w:t>
      </w:r>
      <w:r w:rsidR="00905C21" w:rsidRPr="00BD13E2">
        <w:rPr>
          <w:rFonts w:ascii="Times New Roman" w:hAnsi="Times New Roman" w:cs="Times New Roman"/>
          <w:sz w:val="24"/>
          <w:szCs w:val="24"/>
        </w:rPr>
        <w:t>a</w:t>
      </w:r>
      <w:r w:rsidR="006017E0">
        <w:rPr>
          <w:rFonts w:ascii="Times New Roman" w:hAnsi="Times New Roman" w:cs="Times New Roman"/>
          <w:sz w:val="24"/>
          <w:szCs w:val="24"/>
        </w:rPr>
        <w:t xml:space="preserve"> (AOP650) - </w:t>
      </w:r>
      <w:r w:rsidR="0009763E" w:rsidRPr="00BD13E2">
        <w:rPr>
          <w:rFonts w:ascii="Times New Roman" w:hAnsi="Times New Roman" w:cs="Times New Roman"/>
          <w:sz w:val="24"/>
          <w:szCs w:val="24"/>
        </w:rPr>
        <w:t xml:space="preserve">iznose </w:t>
      </w:r>
      <w:r w:rsidR="009F0E33">
        <w:rPr>
          <w:rFonts w:ascii="Times New Roman" w:hAnsi="Times New Roman" w:cs="Times New Roman"/>
          <w:sz w:val="24"/>
          <w:szCs w:val="24"/>
        </w:rPr>
        <w:t>1.213.629</w:t>
      </w:r>
      <w:r w:rsidR="0009763E" w:rsidRPr="00BD13E2">
        <w:rPr>
          <w:rFonts w:ascii="Times New Roman" w:hAnsi="Times New Roman" w:cs="Times New Roman"/>
          <w:sz w:val="24"/>
          <w:szCs w:val="24"/>
        </w:rPr>
        <w:t xml:space="preserve"> kn, a ostvarene su </w:t>
      </w:r>
      <w:r w:rsidR="0009763E" w:rsidRPr="00BD13E2">
        <w:rPr>
          <w:rFonts w:ascii="Times New Roman" w:hAnsi="Times New Roman" w:cs="Times New Roman"/>
          <w:noProof/>
          <w:sz w:val="24"/>
          <w:szCs w:val="24"/>
        </w:rPr>
        <w:t xml:space="preserve">za uređenje plaže Hidrobaze u iznosu od </w:t>
      </w:r>
      <w:r w:rsidR="009F0E33">
        <w:rPr>
          <w:rFonts w:ascii="Times New Roman" w:hAnsi="Times New Roman" w:cs="Times New Roman"/>
          <w:noProof/>
          <w:sz w:val="24"/>
          <w:szCs w:val="24"/>
        </w:rPr>
        <w:t>680.000</w:t>
      </w:r>
      <w:r w:rsidR="0009763E" w:rsidRPr="00BD13E2">
        <w:rPr>
          <w:rFonts w:ascii="Times New Roman" w:hAnsi="Times New Roman" w:cs="Times New Roman"/>
          <w:noProof/>
          <w:sz w:val="24"/>
          <w:szCs w:val="24"/>
        </w:rPr>
        <w:t xml:space="preserve"> kn, uređenje plaža i projekt </w:t>
      </w:r>
      <w:r w:rsidR="00A82D22">
        <w:rPr>
          <w:rFonts w:ascii="Times New Roman" w:hAnsi="Times New Roman" w:cs="Times New Roman"/>
          <w:noProof/>
          <w:sz w:val="24"/>
          <w:szCs w:val="24"/>
        </w:rPr>
        <w:t>Z</w:t>
      </w:r>
      <w:r w:rsidR="00A82D22" w:rsidRPr="00BD13E2">
        <w:rPr>
          <w:rFonts w:ascii="Times New Roman" w:hAnsi="Times New Roman" w:cs="Times New Roman"/>
          <w:noProof/>
          <w:sz w:val="24"/>
          <w:szCs w:val="24"/>
        </w:rPr>
        <w:t>eleni kotači za turiste</w:t>
      </w:r>
      <w:r w:rsidR="0009763E" w:rsidRPr="00BD13E2">
        <w:rPr>
          <w:rFonts w:ascii="Times New Roman" w:hAnsi="Times New Roman" w:cs="Times New Roman"/>
          <w:noProof/>
          <w:sz w:val="24"/>
          <w:szCs w:val="24"/>
        </w:rPr>
        <w:t xml:space="preserve"> u iznosu od </w:t>
      </w:r>
      <w:r w:rsidR="009F0E33">
        <w:rPr>
          <w:rFonts w:ascii="Times New Roman" w:hAnsi="Times New Roman" w:cs="Times New Roman"/>
          <w:noProof/>
          <w:sz w:val="24"/>
          <w:szCs w:val="24"/>
        </w:rPr>
        <w:t>145.300</w:t>
      </w:r>
      <w:r w:rsidR="0009763E" w:rsidRPr="00BD13E2">
        <w:rPr>
          <w:rFonts w:ascii="Times New Roman" w:hAnsi="Times New Roman" w:cs="Times New Roman"/>
          <w:noProof/>
          <w:sz w:val="24"/>
          <w:szCs w:val="24"/>
        </w:rPr>
        <w:t xml:space="preserve"> kn, </w:t>
      </w:r>
      <w:r w:rsidR="009F0E33">
        <w:rPr>
          <w:rFonts w:ascii="Times New Roman" w:hAnsi="Times New Roman" w:cs="Times New Roman"/>
          <w:noProof/>
          <w:sz w:val="24"/>
          <w:szCs w:val="24"/>
        </w:rPr>
        <w:t>projekt</w:t>
      </w:r>
      <w:r w:rsidR="0009763E" w:rsidRPr="00BD13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82D22">
        <w:rPr>
          <w:rFonts w:ascii="Times New Roman" w:hAnsi="Times New Roman" w:cs="Times New Roman"/>
          <w:noProof/>
          <w:sz w:val="24"/>
          <w:szCs w:val="24"/>
        </w:rPr>
        <w:t>Z</w:t>
      </w:r>
      <w:r w:rsidR="00A82D22" w:rsidRPr="00BD13E2">
        <w:rPr>
          <w:rFonts w:ascii="Times New Roman" w:hAnsi="Times New Roman" w:cs="Times New Roman"/>
          <w:noProof/>
          <w:sz w:val="24"/>
          <w:szCs w:val="24"/>
        </w:rPr>
        <w:t>ajedno do znanja</w:t>
      </w:r>
      <w:r w:rsidR="0009763E" w:rsidRPr="00BD13E2">
        <w:rPr>
          <w:rFonts w:ascii="Times New Roman" w:hAnsi="Times New Roman" w:cs="Times New Roman"/>
          <w:noProof/>
          <w:sz w:val="24"/>
          <w:szCs w:val="24"/>
        </w:rPr>
        <w:t xml:space="preserve"> 2 u iznosu od </w:t>
      </w:r>
      <w:r w:rsidR="009F0E33">
        <w:rPr>
          <w:rFonts w:ascii="Times New Roman" w:hAnsi="Times New Roman" w:cs="Times New Roman"/>
          <w:noProof/>
          <w:sz w:val="24"/>
          <w:szCs w:val="24"/>
        </w:rPr>
        <w:t>279.25</w:t>
      </w:r>
      <w:r w:rsidR="006017E0">
        <w:rPr>
          <w:rFonts w:ascii="Times New Roman" w:hAnsi="Times New Roman" w:cs="Times New Roman"/>
          <w:noProof/>
          <w:sz w:val="24"/>
          <w:szCs w:val="24"/>
        </w:rPr>
        <w:t>8</w:t>
      </w:r>
      <w:r w:rsidR="009F0E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9763E" w:rsidRPr="00BD13E2">
        <w:rPr>
          <w:rFonts w:ascii="Times New Roman" w:hAnsi="Times New Roman" w:cs="Times New Roman"/>
          <w:noProof/>
          <w:sz w:val="24"/>
          <w:szCs w:val="24"/>
        </w:rPr>
        <w:t xml:space="preserve">kn, projekt SOS u iznosu od </w:t>
      </w:r>
      <w:r w:rsidR="009F0E33">
        <w:rPr>
          <w:rFonts w:ascii="Times New Roman" w:hAnsi="Times New Roman" w:cs="Times New Roman"/>
          <w:noProof/>
          <w:sz w:val="24"/>
          <w:szCs w:val="24"/>
        </w:rPr>
        <w:t>29.676</w:t>
      </w:r>
      <w:r w:rsidR="0009763E" w:rsidRPr="00BD13E2">
        <w:rPr>
          <w:rFonts w:ascii="Times New Roman" w:hAnsi="Times New Roman" w:cs="Times New Roman"/>
          <w:noProof/>
          <w:sz w:val="24"/>
          <w:szCs w:val="24"/>
        </w:rPr>
        <w:t xml:space="preserve"> kn, projekt </w:t>
      </w:r>
      <w:r w:rsidR="00A82D22">
        <w:rPr>
          <w:rFonts w:ascii="Times New Roman" w:hAnsi="Times New Roman" w:cs="Times New Roman"/>
          <w:noProof/>
          <w:sz w:val="24"/>
          <w:szCs w:val="24"/>
        </w:rPr>
        <w:t>Š</w:t>
      </w:r>
      <w:r w:rsidR="00A82D22" w:rsidRPr="00BD13E2">
        <w:rPr>
          <w:rFonts w:ascii="Times New Roman" w:hAnsi="Times New Roman" w:cs="Times New Roman"/>
          <w:noProof/>
          <w:sz w:val="24"/>
          <w:szCs w:val="24"/>
        </w:rPr>
        <w:t xml:space="preserve">kolski medni dan </w:t>
      </w:r>
      <w:r w:rsidR="0009763E" w:rsidRPr="00BD13E2">
        <w:rPr>
          <w:rFonts w:ascii="Times New Roman" w:hAnsi="Times New Roman" w:cs="Times New Roman"/>
          <w:noProof/>
          <w:sz w:val="24"/>
          <w:szCs w:val="24"/>
        </w:rPr>
        <w:t xml:space="preserve">u iznosu od </w:t>
      </w:r>
      <w:r w:rsidR="009F0E33">
        <w:rPr>
          <w:rFonts w:ascii="Times New Roman" w:hAnsi="Times New Roman" w:cs="Times New Roman"/>
          <w:noProof/>
          <w:sz w:val="24"/>
          <w:szCs w:val="24"/>
        </w:rPr>
        <w:t>14.715</w:t>
      </w:r>
      <w:r w:rsidR="0009763E" w:rsidRPr="00BD13E2">
        <w:rPr>
          <w:rFonts w:ascii="Times New Roman" w:hAnsi="Times New Roman" w:cs="Times New Roman"/>
          <w:noProof/>
          <w:sz w:val="24"/>
          <w:szCs w:val="24"/>
        </w:rPr>
        <w:t xml:space="preserve"> kn</w:t>
      </w:r>
      <w:r w:rsidR="009F0E33">
        <w:rPr>
          <w:rFonts w:ascii="Times New Roman" w:hAnsi="Times New Roman" w:cs="Times New Roman"/>
          <w:noProof/>
          <w:sz w:val="24"/>
          <w:szCs w:val="24"/>
        </w:rPr>
        <w:t xml:space="preserve">, izbore za EU parlament u iznosu od 14.680 kn </w:t>
      </w:r>
      <w:r w:rsidR="0009763E" w:rsidRPr="00BD13E2">
        <w:rPr>
          <w:rFonts w:ascii="Times New Roman" w:hAnsi="Times New Roman" w:cs="Times New Roman"/>
          <w:noProof/>
          <w:sz w:val="24"/>
          <w:szCs w:val="24"/>
        </w:rPr>
        <w:t xml:space="preserve">i projekt </w:t>
      </w:r>
      <w:r w:rsidR="009F0E33">
        <w:rPr>
          <w:rFonts w:ascii="Times New Roman" w:hAnsi="Times New Roman" w:cs="Times New Roman"/>
          <w:noProof/>
          <w:sz w:val="24"/>
          <w:szCs w:val="24"/>
        </w:rPr>
        <w:t>Izrada strategije održivosti razvoja turizma</w:t>
      </w:r>
      <w:r w:rsidR="00A82D22" w:rsidRPr="00BD13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9763E" w:rsidRPr="00BD13E2">
        <w:rPr>
          <w:rFonts w:ascii="Times New Roman" w:hAnsi="Times New Roman" w:cs="Times New Roman"/>
          <w:noProof/>
          <w:sz w:val="24"/>
          <w:szCs w:val="24"/>
        </w:rPr>
        <w:t xml:space="preserve">u iznosu od </w:t>
      </w:r>
      <w:r w:rsidR="009F0E33">
        <w:rPr>
          <w:rFonts w:ascii="Times New Roman" w:hAnsi="Times New Roman" w:cs="Times New Roman"/>
          <w:noProof/>
          <w:sz w:val="24"/>
          <w:szCs w:val="24"/>
        </w:rPr>
        <w:t>50.000</w:t>
      </w:r>
      <w:r w:rsidR="0009763E" w:rsidRPr="00BD13E2">
        <w:rPr>
          <w:rFonts w:ascii="Times New Roman" w:hAnsi="Times New Roman" w:cs="Times New Roman"/>
          <w:noProof/>
          <w:sz w:val="24"/>
          <w:szCs w:val="24"/>
        </w:rPr>
        <w:t xml:space="preserve"> kn;</w:t>
      </w:r>
    </w:p>
    <w:p w:rsidR="0009763E" w:rsidRPr="00526AD1" w:rsidRDefault="00BD13E2" w:rsidP="005103FB">
      <w:pPr>
        <w:pStyle w:val="ListParagraph"/>
        <w:widowControl w:val="0"/>
        <w:numPr>
          <w:ilvl w:val="0"/>
          <w:numId w:val="35"/>
        </w:numPr>
        <w:adjustRightInd w:val="0"/>
        <w:spacing w:after="0"/>
        <w:ind w:left="1134" w:hanging="567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9763E" w:rsidRPr="00526AD1">
        <w:rPr>
          <w:rFonts w:ascii="Times New Roman" w:hAnsi="Times New Roman" w:cs="Times New Roman"/>
          <w:sz w:val="24"/>
          <w:szCs w:val="24"/>
        </w:rPr>
        <w:t>ekuće pomoći iz županijskih proračuna</w:t>
      </w:r>
      <w:r w:rsidR="006017E0">
        <w:rPr>
          <w:rFonts w:ascii="Times New Roman" w:hAnsi="Times New Roman" w:cs="Times New Roman"/>
          <w:sz w:val="24"/>
          <w:szCs w:val="24"/>
        </w:rPr>
        <w:t xml:space="preserve"> (AOP651)</w:t>
      </w:r>
      <w:r w:rsidR="00916EB1">
        <w:rPr>
          <w:rFonts w:ascii="Times New Roman" w:hAnsi="Times New Roman" w:cs="Times New Roman"/>
          <w:sz w:val="24"/>
          <w:szCs w:val="24"/>
        </w:rPr>
        <w:t xml:space="preserve"> - </w:t>
      </w:r>
      <w:r w:rsidR="00905C21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09763E" w:rsidRPr="00526AD1">
        <w:rPr>
          <w:rFonts w:ascii="Times New Roman" w:hAnsi="Times New Roman" w:cs="Times New Roman"/>
          <w:sz w:val="24"/>
          <w:szCs w:val="24"/>
        </w:rPr>
        <w:t xml:space="preserve">iznose </w:t>
      </w:r>
      <w:r w:rsidR="006017E0">
        <w:rPr>
          <w:rFonts w:ascii="Times New Roman" w:hAnsi="Times New Roman" w:cs="Times New Roman"/>
          <w:sz w:val="24"/>
          <w:szCs w:val="24"/>
        </w:rPr>
        <w:t>74</w:t>
      </w:r>
      <w:r w:rsidR="009F0E33">
        <w:rPr>
          <w:rFonts w:ascii="Times New Roman" w:hAnsi="Times New Roman" w:cs="Times New Roman"/>
          <w:sz w:val="24"/>
          <w:szCs w:val="24"/>
        </w:rPr>
        <w:t>.</w:t>
      </w:r>
      <w:r w:rsidR="006017E0">
        <w:rPr>
          <w:rFonts w:ascii="Times New Roman" w:hAnsi="Times New Roman" w:cs="Times New Roman"/>
          <w:sz w:val="24"/>
          <w:szCs w:val="24"/>
        </w:rPr>
        <w:t>0</w:t>
      </w:r>
      <w:r w:rsidR="009F0E33">
        <w:rPr>
          <w:rFonts w:ascii="Times New Roman" w:hAnsi="Times New Roman" w:cs="Times New Roman"/>
          <w:sz w:val="24"/>
          <w:szCs w:val="24"/>
        </w:rPr>
        <w:t>00</w:t>
      </w:r>
      <w:r w:rsidR="0009763E" w:rsidRPr="00526AD1">
        <w:rPr>
          <w:rFonts w:ascii="Times New Roman" w:hAnsi="Times New Roman" w:cs="Times New Roman"/>
          <w:sz w:val="24"/>
          <w:szCs w:val="24"/>
        </w:rPr>
        <w:t xml:space="preserve"> kn, a ostvarene su za </w:t>
      </w:r>
      <w:r w:rsidR="009F0E33">
        <w:rPr>
          <w:rFonts w:ascii="Times New Roman" w:hAnsi="Times New Roman" w:cs="Times New Roman"/>
          <w:noProof/>
          <w:sz w:val="24"/>
          <w:szCs w:val="24"/>
        </w:rPr>
        <w:t>izbore za Vijeća nacionalnih manjina u iznosu od 4.000 kn te izgradnju skloništa za životinje u iznosu od 70.000 kn;</w:t>
      </w:r>
    </w:p>
    <w:p w:rsidR="00905C21" w:rsidRPr="009F0E33" w:rsidRDefault="00BD13E2" w:rsidP="005103FB">
      <w:pPr>
        <w:pStyle w:val="ListParagraph"/>
        <w:widowControl w:val="0"/>
        <w:numPr>
          <w:ilvl w:val="0"/>
          <w:numId w:val="35"/>
        </w:numPr>
        <w:adjustRightInd w:val="0"/>
        <w:spacing w:after="0"/>
        <w:ind w:left="1134" w:hanging="567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9F0E33">
        <w:rPr>
          <w:rFonts w:ascii="Times New Roman" w:hAnsi="Times New Roman" w:cs="Times New Roman"/>
          <w:noProof/>
          <w:sz w:val="24"/>
          <w:szCs w:val="24"/>
        </w:rPr>
        <w:t>T</w:t>
      </w:r>
      <w:r w:rsidR="0009763E" w:rsidRPr="009F0E33">
        <w:rPr>
          <w:rFonts w:ascii="Times New Roman" w:hAnsi="Times New Roman" w:cs="Times New Roman"/>
          <w:noProof/>
          <w:sz w:val="24"/>
          <w:szCs w:val="24"/>
        </w:rPr>
        <w:t>ekuće pomoći iz gradskih proračuna</w:t>
      </w:r>
      <w:r w:rsidR="006017E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017E0">
        <w:rPr>
          <w:rFonts w:ascii="Times New Roman" w:hAnsi="Times New Roman" w:cs="Times New Roman"/>
          <w:sz w:val="24"/>
          <w:szCs w:val="24"/>
        </w:rPr>
        <w:t xml:space="preserve">(AOP652) - </w:t>
      </w:r>
      <w:r w:rsidR="0009763E" w:rsidRPr="009F0E33">
        <w:rPr>
          <w:rFonts w:ascii="Times New Roman" w:hAnsi="Times New Roman" w:cs="Times New Roman"/>
          <w:noProof/>
          <w:sz w:val="24"/>
          <w:szCs w:val="24"/>
        </w:rPr>
        <w:t xml:space="preserve">iznose </w:t>
      </w:r>
      <w:r w:rsidR="009F0E33" w:rsidRPr="009F0E33">
        <w:rPr>
          <w:rFonts w:ascii="Times New Roman" w:hAnsi="Times New Roman" w:cs="Times New Roman"/>
          <w:noProof/>
          <w:sz w:val="24"/>
          <w:szCs w:val="24"/>
        </w:rPr>
        <w:t>593.798</w:t>
      </w:r>
      <w:r w:rsidR="0009763E" w:rsidRPr="009F0E33">
        <w:rPr>
          <w:rFonts w:ascii="Times New Roman" w:hAnsi="Times New Roman" w:cs="Times New Roman"/>
          <w:noProof/>
          <w:sz w:val="24"/>
          <w:szCs w:val="24"/>
        </w:rPr>
        <w:t xml:space="preserve"> kn</w:t>
      </w:r>
      <w:r w:rsidR="006017E0">
        <w:rPr>
          <w:rFonts w:ascii="Times New Roman" w:hAnsi="Times New Roman" w:cs="Times New Roman"/>
          <w:noProof/>
          <w:sz w:val="24"/>
          <w:szCs w:val="24"/>
        </w:rPr>
        <w:t xml:space="preserve"> i u cijelosti čine</w:t>
      </w:r>
      <w:r w:rsidR="0009763E" w:rsidRPr="009F0E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9763E" w:rsidRPr="009F0E33">
        <w:rPr>
          <w:rFonts w:ascii="Times New Roman" w:hAnsi="Times New Roman" w:cs="Times New Roman"/>
          <w:sz w:val="24"/>
          <w:szCs w:val="24"/>
        </w:rPr>
        <w:t>decentralizirana sredstava namijenjena vatrogastvu</w:t>
      </w:r>
      <w:r w:rsidR="009F0E33">
        <w:rPr>
          <w:rFonts w:ascii="Times New Roman" w:hAnsi="Times New Roman" w:cs="Times New Roman"/>
          <w:sz w:val="24"/>
          <w:szCs w:val="24"/>
        </w:rPr>
        <w:t>;</w:t>
      </w:r>
    </w:p>
    <w:p w:rsidR="00E36B81" w:rsidRPr="00526AD1" w:rsidRDefault="00BD13E2" w:rsidP="005103FB">
      <w:pPr>
        <w:pStyle w:val="ListParagraph"/>
        <w:widowControl w:val="0"/>
        <w:numPr>
          <w:ilvl w:val="0"/>
          <w:numId w:val="35"/>
        </w:numPr>
        <w:adjustRightInd w:val="0"/>
        <w:spacing w:after="0"/>
        <w:ind w:left="1134" w:hanging="567"/>
        <w:jc w:val="both"/>
        <w:textAlignment w:val="baseline"/>
        <w:rPr>
          <w:noProof/>
          <w:szCs w:val="24"/>
        </w:rPr>
      </w:pPr>
      <w:r w:rsidRPr="009F0E33">
        <w:rPr>
          <w:rFonts w:ascii="Times New Roman" w:hAnsi="Times New Roman" w:cs="Times New Roman"/>
          <w:noProof/>
          <w:sz w:val="24"/>
          <w:szCs w:val="24"/>
        </w:rPr>
        <w:t>T</w:t>
      </w:r>
      <w:r w:rsidR="00556965" w:rsidRPr="009F0E33">
        <w:rPr>
          <w:rFonts w:ascii="Times New Roman" w:hAnsi="Times New Roman" w:cs="Times New Roman"/>
          <w:noProof/>
          <w:sz w:val="24"/>
          <w:szCs w:val="24"/>
        </w:rPr>
        <w:t>ekuće pomoći iz općinskih proračuna</w:t>
      </w:r>
      <w:r w:rsidR="006017E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017E0">
        <w:rPr>
          <w:rFonts w:ascii="Times New Roman" w:hAnsi="Times New Roman" w:cs="Times New Roman"/>
          <w:sz w:val="24"/>
          <w:szCs w:val="24"/>
        </w:rPr>
        <w:t xml:space="preserve">(AOP653) </w:t>
      </w:r>
      <w:r w:rsidR="00905C21" w:rsidRPr="009F0E33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556965" w:rsidRPr="009F0E33">
        <w:rPr>
          <w:rFonts w:ascii="Times New Roman" w:hAnsi="Times New Roman" w:cs="Times New Roman"/>
          <w:noProof/>
          <w:sz w:val="24"/>
          <w:szCs w:val="24"/>
        </w:rPr>
        <w:t>iznose 2.</w:t>
      </w:r>
      <w:r w:rsidR="009F0E33">
        <w:rPr>
          <w:rFonts w:ascii="Times New Roman" w:hAnsi="Times New Roman" w:cs="Times New Roman"/>
          <w:noProof/>
          <w:sz w:val="24"/>
          <w:szCs w:val="24"/>
        </w:rPr>
        <w:t>245.470</w:t>
      </w:r>
      <w:r w:rsidR="00BC58A1">
        <w:rPr>
          <w:rFonts w:ascii="Times New Roman" w:hAnsi="Times New Roman" w:cs="Times New Roman"/>
          <w:noProof/>
          <w:sz w:val="24"/>
          <w:szCs w:val="24"/>
        </w:rPr>
        <w:t xml:space="preserve"> kn </w:t>
      </w:r>
      <w:r w:rsidR="006017E0">
        <w:rPr>
          <w:rFonts w:ascii="Times New Roman" w:hAnsi="Times New Roman" w:cs="Times New Roman"/>
          <w:noProof/>
          <w:sz w:val="24"/>
          <w:szCs w:val="24"/>
        </w:rPr>
        <w:t>i u cijelosti čine</w:t>
      </w:r>
      <w:r w:rsidR="006017E0" w:rsidRPr="009F0E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56965" w:rsidRPr="009F0E33">
        <w:rPr>
          <w:rFonts w:ascii="Times New Roman" w:hAnsi="Times New Roman" w:cs="Times New Roman"/>
          <w:sz w:val="24"/>
          <w:szCs w:val="24"/>
        </w:rPr>
        <w:t>decentralizirana sredstava namijenjena vatrogastvu</w:t>
      </w:r>
      <w:r w:rsidR="00916EB1">
        <w:rPr>
          <w:rFonts w:ascii="Times New Roman" w:hAnsi="Times New Roman" w:cs="Times New Roman"/>
          <w:sz w:val="24"/>
          <w:szCs w:val="24"/>
        </w:rPr>
        <w:t>.</w:t>
      </w:r>
    </w:p>
    <w:p w:rsidR="0095249B" w:rsidRDefault="0095249B" w:rsidP="00952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49B" w:rsidRPr="0095249B" w:rsidRDefault="0095249B" w:rsidP="00952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CB1" w:rsidRPr="00526AD1" w:rsidRDefault="00410CB1" w:rsidP="0095249B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82510C">
        <w:rPr>
          <w:rFonts w:ascii="Times New Roman" w:hAnsi="Times New Roman" w:cs="Times New Roman"/>
          <w:b/>
        </w:rPr>
        <w:t>BILJEŠKA br. 5.</w:t>
      </w:r>
    </w:p>
    <w:p w:rsidR="00410CB1" w:rsidRPr="00526AD1" w:rsidRDefault="00410CB1" w:rsidP="00410CB1">
      <w:pPr>
        <w:pStyle w:val="Style20"/>
        <w:widowControl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</w:rPr>
      </w:pPr>
    </w:p>
    <w:p w:rsidR="00410CB1" w:rsidRPr="00526AD1" w:rsidRDefault="00410CB1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526AD1">
        <w:rPr>
          <w:rFonts w:ascii="Times New Roman" w:hAnsi="Times New Roman" w:cs="Times New Roman"/>
        </w:rPr>
        <w:t>Tekuće pomoći izravnanja za decentralizirane funkcije (AOP061) - ostvarene su u iznosu od 9.</w:t>
      </w:r>
      <w:r w:rsidR="001747A6">
        <w:rPr>
          <w:rFonts w:ascii="Times New Roman" w:hAnsi="Times New Roman" w:cs="Times New Roman"/>
        </w:rPr>
        <w:t>310.493</w:t>
      </w:r>
      <w:r w:rsidRPr="00526AD1">
        <w:rPr>
          <w:rFonts w:ascii="Times New Roman" w:hAnsi="Times New Roman" w:cs="Times New Roman"/>
        </w:rPr>
        <w:t xml:space="preserve"> kn od čega se na osnovno školstvo odnosi iznos od </w:t>
      </w:r>
      <w:r w:rsidR="001747A6">
        <w:rPr>
          <w:rFonts w:ascii="Times New Roman" w:hAnsi="Times New Roman" w:cs="Times New Roman"/>
        </w:rPr>
        <w:t>4.907.096</w:t>
      </w:r>
      <w:r w:rsidRPr="00526AD1">
        <w:rPr>
          <w:rFonts w:ascii="Times New Roman" w:hAnsi="Times New Roman" w:cs="Times New Roman"/>
        </w:rPr>
        <w:t xml:space="preserve"> kn, a na vatrogastvo iznos od </w:t>
      </w:r>
      <w:r w:rsidR="001747A6">
        <w:rPr>
          <w:rFonts w:ascii="Times New Roman" w:hAnsi="Times New Roman" w:cs="Times New Roman"/>
        </w:rPr>
        <w:t xml:space="preserve">4.382.789 </w:t>
      </w:r>
      <w:r w:rsidRPr="00526AD1">
        <w:rPr>
          <w:rFonts w:ascii="Times New Roman" w:hAnsi="Times New Roman" w:cs="Times New Roman"/>
        </w:rPr>
        <w:t xml:space="preserve"> kn. Razlika od </w:t>
      </w:r>
      <w:r w:rsidR="001747A6">
        <w:rPr>
          <w:rFonts w:ascii="Times New Roman" w:hAnsi="Times New Roman" w:cs="Times New Roman"/>
        </w:rPr>
        <w:t>20.608</w:t>
      </w:r>
      <w:r w:rsidRPr="00526AD1">
        <w:rPr>
          <w:rFonts w:ascii="Times New Roman" w:hAnsi="Times New Roman" w:cs="Times New Roman"/>
        </w:rPr>
        <w:t xml:space="preserve"> kn odnosi se na manje doznačeno</w:t>
      </w:r>
      <w:r w:rsidR="00C702D5">
        <w:rPr>
          <w:rFonts w:ascii="Times New Roman" w:hAnsi="Times New Roman" w:cs="Times New Roman"/>
        </w:rPr>
        <w:t xml:space="preserve"> za vatrogastvo</w:t>
      </w:r>
      <w:r w:rsidRPr="00526AD1">
        <w:rPr>
          <w:rFonts w:ascii="Times New Roman" w:hAnsi="Times New Roman" w:cs="Times New Roman"/>
        </w:rPr>
        <w:t xml:space="preserve"> po obračunu u </w:t>
      </w:r>
      <w:r w:rsidR="00685BE8">
        <w:rPr>
          <w:rFonts w:ascii="Times New Roman" w:hAnsi="Times New Roman" w:cs="Times New Roman"/>
        </w:rPr>
        <w:t>201</w:t>
      </w:r>
      <w:r w:rsidR="001747A6">
        <w:rPr>
          <w:rFonts w:ascii="Times New Roman" w:hAnsi="Times New Roman" w:cs="Times New Roman"/>
        </w:rPr>
        <w:t>8</w:t>
      </w:r>
      <w:r w:rsidR="00685BE8">
        <w:rPr>
          <w:rFonts w:ascii="Times New Roman" w:hAnsi="Times New Roman" w:cs="Times New Roman"/>
        </w:rPr>
        <w:t>.</w:t>
      </w:r>
      <w:r w:rsidRPr="00526AD1">
        <w:rPr>
          <w:rFonts w:ascii="Times New Roman" w:hAnsi="Times New Roman" w:cs="Times New Roman"/>
        </w:rPr>
        <w:t xml:space="preserve"> godini te je u </w:t>
      </w:r>
      <w:r w:rsidR="003C20C6">
        <w:rPr>
          <w:rFonts w:ascii="Times New Roman" w:hAnsi="Times New Roman" w:cs="Times New Roman"/>
        </w:rPr>
        <w:t>2019.</w:t>
      </w:r>
      <w:r w:rsidRPr="00526AD1">
        <w:rPr>
          <w:rFonts w:ascii="Times New Roman" w:hAnsi="Times New Roman" w:cs="Times New Roman"/>
        </w:rPr>
        <w:t xml:space="preserve"> godini prihod knjižen u korist Grada.</w:t>
      </w:r>
    </w:p>
    <w:p w:rsidR="00E95A49" w:rsidRPr="00526AD1" w:rsidRDefault="00E95A49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A42A89" w:rsidRDefault="00A42A89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410CB1" w:rsidRPr="00526AD1" w:rsidRDefault="00410CB1" w:rsidP="0095249B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82510C">
        <w:rPr>
          <w:rFonts w:ascii="Times New Roman" w:hAnsi="Times New Roman" w:cs="Times New Roman"/>
          <w:b/>
        </w:rPr>
        <w:t>BILJEŠKA br. 6.</w:t>
      </w:r>
    </w:p>
    <w:p w:rsidR="00410CB1" w:rsidRPr="00526AD1" w:rsidRDefault="00410CB1" w:rsidP="0095249B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410CB1" w:rsidRPr="00526AD1" w:rsidRDefault="00410CB1" w:rsidP="0095249B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526AD1">
        <w:rPr>
          <w:rFonts w:ascii="Times New Roman" w:hAnsi="Times New Roman" w:cs="Times New Roman"/>
        </w:rPr>
        <w:t>Kapitalne pomoći izravnanja za decentralizirane funkcije (AOP062) - ostvarene su u iznosu od 1.</w:t>
      </w:r>
      <w:r w:rsidR="00525C15">
        <w:rPr>
          <w:rFonts w:ascii="Times New Roman" w:hAnsi="Times New Roman" w:cs="Times New Roman"/>
        </w:rPr>
        <w:t>736.708</w:t>
      </w:r>
      <w:r w:rsidRPr="00526AD1">
        <w:rPr>
          <w:rFonts w:ascii="Times New Roman" w:hAnsi="Times New Roman" w:cs="Times New Roman"/>
        </w:rPr>
        <w:t xml:space="preserve"> kn </w:t>
      </w:r>
      <w:r w:rsidR="00A42A89">
        <w:rPr>
          <w:rFonts w:ascii="Times New Roman" w:hAnsi="Times New Roman" w:cs="Times New Roman"/>
        </w:rPr>
        <w:t>i</w:t>
      </w:r>
      <w:r w:rsidRPr="00526AD1">
        <w:rPr>
          <w:rFonts w:ascii="Times New Roman" w:hAnsi="Times New Roman" w:cs="Times New Roman"/>
        </w:rPr>
        <w:t xml:space="preserve"> cjelokupan iznos </w:t>
      </w:r>
      <w:r w:rsidR="0082510C">
        <w:rPr>
          <w:rFonts w:ascii="Times New Roman" w:hAnsi="Times New Roman" w:cs="Times New Roman"/>
        </w:rPr>
        <w:t>namijenjen je</w:t>
      </w:r>
      <w:r w:rsidRPr="00526AD1">
        <w:rPr>
          <w:rFonts w:ascii="Times New Roman" w:hAnsi="Times New Roman" w:cs="Times New Roman"/>
        </w:rPr>
        <w:t xml:space="preserve"> osnovno</w:t>
      </w:r>
      <w:r w:rsidR="0082510C">
        <w:rPr>
          <w:rFonts w:ascii="Times New Roman" w:hAnsi="Times New Roman" w:cs="Times New Roman"/>
        </w:rPr>
        <w:t>m školstvu</w:t>
      </w:r>
      <w:r w:rsidRPr="00526AD1">
        <w:rPr>
          <w:rFonts w:ascii="Times New Roman" w:hAnsi="Times New Roman" w:cs="Times New Roman"/>
        </w:rPr>
        <w:t>.</w:t>
      </w:r>
    </w:p>
    <w:p w:rsidR="00AD4724" w:rsidRDefault="00AD4724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95249B" w:rsidRPr="00526AD1" w:rsidRDefault="0095249B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AD4724" w:rsidRDefault="00AD4724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B2B53">
        <w:rPr>
          <w:rFonts w:ascii="Times New Roman" w:hAnsi="Times New Roman" w:cs="Times New Roman"/>
          <w:b/>
        </w:rPr>
        <w:t>BILJEŠKA br. 7.</w:t>
      </w:r>
    </w:p>
    <w:p w:rsidR="0095249B" w:rsidRPr="00526AD1" w:rsidRDefault="0095249B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4059A7" w:rsidRPr="00526AD1" w:rsidRDefault="004059A7" w:rsidP="0052542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b/>
          <w:sz w:val="24"/>
          <w:szCs w:val="24"/>
        </w:rPr>
        <w:t>Prihodi od imovine (AOP07</w:t>
      </w:r>
      <w:r w:rsidR="003A7BA0" w:rsidRPr="00526AD1">
        <w:rPr>
          <w:rFonts w:ascii="Times New Roman" w:hAnsi="Times New Roman" w:cs="Times New Roman"/>
          <w:b/>
          <w:sz w:val="24"/>
          <w:szCs w:val="24"/>
        </w:rPr>
        <w:t>4</w:t>
      </w:r>
      <w:r w:rsidRPr="00526AD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B2B53">
        <w:rPr>
          <w:rFonts w:ascii="Times New Roman" w:hAnsi="Times New Roman" w:cs="Times New Roman"/>
          <w:b/>
          <w:sz w:val="24"/>
          <w:szCs w:val="24"/>
        </w:rPr>
        <w:t>-</w:t>
      </w:r>
      <w:r w:rsidRPr="00526AD1">
        <w:rPr>
          <w:rFonts w:ascii="Times New Roman" w:hAnsi="Times New Roman" w:cs="Times New Roman"/>
          <w:sz w:val="24"/>
          <w:szCs w:val="24"/>
        </w:rPr>
        <w:t xml:space="preserve"> iznose </w:t>
      </w:r>
      <w:r w:rsidR="00427233">
        <w:rPr>
          <w:rFonts w:ascii="Times New Roman" w:hAnsi="Times New Roman" w:cs="Times New Roman"/>
          <w:sz w:val="24"/>
          <w:szCs w:val="24"/>
        </w:rPr>
        <w:t>29.400.572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 i ostvareni su za </w:t>
      </w:r>
      <w:r w:rsidR="00427233">
        <w:rPr>
          <w:rFonts w:ascii="Times New Roman" w:hAnsi="Times New Roman" w:cs="Times New Roman"/>
          <w:sz w:val="24"/>
          <w:szCs w:val="24"/>
        </w:rPr>
        <w:t>7,2</w:t>
      </w:r>
      <w:r w:rsidRPr="00526AD1">
        <w:rPr>
          <w:rFonts w:ascii="Times New Roman" w:hAnsi="Times New Roman" w:cs="Times New Roman"/>
          <w:sz w:val="24"/>
          <w:szCs w:val="24"/>
        </w:rPr>
        <w:t>%</w:t>
      </w:r>
      <w:r w:rsidR="00427233">
        <w:rPr>
          <w:rFonts w:ascii="Times New Roman" w:hAnsi="Times New Roman" w:cs="Times New Roman"/>
          <w:sz w:val="24"/>
          <w:szCs w:val="24"/>
        </w:rPr>
        <w:t xml:space="preserve"> ili 2.277.144 kn</w:t>
      </w:r>
      <w:r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427233">
        <w:rPr>
          <w:rFonts w:ascii="Times New Roman" w:hAnsi="Times New Roman" w:cs="Times New Roman"/>
          <w:sz w:val="24"/>
          <w:szCs w:val="24"/>
        </w:rPr>
        <w:t>manje</w:t>
      </w:r>
      <w:r w:rsidRPr="00526AD1">
        <w:rPr>
          <w:rFonts w:ascii="Times New Roman" w:hAnsi="Times New Roman" w:cs="Times New Roman"/>
          <w:sz w:val="24"/>
          <w:szCs w:val="24"/>
        </w:rPr>
        <w:t xml:space="preserve"> nego u </w:t>
      </w:r>
      <w:r w:rsidR="00685BE8">
        <w:rPr>
          <w:rFonts w:ascii="Times New Roman" w:hAnsi="Times New Roman" w:cs="Times New Roman"/>
          <w:sz w:val="24"/>
          <w:szCs w:val="24"/>
        </w:rPr>
        <w:t>2018.</w:t>
      </w:r>
      <w:r w:rsidRPr="00526AD1">
        <w:rPr>
          <w:rFonts w:ascii="Times New Roman" w:hAnsi="Times New Roman" w:cs="Times New Roman"/>
          <w:sz w:val="24"/>
          <w:szCs w:val="24"/>
        </w:rPr>
        <w:t xml:space="preserve"> godini u istom razdoblju izvještavanja. </w:t>
      </w:r>
      <w:r w:rsidR="00F6680A" w:rsidRPr="00526AD1">
        <w:rPr>
          <w:rFonts w:ascii="Times New Roman" w:hAnsi="Times New Roman" w:cs="Times New Roman"/>
          <w:sz w:val="24"/>
          <w:szCs w:val="24"/>
        </w:rPr>
        <w:t>Navedene prihode čin</w:t>
      </w:r>
      <w:r w:rsidR="00AF6E2E" w:rsidRPr="00526AD1">
        <w:rPr>
          <w:rFonts w:ascii="Times New Roman" w:hAnsi="Times New Roman" w:cs="Times New Roman"/>
          <w:sz w:val="24"/>
          <w:szCs w:val="24"/>
        </w:rPr>
        <w:t>e</w:t>
      </w:r>
      <w:r w:rsidRPr="00526AD1">
        <w:rPr>
          <w:rFonts w:ascii="Times New Roman" w:hAnsi="Times New Roman" w:cs="Times New Roman"/>
          <w:sz w:val="24"/>
          <w:szCs w:val="24"/>
        </w:rPr>
        <w:t>:</w:t>
      </w:r>
      <w:r w:rsidR="00AD4724" w:rsidRPr="00526AD1">
        <w:rPr>
          <w:rFonts w:ascii="Times New Roman" w:hAnsi="Times New Roman" w:cs="Times New Roman"/>
          <w:sz w:val="24"/>
          <w:szCs w:val="24"/>
        </w:rPr>
        <w:t xml:space="preserve"> Prihodi od financijske imovine (AOP075) ostvareni u iznosu od </w:t>
      </w:r>
      <w:r w:rsidR="00427233">
        <w:rPr>
          <w:rFonts w:ascii="Times New Roman" w:hAnsi="Times New Roman" w:cs="Times New Roman"/>
          <w:sz w:val="24"/>
          <w:szCs w:val="24"/>
        </w:rPr>
        <w:t>582.741</w:t>
      </w:r>
      <w:r w:rsidR="00AD4724" w:rsidRPr="00526AD1">
        <w:rPr>
          <w:rFonts w:ascii="Times New Roman" w:hAnsi="Times New Roman" w:cs="Times New Roman"/>
          <w:sz w:val="24"/>
          <w:szCs w:val="24"/>
        </w:rPr>
        <w:t xml:space="preserve"> kn i Prihodi od nefinancijske imovine (AOP083) ostvareni u iznosu od  </w:t>
      </w:r>
      <w:r w:rsidR="00427233">
        <w:rPr>
          <w:rFonts w:ascii="Times New Roman" w:hAnsi="Times New Roman" w:cs="Times New Roman"/>
          <w:sz w:val="24"/>
          <w:szCs w:val="24"/>
        </w:rPr>
        <w:t>28.817.831</w:t>
      </w:r>
      <w:r w:rsidR="00AD4724" w:rsidRPr="00526AD1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AD4724" w:rsidRDefault="00AD4724" w:rsidP="0052542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249B" w:rsidRPr="00526AD1" w:rsidRDefault="0095249B" w:rsidP="00EB2B53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4724" w:rsidRDefault="00AD4724" w:rsidP="00EB2B53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B2B53">
        <w:rPr>
          <w:rFonts w:ascii="Times New Roman" w:hAnsi="Times New Roman" w:cs="Times New Roman"/>
          <w:b/>
        </w:rPr>
        <w:t xml:space="preserve">BILJEŠKA br. </w:t>
      </w:r>
      <w:r w:rsidR="009A766F" w:rsidRPr="00EB2B53">
        <w:rPr>
          <w:rFonts w:ascii="Times New Roman" w:hAnsi="Times New Roman" w:cs="Times New Roman"/>
          <w:b/>
        </w:rPr>
        <w:t>8</w:t>
      </w:r>
      <w:r w:rsidRPr="00EB2B53">
        <w:rPr>
          <w:rFonts w:ascii="Times New Roman" w:hAnsi="Times New Roman" w:cs="Times New Roman"/>
          <w:b/>
        </w:rPr>
        <w:t>.</w:t>
      </w:r>
    </w:p>
    <w:p w:rsidR="0095249B" w:rsidRPr="00526AD1" w:rsidRDefault="0095249B" w:rsidP="00EB2B53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AD4724" w:rsidRDefault="00AD4724" w:rsidP="00EB2B53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Prihodi od financijske imovine</w:t>
      </w:r>
      <w:r w:rsidR="009A766F" w:rsidRPr="00526AD1">
        <w:rPr>
          <w:rFonts w:ascii="Times New Roman" w:hAnsi="Times New Roman" w:cs="Times New Roman"/>
          <w:sz w:val="24"/>
          <w:szCs w:val="24"/>
        </w:rPr>
        <w:t xml:space="preserve"> (AOP075)</w:t>
      </w:r>
      <w:r w:rsidR="00EB2B53">
        <w:rPr>
          <w:rFonts w:ascii="Times New Roman" w:hAnsi="Times New Roman" w:cs="Times New Roman"/>
          <w:sz w:val="24"/>
          <w:szCs w:val="24"/>
        </w:rPr>
        <w:t xml:space="preserve"> -</w:t>
      </w:r>
      <w:r w:rsidRPr="00526AD1">
        <w:rPr>
          <w:rFonts w:ascii="Times New Roman" w:hAnsi="Times New Roman" w:cs="Times New Roman"/>
          <w:sz w:val="24"/>
          <w:szCs w:val="24"/>
        </w:rPr>
        <w:t xml:space="preserve"> bilježe</w:t>
      </w:r>
      <w:r w:rsidR="00163EBB">
        <w:rPr>
          <w:rFonts w:ascii="Times New Roman" w:hAnsi="Times New Roman" w:cs="Times New Roman"/>
          <w:sz w:val="24"/>
          <w:szCs w:val="24"/>
        </w:rPr>
        <w:t xml:space="preserve"> povećanje</w:t>
      </w:r>
      <w:r w:rsidR="006A577E">
        <w:rPr>
          <w:rFonts w:ascii="Times New Roman" w:hAnsi="Times New Roman" w:cs="Times New Roman"/>
          <w:sz w:val="24"/>
          <w:szCs w:val="24"/>
        </w:rPr>
        <w:t xml:space="preserve"> za</w:t>
      </w:r>
      <w:r w:rsidR="00163EBB">
        <w:rPr>
          <w:rFonts w:ascii="Times New Roman" w:hAnsi="Times New Roman" w:cs="Times New Roman"/>
          <w:sz w:val="24"/>
          <w:szCs w:val="24"/>
        </w:rPr>
        <w:t xml:space="preserve"> 55,4% ili</w:t>
      </w:r>
      <w:r w:rsidR="009A766F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163EBB">
        <w:rPr>
          <w:rFonts w:ascii="Times New Roman" w:hAnsi="Times New Roman" w:cs="Times New Roman"/>
          <w:sz w:val="24"/>
          <w:szCs w:val="24"/>
        </w:rPr>
        <w:t>207.659</w:t>
      </w:r>
      <w:r w:rsidR="009A766F" w:rsidRPr="00526AD1">
        <w:rPr>
          <w:rFonts w:ascii="Times New Roman" w:hAnsi="Times New Roman" w:cs="Times New Roman"/>
          <w:sz w:val="24"/>
          <w:szCs w:val="24"/>
        </w:rPr>
        <w:t xml:space="preserve"> kn</w:t>
      </w:r>
      <w:r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9A766F" w:rsidRPr="00526AD1">
        <w:rPr>
          <w:rFonts w:ascii="Times New Roman" w:hAnsi="Times New Roman" w:cs="Times New Roman"/>
          <w:sz w:val="24"/>
          <w:szCs w:val="24"/>
        </w:rPr>
        <w:t xml:space="preserve">i iznose </w:t>
      </w:r>
      <w:r w:rsidR="00163EBB">
        <w:rPr>
          <w:rFonts w:ascii="Times New Roman" w:hAnsi="Times New Roman" w:cs="Times New Roman"/>
          <w:sz w:val="24"/>
          <w:szCs w:val="24"/>
        </w:rPr>
        <w:t>582.741</w:t>
      </w:r>
      <w:r w:rsidR="009A766F" w:rsidRPr="00526AD1">
        <w:rPr>
          <w:rFonts w:ascii="Times New Roman" w:hAnsi="Times New Roman" w:cs="Times New Roman"/>
          <w:sz w:val="24"/>
          <w:szCs w:val="24"/>
        </w:rPr>
        <w:t xml:space="preserve"> kn.</w:t>
      </w:r>
      <w:r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9A766F" w:rsidRPr="00526AD1">
        <w:rPr>
          <w:rFonts w:ascii="Times New Roman" w:hAnsi="Times New Roman" w:cs="Times New Roman"/>
          <w:sz w:val="24"/>
          <w:szCs w:val="24"/>
        </w:rPr>
        <w:t xml:space="preserve">Najznačajnije </w:t>
      </w:r>
      <w:r w:rsidR="00163EBB">
        <w:rPr>
          <w:rFonts w:ascii="Times New Roman" w:hAnsi="Times New Roman" w:cs="Times New Roman"/>
          <w:sz w:val="24"/>
          <w:szCs w:val="24"/>
        </w:rPr>
        <w:t>povećanje</w:t>
      </w:r>
      <w:r w:rsidR="009A766F" w:rsidRPr="00526AD1">
        <w:rPr>
          <w:rFonts w:ascii="Times New Roman" w:hAnsi="Times New Roman" w:cs="Times New Roman"/>
          <w:sz w:val="24"/>
          <w:szCs w:val="24"/>
        </w:rPr>
        <w:t xml:space="preserve"> u postotnom iznosu zabilježeno je kod </w:t>
      </w:r>
      <w:r w:rsidRPr="00526AD1">
        <w:rPr>
          <w:rFonts w:ascii="Times New Roman" w:hAnsi="Times New Roman" w:cs="Times New Roman"/>
          <w:sz w:val="24"/>
          <w:szCs w:val="24"/>
        </w:rPr>
        <w:t xml:space="preserve">Prihodi od </w:t>
      </w:r>
      <w:r w:rsidR="00163EBB">
        <w:rPr>
          <w:rFonts w:ascii="Times New Roman" w:hAnsi="Times New Roman" w:cs="Times New Roman"/>
          <w:sz w:val="24"/>
          <w:szCs w:val="24"/>
        </w:rPr>
        <w:t>dividendi (AOP080</w:t>
      </w:r>
      <w:r w:rsidR="00A42A89">
        <w:rPr>
          <w:rFonts w:ascii="Times New Roman" w:hAnsi="Times New Roman" w:cs="Times New Roman"/>
          <w:sz w:val="24"/>
          <w:szCs w:val="24"/>
        </w:rPr>
        <w:t>)</w:t>
      </w:r>
      <w:r w:rsidR="00163EBB">
        <w:rPr>
          <w:rFonts w:ascii="Times New Roman" w:hAnsi="Times New Roman" w:cs="Times New Roman"/>
          <w:sz w:val="24"/>
          <w:szCs w:val="24"/>
        </w:rPr>
        <w:t xml:space="preserve">, </w:t>
      </w:r>
      <w:r w:rsidRPr="00526AD1">
        <w:rPr>
          <w:rFonts w:ascii="Times New Roman" w:hAnsi="Times New Roman" w:cs="Times New Roman"/>
          <w:sz w:val="24"/>
          <w:szCs w:val="24"/>
        </w:rPr>
        <w:t xml:space="preserve">za </w:t>
      </w:r>
      <w:r w:rsidR="00163EBB">
        <w:rPr>
          <w:rFonts w:ascii="Times New Roman" w:hAnsi="Times New Roman" w:cs="Times New Roman"/>
          <w:sz w:val="24"/>
          <w:szCs w:val="24"/>
        </w:rPr>
        <w:t>121,0</w:t>
      </w:r>
      <w:r w:rsidR="00A42A89">
        <w:rPr>
          <w:rFonts w:ascii="Times New Roman" w:hAnsi="Times New Roman" w:cs="Times New Roman"/>
          <w:sz w:val="24"/>
          <w:szCs w:val="24"/>
        </w:rPr>
        <w:t>%, međutim u novčanom iznosu</w:t>
      </w:r>
      <w:r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163EBB">
        <w:rPr>
          <w:rFonts w:ascii="Times New Roman" w:hAnsi="Times New Roman" w:cs="Times New Roman"/>
          <w:sz w:val="24"/>
          <w:szCs w:val="24"/>
        </w:rPr>
        <w:t>povećanje je manje značajno i iznosi 9.335</w:t>
      </w:r>
      <w:r w:rsidR="00A82D22">
        <w:rPr>
          <w:rFonts w:ascii="Times New Roman" w:hAnsi="Times New Roman" w:cs="Times New Roman"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sz w:val="24"/>
          <w:szCs w:val="24"/>
        </w:rPr>
        <w:t>kn.</w:t>
      </w:r>
      <w:r w:rsidR="00A82D22">
        <w:rPr>
          <w:rFonts w:ascii="Times New Roman" w:hAnsi="Times New Roman" w:cs="Times New Roman"/>
          <w:sz w:val="24"/>
          <w:szCs w:val="24"/>
        </w:rPr>
        <w:t xml:space="preserve"> </w:t>
      </w:r>
      <w:r w:rsidR="00EB2B53">
        <w:rPr>
          <w:rFonts w:ascii="Times New Roman" w:hAnsi="Times New Roman" w:cs="Times New Roman"/>
          <w:sz w:val="24"/>
          <w:szCs w:val="24"/>
        </w:rPr>
        <w:t>R</w:t>
      </w:r>
      <w:r w:rsidR="00163EBB">
        <w:rPr>
          <w:rFonts w:ascii="Times New Roman" w:hAnsi="Times New Roman" w:cs="Times New Roman"/>
          <w:sz w:val="24"/>
          <w:szCs w:val="24"/>
        </w:rPr>
        <w:t xml:space="preserve">ast prihoda evidentiran je kod </w:t>
      </w:r>
      <w:r w:rsidR="00A42A89">
        <w:rPr>
          <w:rFonts w:ascii="Times New Roman" w:hAnsi="Times New Roman" w:cs="Times New Roman"/>
          <w:sz w:val="24"/>
          <w:szCs w:val="24"/>
        </w:rPr>
        <w:t>K</w:t>
      </w:r>
      <w:r w:rsidR="009A766F" w:rsidRPr="00526AD1">
        <w:rPr>
          <w:rFonts w:ascii="Times New Roman" w:hAnsi="Times New Roman" w:cs="Times New Roman"/>
          <w:sz w:val="24"/>
          <w:szCs w:val="24"/>
        </w:rPr>
        <w:t>amat</w:t>
      </w:r>
      <w:r w:rsidR="00163EBB">
        <w:rPr>
          <w:rFonts w:ascii="Times New Roman" w:hAnsi="Times New Roman" w:cs="Times New Roman"/>
          <w:sz w:val="24"/>
          <w:szCs w:val="24"/>
        </w:rPr>
        <w:t>e</w:t>
      </w:r>
      <w:r w:rsidR="009A766F" w:rsidRPr="00526AD1">
        <w:rPr>
          <w:rFonts w:ascii="Times New Roman" w:hAnsi="Times New Roman" w:cs="Times New Roman"/>
          <w:sz w:val="24"/>
          <w:szCs w:val="24"/>
        </w:rPr>
        <w:t xml:space="preserve"> na oročena sredstva i depozite po viđenju</w:t>
      </w:r>
      <w:r w:rsidR="00D026DC">
        <w:rPr>
          <w:rFonts w:ascii="Times New Roman" w:hAnsi="Times New Roman" w:cs="Times New Roman"/>
          <w:sz w:val="24"/>
          <w:szCs w:val="24"/>
        </w:rPr>
        <w:t xml:space="preserve"> (AOP077) </w:t>
      </w:r>
      <w:r w:rsidR="009A766F" w:rsidRPr="00526AD1">
        <w:rPr>
          <w:rFonts w:ascii="Times New Roman" w:hAnsi="Times New Roman" w:cs="Times New Roman"/>
          <w:sz w:val="24"/>
          <w:szCs w:val="24"/>
        </w:rPr>
        <w:t xml:space="preserve">koji su </w:t>
      </w:r>
      <w:r w:rsidR="009A766F" w:rsidRPr="00526AD1">
        <w:rPr>
          <w:rFonts w:ascii="Times New Roman" w:hAnsi="Times New Roman" w:cs="Times New Roman"/>
          <w:sz w:val="24"/>
          <w:szCs w:val="24"/>
        </w:rPr>
        <w:lastRenderedPageBreak/>
        <w:t xml:space="preserve">ostvareni u iznosu od </w:t>
      </w:r>
      <w:r w:rsidR="00163EBB">
        <w:rPr>
          <w:rFonts w:ascii="Times New Roman" w:hAnsi="Times New Roman" w:cs="Times New Roman"/>
          <w:sz w:val="24"/>
          <w:szCs w:val="24"/>
        </w:rPr>
        <w:t xml:space="preserve">565.690 kn što je za 198.328 kn više nego u istom razdoblju izvještavanja 2018. godine zbog </w:t>
      </w:r>
      <w:r w:rsidR="00B40484">
        <w:rPr>
          <w:rFonts w:ascii="Times New Roman" w:hAnsi="Times New Roman" w:cs="Times New Roman"/>
          <w:sz w:val="24"/>
          <w:szCs w:val="24"/>
        </w:rPr>
        <w:t xml:space="preserve">ostvarenih </w:t>
      </w:r>
      <w:r w:rsidR="00163EBB">
        <w:rPr>
          <w:rFonts w:ascii="Times New Roman" w:hAnsi="Times New Roman" w:cs="Times New Roman"/>
          <w:sz w:val="24"/>
          <w:szCs w:val="24"/>
        </w:rPr>
        <w:t>većih ka</w:t>
      </w:r>
      <w:r w:rsidR="00EB2B53">
        <w:rPr>
          <w:rFonts w:ascii="Times New Roman" w:hAnsi="Times New Roman" w:cs="Times New Roman"/>
          <w:sz w:val="24"/>
          <w:szCs w:val="24"/>
        </w:rPr>
        <w:t>mata na depozite po viđenju koje su ostvarene</w:t>
      </w:r>
      <w:r w:rsidR="00163EBB">
        <w:rPr>
          <w:rFonts w:ascii="Times New Roman" w:hAnsi="Times New Roman" w:cs="Times New Roman"/>
          <w:sz w:val="24"/>
          <w:szCs w:val="24"/>
        </w:rPr>
        <w:t xml:space="preserve"> u iznosu od 558.</w:t>
      </w:r>
      <w:r w:rsidR="00D026DC">
        <w:rPr>
          <w:rFonts w:ascii="Times New Roman" w:hAnsi="Times New Roman" w:cs="Times New Roman"/>
          <w:sz w:val="24"/>
          <w:szCs w:val="24"/>
        </w:rPr>
        <w:t>128</w:t>
      </w:r>
      <w:r w:rsidR="00163EBB">
        <w:rPr>
          <w:rFonts w:ascii="Times New Roman" w:hAnsi="Times New Roman" w:cs="Times New Roman"/>
          <w:sz w:val="24"/>
          <w:szCs w:val="24"/>
        </w:rPr>
        <w:t xml:space="preserve"> kn dok </w:t>
      </w:r>
      <w:r w:rsidR="00EB2B53">
        <w:rPr>
          <w:rFonts w:ascii="Times New Roman" w:hAnsi="Times New Roman" w:cs="Times New Roman"/>
          <w:sz w:val="24"/>
          <w:szCs w:val="24"/>
        </w:rPr>
        <w:t xml:space="preserve">su </w:t>
      </w:r>
      <w:r w:rsidR="00D026DC">
        <w:rPr>
          <w:rFonts w:ascii="Times New Roman" w:hAnsi="Times New Roman" w:cs="Times New Roman"/>
          <w:sz w:val="24"/>
          <w:szCs w:val="24"/>
        </w:rPr>
        <w:t xml:space="preserve">kamate na kratkoročno oročena sredstva </w:t>
      </w:r>
      <w:r w:rsidR="00EB2B53">
        <w:rPr>
          <w:rFonts w:ascii="Times New Roman" w:hAnsi="Times New Roman" w:cs="Times New Roman"/>
          <w:sz w:val="24"/>
          <w:szCs w:val="24"/>
        </w:rPr>
        <w:t>ostvarene u iznosu od</w:t>
      </w:r>
      <w:r w:rsidR="00D026DC">
        <w:rPr>
          <w:rFonts w:ascii="Times New Roman" w:hAnsi="Times New Roman" w:cs="Times New Roman"/>
          <w:sz w:val="24"/>
          <w:szCs w:val="24"/>
        </w:rPr>
        <w:t xml:space="preserve"> 7.562 kn</w:t>
      </w:r>
      <w:r w:rsidR="00B40484">
        <w:rPr>
          <w:rFonts w:ascii="Times New Roman" w:hAnsi="Times New Roman" w:cs="Times New Roman"/>
          <w:sz w:val="24"/>
          <w:szCs w:val="24"/>
        </w:rPr>
        <w:t xml:space="preserve"> iz razloga niskih kamatnih stopa na oročenje te su se slobodna sredstva nalazila na žiro računu</w:t>
      </w:r>
      <w:r w:rsidR="00D026DC">
        <w:rPr>
          <w:rFonts w:ascii="Times New Roman" w:hAnsi="Times New Roman" w:cs="Times New Roman"/>
          <w:sz w:val="24"/>
          <w:szCs w:val="24"/>
        </w:rPr>
        <w:t>.</w:t>
      </w:r>
    </w:p>
    <w:p w:rsidR="00B40484" w:rsidRDefault="00B40484" w:rsidP="00EB2B53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0484" w:rsidRPr="00526AD1" w:rsidRDefault="00B40484" w:rsidP="00EB2B53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4724" w:rsidRPr="00526AD1" w:rsidRDefault="009A766F" w:rsidP="0095249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3181">
        <w:rPr>
          <w:rFonts w:ascii="Times New Roman" w:hAnsi="Times New Roman" w:cs="Times New Roman"/>
          <w:b/>
          <w:sz w:val="24"/>
          <w:szCs w:val="24"/>
        </w:rPr>
        <w:t>BILJEŠKA br. 9.</w:t>
      </w:r>
    </w:p>
    <w:p w:rsidR="00AD4724" w:rsidRPr="00526AD1" w:rsidRDefault="00AD4724" w:rsidP="0095249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5AB2" w:rsidRDefault="002E6C4D" w:rsidP="0095249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 xml:space="preserve">Prihodi od nefinancijske imovine </w:t>
      </w:r>
      <w:r w:rsidR="00584D29" w:rsidRPr="00526AD1">
        <w:rPr>
          <w:rFonts w:ascii="Times New Roman" w:hAnsi="Times New Roman" w:cs="Times New Roman"/>
          <w:sz w:val="24"/>
          <w:szCs w:val="24"/>
        </w:rPr>
        <w:t>(AOP08</w:t>
      </w:r>
      <w:r w:rsidR="003A7BA0" w:rsidRPr="00526AD1">
        <w:rPr>
          <w:rFonts w:ascii="Times New Roman" w:hAnsi="Times New Roman" w:cs="Times New Roman"/>
          <w:sz w:val="24"/>
          <w:szCs w:val="24"/>
        </w:rPr>
        <w:t>3</w:t>
      </w:r>
      <w:r w:rsidR="00584D29" w:rsidRPr="00526AD1">
        <w:rPr>
          <w:rFonts w:ascii="Times New Roman" w:hAnsi="Times New Roman" w:cs="Times New Roman"/>
          <w:sz w:val="24"/>
          <w:szCs w:val="24"/>
        </w:rPr>
        <w:t>)</w:t>
      </w:r>
      <w:r w:rsidR="00A16F19">
        <w:rPr>
          <w:rFonts w:ascii="Times New Roman" w:hAnsi="Times New Roman" w:cs="Times New Roman"/>
          <w:sz w:val="24"/>
          <w:szCs w:val="24"/>
        </w:rPr>
        <w:t xml:space="preserve"> - </w:t>
      </w:r>
      <w:r w:rsidRPr="00526AD1">
        <w:rPr>
          <w:rFonts w:ascii="Times New Roman" w:hAnsi="Times New Roman" w:cs="Times New Roman"/>
          <w:sz w:val="24"/>
          <w:szCs w:val="24"/>
        </w:rPr>
        <w:t xml:space="preserve">iznose </w:t>
      </w:r>
      <w:r w:rsidR="00125AB2">
        <w:rPr>
          <w:rFonts w:ascii="Times New Roman" w:hAnsi="Times New Roman" w:cs="Times New Roman"/>
          <w:sz w:val="24"/>
          <w:szCs w:val="24"/>
        </w:rPr>
        <w:t>28.817.831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</w:t>
      </w:r>
      <w:r w:rsidR="00A16F19" w:rsidRPr="00A16F19">
        <w:rPr>
          <w:rFonts w:ascii="Times New Roman" w:hAnsi="Times New Roman" w:cs="Times New Roman"/>
          <w:sz w:val="24"/>
          <w:szCs w:val="24"/>
        </w:rPr>
        <w:t>, a</w:t>
      </w:r>
      <w:r w:rsidRPr="00526AD1">
        <w:rPr>
          <w:rFonts w:ascii="Times New Roman" w:hAnsi="Times New Roman" w:cs="Times New Roman"/>
          <w:sz w:val="24"/>
          <w:szCs w:val="24"/>
        </w:rPr>
        <w:t xml:space="preserve"> ostvareni su za </w:t>
      </w:r>
      <w:r w:rsidR="00125AB2">
        <w:rPr>
          <w:rFonts w:ascii="Times New Roman" w:hAnsi="Times New Roman" w:cs="Times New Roman"/>
          <w:sz w:val="24"/>
          <w:szCs w:val="24"/>
        </w:rPr>
        <w:t>7,9</w:t>
      </w:r>
      <w:r w:rsidRPr="00526AD1">
        <w:rPr>
          <w:rFonts w:ascii="Times New Roman" w:hAnsi="Times New Roman" w:cs="Times New Roman"/>
          <w:sz w:val="24"/>
          <w:szCs w:val="24"/>
        </w:rPr>
        <w:t xml:space="preserve">% </w:t>
      </w:r>
      <w:r w:rsidR="00125AB2">
        <w:rPr>
          <w:rFonts w:ascii="Times New Roman" w:hAnsi="Times New Roman" w:cs="Times New Roman"/>
          <w:sz w:val="24"/>
          <w:szCs w:val="24"/>
        </w:rPr>
        <w:t xml:space="preserve">manje </w:t>
      </w:r>
      <w:r w:rsidRPr="00526AD1">
        <w:rPr>
          <w:rFonts w:ascii="Times New Roman" w:hAnsi="Times New Roman" w:cs="Times New Roman"/>
          <w:sz w:val="24"/>
          <w:szCs w:val="24"/>
        </w:rPr>
        <w:t xml:space="preserve">nego u istom izvještajnom razdoblju prethodne godine. </w:t>
      </w:r>
    </w:p>
    <w:p w:rsidR="003D1852" w:rsidRPr="00526AD1" w:rsidRDefault="00070CED" w:rsidP="0095249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P</w:t>
      </w:r>
      <w:r w:rsidR="002E6C4D" w:rsidRPr="00526AD1">
        <w:rPr>
          <w:rFonts w:ascii="Times New Roman" w:hAnsi="Times New Roman" w:cs="Times New Roman"/>
          <w:sz w:val="24"/>
          <w:szCs w:val="24"/>
        </w:rPr>
        <w:t>rihode</w:t>
      </w:r>
      <w:r w:rsidRPr="00526AD1">
        <w:rPr>
          <w:rFonts w:ascii="Times New Roman" w:hAnsi="Times New Roman" w:cs="Times New Roman"/>
          <w:sz w:val="24"/>
          <w:szCs w:val="24"/>
        </w:rPr>
        <w:t xml:space="preserve"> od nefinancijske imovine</w:t>
      </w:r>
      <w:r w:rsidR="002E6C4D" w:rsidRPr="00526AD1">
        <w:rPr>
          <w:rFonts w:ascii="Times New Roman" w:hAnsi="Times New Roman" w:cs="Times New Roman"/>
          <w:sz w:val="24"/>
          <w:szCs w:val="24"/>
        </w:rPr>
        <w:t xml:space="preserve"> čine:</w:t>
      </w:r>
    </w:p>
    <w:p w:rsidR="003D1852" w:rsidRPr="00526AD1" w:rsidRDefault="00A16F19" w:rsidP="00525422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D6DCE" w:rsidRPr="00526AD1">
        <w:rPr>
          <w:rFonts w:ascii="Times New Roman" w:hAnsi="Times New Roman" w:cs="Times New Roman"/>
          <w:sz w:val="24"/>
          <w:szCs w:val="24"/>
        </w:rPr>
        <w:t>aknade za koncesije</w:t>
      </w:r>
      <w:r>
        <w:rPr>
          <w:rFonts w:ascii="Times New Roman" w:hAnsi="Times New Roman" w:cs="Times New Roman"/>
          <w:sz w:val="24"/>
          <w:szCs w:val="24"/>
        </w:rPr>
        <w:t xml:space="preserve"> (AOP084) - </w:t>
      </w:r>
      <w:r w:rsidR="00522FE4" w:rsidRPr="00526AD1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9A766F" w:rsidRPr="00526AD1">
        <w:rPr>
          <w:rFonts w:ascii="Times New Roman" w:hAnsi="Times New Roman" w:cs="Times New Roman"/>
          <w:sz w:val="24"/>
          <w:szCs w:val="24"/>
        </w:rPr>
        <w:t>2.</w:t>
      </w:r>
      <w:r w:rsidR="00125AB2">
        <w:rPr>
          <w:rFonts w:ascii="Times New Roman" w:hAnsi="Times New Roman" w:cs="Times New Roman"/>
          <w:sz w:val="24"/>
          <w:szCs w:val="24"/>
        </w:rPr>
        <w:t>228.030</w:t>
      </w:r>
      <w:r w:rsidR="00522FE4" w:rsidRPr="00526AD1">
        <w:rPr>
          <w:rFonts w:ascii="Times New Roman" w:hAnsi="Times New Roman" w:cs="Times New Roman"/>
          <w:sz w:val="24"/>
          <w:szCs w:val="24"/>
        </w:rPr>
        <w:t xml:space="preserve"> kn </w:t>
      </w:r>
      <w:r w:rsidR="008D6DCE" w:rsidRPr="00526AD1">
        <w:rPr>
          <w:rFonts w:ascii="Times New Roman" w:hAnsi="Times New Roman" w:cs="Times New Roman"/>
          <w:sz w:val="24"/>
          <w:szCs w:val="24"/>
        </w:rPr>
        <w:t xml:space="preserve">odnosno naknade za koncesije na pomorskom dobru ostvarene u </w:t>
      </w:r>
      <w:r w:rsidR="00125AB2">
        <w:rPr>
          <w:rFonts w:ascii="Times New Roman" w:hAnsi="Times New Roman" w:cs="Times New Roman"/>
          <w:sz w:val="24"/>
          <w:szCs w:val="24"/>
        </w:rPr>
        <w:t>iznosu od 1.374.001</w:t>
      </w:r>
      <w:r w:rsidR="008D6DCE" w:rsidRPr="00526AD1">
        <w:rPr>
          <w:rFonts w:ascii="Times New Roman" w:hAnsi="Times New Roman" w:cs="Times New Roman"/>
          <w:sz w:val="24"/>
          <w:szCs w:val="24"/>
        </w:rPr>
        <w:t xml:space="preserve"> kn, naknade za koncesijsko odobrenje u iznosu od </w:t>
      </w:r>
      <w:r w:rsidR="000C3181">
        <w:rPr>
          <w:rFonts w:ascii="Times New Roman" w:hAnsi="Times New Roman" w:cs="Times New Roman"/>
          <w:sz w:val="24"/>
          <w:szCs w:val="24"/>
        </w:rPr>
        <w:t>763.127</w:t>
      </w:r>
      <w:r w:rsidR="00AE37F0" w:rsidRPr="00526AD1">
        <w:rPr>
          <w:rFonts w:ascii="Times New Roman" w:hAnsi="Times New Roman" w:cs="Times New Roman"/>
          <w:sz w:val="24"/>
          <w:szCs w:val="24"/>
        </w:rPr>
        <w:t xml:space="preserve"> kn</w:t>
      </w:r>
      <w:r w:rsidR="008D6DCE" w:rsidRPr="00526AD1">
        <w:rPr>
          <w:rFonts w:ascii="Times New Roman" w:hAnsi="Times New Roman" w:cs="Times New Roman"/>
          <w:sz w:val="24"/>
          <w:szCs w:val="24"/>
        </w:rPr>
        <w:t xml:space="preserve"> i naknade za koncesije za turističko zemljište</w:t>
      </w:r>
      <w:r w:rsidR="003A7BA0" w:rsidRPr="00526AD1">
        <w:rPr>
          <w:rFonts w:ascii="Times New Roman" w:hAnsi="Times New Roman" w:cs="Times New Roman"/>
          <w:sz w:val="24"/>
          <w:szCs w:val="24"/>
        </w:rPr>
        <w:t xml:space="preserve"> u kampovima</w:t>
      </w:r>
      <w:r w:rsidR="008D6DCE" w:rsidRPr="00526AD1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25AB2">
        <w:rPr>
          <w:rFonts w:ascii="Times New Roman" w:hAnsi="Times New Roman" w:cs="Times New Roman"/>
          <w:sz w:val="24"/>
          <w:szCs w:val="24"/>
        </w:rPr>
        <w:t>90.902</w:t>
      </w:r>
      <w:r w:rsidR="008D6DCE" w:rsidRPr="00526AD1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;</w:t>
      </w:r>
      <w:r w:rsidR="00125AB2" w:rsidRPr="00125AB2">
        <w:rPr>
          <w:rFonts w:ascii="Times New Roman" w:hAnsi="Times New Roman" w:cs="Times New Roman"/>
          <w:sz w:val="24"/>
          <w:szCs w:val="24"/>
        </w:rPr>
        <w:t xml:space="preserve"> </w:t>
      </w:r>
      <w:r w:rsidR="00125AB2">
        <w:rPr>
          <w:rFonts w:ascii="Times New Roman" w:hAnsi="Times New Roman" w:cs="Times New Roman"/>
          <w:sz w:val="24"/>
          <w:szCs w:val="24"/>
        </w:rPr>
        <w:t xml:space="preserve">Značajan pad </w:t>
      </w:r>
      <w:r w:rsidR="000C3181">
        <w:rPr>
          <w:rFonts w:ascii="Times New Roman" w:hAnsi="Times New Roman" w:cs="Times New Roman"/>
          <w:sz w:val="24"/>
          <w:szCs w:val="24"/>
        </w:rPr>
        <w:t xml:space="preserve">prihoda </w:t>
      </w:r>
      <w:r w:rsidR="00125AB2">
        <w:rPr>
          <w:rFonts w:ascii="Times New Roman" w:hAnsi="Times New Roman" w:cs="Times New Roman"/>
          <w:sz w:val="24"/>
          <w:szCs w:val="24"/>
        </w:rPr>
        <w:t>u ovom odjeljku rezult</w:t>
      </w:r>
      <w:r w:rsidR="000C3181">
        <w:rPr>
          <w:rFonts w:ascii="Times New Roman" w:hAnsi="Times New Roman" w:cs="Times New Roman"/>
          <w:sz w:val="24"/>
          <w:szCs w:val="24"/>
        </w:rPr>
        <w:t>at</w:t>
      </w:r>
      <w:r w:rsidR="00125AB2">
        <w:rPr>
          <w:rFonts w:ascii="Times New Roman" w:hAnsi="Times New Roman" w:cs="Times New Roman"/>
          <w:sz w:val="24"/>
          <w:szCs w:val="24"/>
        </w:rPr>
        <w:t xml:space="preserve"> je </w:t>
      </w:r>
      <w:r w:rsidR="00125AB2" w:rsidRPr="00E851C3">
        <w:rPr>
          <w:rFonts w:ascii="Times New Roman" w:hAnsi="Times New Roman" w:cs="Times New Roman"/>
          <w:sz w:val="24"/>
          <w:szCs w:val="24"/>
        </w:rPr>
        <w:t xml:space="preserve"> stečaj</w:t>
      </w:r>
      <w:r w:rsidR="000C3181">
        <w:rPr>
          <w:rFonts w:ascii="Times New Roman" w:hAnsi="Times New Roman" w:cs="Times New Roman"/>
          <w:sz w:val="24"/>
          <w:szCs w:val="24"/>
        </w:rPr>
        <w:t>a</w:t>
      </w:r>
      <w:r w:rsidR="00125AB2" w:rsidRPr="00E851C3">
        <w:rPr>
          <w:rFonts w:ascii="Times New Roman" w:hAnsi="Times New Roman" w:cs="Times New Roman"/>
          <w:sz w:val="24"/>
          <w:szCs w:val="24"/>
        </w:rPr>
        <w:t xml:space="preserve"> poduzeća koje je plaćalo naknadu za koncesiju na pomorskom dobru;</w:t>
      </w:r>
    </w:p>
    <w:p w:rsidR="00B40484" w:rsidRDefault="00A16F19" w:rsidP="000C3181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484">
        <w:rPr>
          <w:rFonts w:ascii="Times New Roman" w:hAnsi="Times New Roman" w:cs="Times New Roman"/>
          <w:sz w:val="24"/>
          <w:szCs w:val="24"/>
        </w:rPr>
        <w:t>P</w:t>
      </w:r>
      <w:r w:rsidR="008D6DCE" w:rsidRPr="00B40484">
        <w:rPr>
          <w:rFonts w:ascii="Times New Roman" w:hAnsi="Times New Roman" w:cs="Times New Roman"/>
          <w:sz w:val="24"/>
          <w:szCs w:val="24"/>
        </w:rPr>
        <w:t>rihodi od zakupa i iznajmljivanja imovine</w:t>
      </w:r>
      <w:r w:rsidR="00EB597F" w:rsidRPr="00B40484">
        <w:rPr>
          <w:rFonts w:ascii="Times New Roman" w:hAnsi="Times New Roman" w:cs="Times New Roman"/>
          <w:sz w:val="24"/>
          <w:szCs w:val="24"/>
        </w:rPr>
        <w:t xml:space="preserve"> (AOP085) - </w:t>
      </w:r>
      <w:r w:rsidR="00522FE4" w:rsidRPr="00B4048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125AB2" w:rsidRPr="00B40484">
        <w:rPr>
          <w:rFonts w:ascii="Times New Roman" w:hAnsi="Times New Roman" w:cs="Times New Roman"/>
          <w:sz w:val="24"/>
          <w:szCs w:val="24"/>
        </w:rPr>
        <w:t>25.026.551</w:t>
      </w:r>
      <w:r w:rsidR="00522FE4" w:rsidRPr="00B40484">
        <w:rPr>
          <w:rFonts w:ascii="Times New Roman" w:hAnsi="Times New Roman" w:cs="Times New Roman"/>
          <w:sz w:val="24"/>
          <w:szCs w:val="24"/>
        </w:rPr>
        <w:t xml:space="preserve"> kn</w:t>
      </w:r>
      <w:r w:rsidR="008D6DCE" w:rsidRPr="00B40484">
        <w:rPr>
          <w:rFonts w:ascii="Times New Roman" w:hAnsi="Times New Roman" w:cs="Times New Roman"/>
          <w:sz w:val="24"/>
          <w:szCs w:val="24"/>
        </w:rPr>
        <w:t xml:space="preserve"> odnosno prihodi od iznajmljivanja stambenih objekata u iznosu od </w:t>
      </w:r>
      <w:r w:rsidR="009A766F" w:rsidRPr="00B40484">
        <w:rPr>
          <w:rFonts w:ascii="Times New Roman" w:hAnsi="Times New Roman" w:cs="Times New Roman"/>
          <w:sz w:val="24"/>
          <w:szCs w:val="24"/>
        </w:rPr>
        <w:t>1.</w:t>
      </w:r>
      <w:r w:rsidR="00125AB2" w:rsidRPr="00B40484">
        <w:rPr>
          <w:rFonts w:ascii="Times New Roman" w:hAnsi="Times New Roman" w:cs="Times New Roman"/>
          <w:sz w:val="24"/>
          <w:szCs w:val="24"/>
        </w:rPr>
        <w:t>249.942</w:t>
      </w:r>
      <w:r w:rsidR="003A7BA0" w:rsidRPr="00B40484">
        <w:rPr>
          <w:rFonts w:ascii="Times New Roman" w:hAnsi="Times New Roman" w:cs="Times New Roman"/>
          <w:sz w:val="24"/>
          <w:szCs w:val="24"/>
        </w:rPr>
        <w:t xml:space="preserve"> </w:t>
      </w:r>
      <w:r w:rsidR="008D6DCE" w:rsidRPr="00B40484">
        <w:rPr>
          <w:rFonts w:ascii="Times New Roman" w:hAnsi="Times New Roman" w:cs="Times New Roman"/>
          <w:sz w:val="24"/>
          <w:szCs w:val="24"/>
        </w:rPr>
        <w:t xml:space="preserve">kn, prihodi od zakupa poslovnih prostora u iznosu od </w:t>
      </w:r>
      <w:r w:rsidR="00125AB2" w:rsidRPr="00B40484">
        <w:rPr>
          <w:rFonts w:ascii="Times New Roman" w:hAnsi="Times New Roman" w:cs="Times New Roman"/>
          <w:sz w:val="24"/>
          <w:szCs w:val="24"/>
        </w:rPr>
        <w:t>22.614.220</w:t>
      </w:r>
      <w:r w:rsidR="008D6DCE" w:rsidRPr="00B40484">
        <w:rPr>
          <w:rFonts w:ascii="Times New Roman" w:hAnsi="Times New Roman" w:cs="Times New Roman"/>
          <w:sz w:val="24"/>
          <w:szCs w:val="24"/>
        </w:rPr>
        <w:t xml:space="preserve"> kn te ostali prihodi od zakupa i iznajmljivanja imovine u iznosu od 1.</w:t>
      </w:r>
      <w:r w:rsidR="00125AB2" w:rsidRPr="00B40484">
        <w:rPr>
          <w:rFonts w:ascii="Times New Roman" w:hAnsi="Times New Roman" w:cs="Times New Roman"/>
          <w:sz w:val="24"/>
          <w:szCs w:val="24"/>
        </w:rPr>
        <w:t>162.389</w:t>
      </w:r>
      <w:r w:rsidRPr="00B40484">
        <w:rPr>
          <w:rFonts w:ascii="Times New Roman" w:hAnsi="Times New Roman" w:cs="Times New Roman"/>
          <w:sz w:val="24"/>
          <w:szCs w:val="24"/>
        </w:rPr>
        <w:t xml:space="preserve"> kn;</w:t>
      </w:r>
      <w:r w:rsidR="00125AB2" w:rsidRPr="00B40484">
        <w:rPr>
          <w:rFonts w:ascii="Times New Roman" w:hAnsi="Times New Roman" w:cs="Times New Roman"/>
          <w:sz w:val="24"/>
          <w:szCs w:val="24"/>
        </w:rPr>
        <w:t xml:space="preserve"> Smanjenje </w:t>
      </w:r>
      <w:r w:rsidR="000C3181" w:rsidRPr="00B40484">
        <w:rPr>
          <w:rFonts w:ascii="Times New Roman" w:hAnsi="Times New Roman" w:cs="Times New Roman"/>
          <w:sz w:val="24"/>
          <w:szCs w:val="24"/>
        </w:rPr>
        <w:t>od</w:t>
      </w:r>
      <w:r w:rsidR="00125AB2" w:rsidRPr="00B40484">
        <w:rPr>
          <w:rFonts w:ascii="Times New Roman" w:hAnsi="Times New Roman" w:cs="Times New Roman"/>
          <w:sz w:val="24"/>
          <w:szCs w:val="24"/>
        </w:rPr>
        <w:t xml:space="preserve"> 1.413.908 kn rezultat je što su u 2018. godini prihodovan</w:t>
      </w:r>
      <w:r w:rsidR="000C3181" w:rsidRPr="00B40484">
        <w:rPr>
          <w:rFonts w:ascii="Times New Roman" w:hAnsi="Times New Roman" w:cs="Times New Roman"/>
          <w:sz w:val="24"/>
          <w:szCs w:val="24"/>
        </w:rPr>
        <w:t xml:space="preserve">a </w:t>
      </w:r>
      <w:r w:rsidR="00125AB2" w:rsidRPr="00B40484">
        <w:rPr>
          <w:rFonts w:ascii="Times New Roman" w:hAnsi="Times New Roman" w:cs="Times New Roman"/>
          <w:sz w:val="24"/>
          <w:szCs w:val="24"/>
        </w:rPr>
        <w:t xml:space="preserve">sredstva za zakup poslovnih objekata od nagodbi koje čine unaprijed plaćeni zakup, </w:t>
      </w:r>
      <w:r w:rsidR="00B40484" w:rsidRPr="00B40484">
        <w:rPr>
          <w:rFonts w:ascii="Times New Roman" w:hAnsi="Times New Roman" w:cs="Times New Roman"/>
          <w:sz w:val="24"/>
          <w:szCs w:val="24"/>
        </w:rPr>
        <w:t>dok su se</w:t>
      </w:r>
      <w:r w:rsidR="00125AB2" w:rsidRPr="00B40484">
        <w:rPr>
          <w:rFonts w:ascii="Times New Roman" w:hAnsi="Times New Roman" w:cs="Times New Roman"/>
          <w:sz w:val="24"/>
          <w:szCs w:val="24"/>
        </w:rPr>
        <w:t xml:space="preserve"> ostali prihodi od zakupa i iznajmljivanja imovine u 2018. godini </w:t>
      </w:r>
      <w:r w:rsidR="00B40484" w:rsidRPr="00B40484">
        <w:rPr>
          <w:rFonts w:ascii="Times New Roman" w:hAnsi="Times New Roman" w:cs="Times New Roman"/>
          <w:sz w:val="24"/>
          <w:szCs w:val="24"/>
        </w:rPr>
        <w:t>odnosili na</w:t>
      </w:r>
      <w:r w:rsidR="00125AB2" w:rsidRPr="00B40484">
        <w:rPr>
          <w:rFonts w:ascii="Times New Roman" w:hAnsi="Times New Roman" w:cs="Times New Roman"/>
          <w:sz w:val="24"/>
          <w:szCs w:val="24"/>
        </w:rPr>
        <w:t xml:space="preserve"> naknadu za pravo služnosti DTK mreže sukladno rješenju HAKOM-a</w:t>
      </w:r>
      <w:r w:rsidR="00B40484" w:rsidRPr="00B40484">
        <w:rPr>
          <w:rFonts w:ascii="Times New Roman" w:hAnsi="Times New Roman" w:cs="Times New Roman"/>
          <w:sz w:val="24"/>
          <w:szCs w:val="24"/>
        </w:rPr>
        <w:t xml:space="preserve"> koji su u 2018. godini platili godišnju naknadu</w:t>
      </w:r>
      <w:r w:rsidR="000C3181" w:rsidRPr="00B404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852" w:rsidRPr="00B40484" w:rsidRDefault="00125AB2" w:rsidP="00B4048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484">
        <w:rPr>
          <w:rFonts w:ascii="Times New Roman" w:hAnsi="Times New Roman" w:cs="Times New Roman"/>
          <w:sz w:val="24"/>
          <w:szCs w:val="24"/>
        </w:rPr>
        <w:t>Prihodi od najma stambenih objekata ostvareni su na prošlogodišnjoj razini</w:t>
      </w:r>
      <w:r w:rsidR="00BE1F67" w:rsidRPr="00B40484">
        <w:rPr>
          <w:rFonts w:ascii="Times New Roman" w:hAnsi="Times New Roman" w:cs="Times New Roman"/>
          <w:sz w:val="24"/>
          <w:szCs w:val="24"/>
        </w:rPr>
        <w:t>.</w:t>
      </w:r>
    </w:p>
    <w:p w:rsidR="00EB597F" w:rsidRPr="00D25FBF" w:rsidRDefault="00A16F19" w:rsidP="00525422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FBF">
        <w:rPr>
          <w:rFonts w:ascii="Times New Roman" w:hAnsi="Times New Roman" w:cs="Times New Roman"/>
          <w:sz w:val="24"/>
          <w:szCs w:val="24"/>
        </w:rPr>
        <w:t>N</w:t>
      </w:r>
      <w:r w:rsidR="008D6DCE" w:rsidRPr="00D25FBF">
        <w:rPr>
          <w:rFonts w:ascii="Times New Roman" w:hAnsi="Times New Roman" w:cs="Times New Roman"/>
          <w:sz w:val="24"/>
          <w:szCs w:val="24"/>
        </w:rPr>
        <w:t>aknada za korištenje nefinancijske imovine</w:t>
      </w:r>
      <w:r w:rsidR="00EB597F" w:rsidRPr="00D25FBF">
        <w:rPr>
          <w:rFonts w:ascii="Times New Roman" w:hAnsi="Times New Roman" w:cs="Times New Roman"/>
          <w:sz w:val="24"/>
          <w:szCs w:val="24"/>
        </w:rPr>
        <w:t xml:space="preserve"> (AOP086) - </w:t>
      </w:r>
      <w:r w:rsidR="00522FE4" w:rsidRPr="00D25FBF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EB597F" w:rsidRPr="00D25FBF">
        <w:rPr>
          <w:rFonts w:ascii="Times New Roman" w:hAnsi="Times New Roman" w:cs="Times New Roman"/>
          <w:sz w:val="24"/>
          <w:szCs w:val="24"/>
        </w:rPr>
        <w:t>1.</w:t>
      </w:r>
      <w:r w:rsidR="00BB4848" w:rsidRPr="00D25FBF">
        <w:rPr>
          <w:rFonts w:ascii="Times New Roman" w:hAnsi="Times New Roman" w:cs="Times New Roman"/>
          <w:sz w:val="24"/>
          <w:szCs w:val="24"/>
        </w:rPr>
        <w:t>304.762</w:t>
      </w:r>
      <w:r w:rsidR="00522FE4" w:rsidRPr="00D25FBF">
        <w:rPr>
          <w:rFonts w:ascii="Times New Roman" w:hAnsi="Times New Roman" w:cs="Times New Roman"/>
          <w:sz w:val="24"/>
          <w:szCs w:val="24"/>
        </w:rPr>
        <w:t xml:space="preserve"> kn</w:t>
      </w:r>
      <w:r w:rsidR="008D6DCE" w:rsidRPr="00D25FBF">
        <w:rPr>
          <w:rFonts w:ascii="Times New Roman" w:hAnsi="Times New Roman" w:cs="Times New Roman"/>
          <w:sz w:val="24"/>
          <w:szCs w:val="24"/>
        </w:rPr>
        <w:t xml:space="preserve"> odnosno naknada za eksploataciju mineralnih sirovina u iznosu od </w:t>
      </w:r>
      <w:r w:rsidR="00BB4848" w:rsidRPr="00D25FBF">
        <w:rPr>
          <w:rFonts w:ascii="Times New Roman" w:hAnsi="Times New Roman" w:cs="Times New Roman"/>
          <w:sz w:val="24"/>
          <w:szCs w:val="24"/>
        </w:rPr>
        <w:t>24.226</w:t>
      </w:r>
      <w:r w:rsidR="009A766F" w:rsidRPr="00D25FBF">
        <w:rPr>
          <w:rFonts w:ascii="Times New Roman" w:hAnsi="Times New Roman" w:cs="Times New Roman"/>
          <w:sz w:val="24"/>
          <w:szCs w:val="24"/>
        </w:rPr>
        <w:t xml:space="preserve"> </w:t>
      </w:r>
      <w:r w:rsidR="008D6DCE" w:rsidRPr="00D25FBF">
        <w:rPr>
          <w:rFonts w:ascii="Times New Roman" w:hAnsi="Times New Roman" w:cs="Times New Roman"/>
          <w:sz w:val="24"/>
          <w:szCs w:val="24"/>
        </w:rPr>
        <w:t xml:space="preserve">kn, naknada za otkopanu količinu neenergetskih mineralnih sirovina u iznosu od </w:t>
      </w:r>
      <w:r w:rsidR="00BB4848" w:rsidRPr="00D25FBF">
        <w:rPr>
          <w:rFonts w:ascii="Times New Roman" w:hAnsi="Times New Roman" w:cs="Times New Roman"/>
          <w:sz w:val="24"/>
          <w:szCs w:val="24"/>
        </w:rPr>
        <w:t>20.934</w:t>
      </w:r>
      <w:r w:rsidR="008D6DCE" w:rsidRPr="00D25FBF">
        <w:rPr>
          <w:rFonts w:ascii="Times New Roman" w:hAnsi="Times New Roman" w:cs="Times New Roman"/>
          <w:sz w:val="24"/>
          <w:szCs w:val="24"/>
        </w:rPr>
        <w:t xml:space="preserve"> kn, </w:t>
      </w:r>
      <w:r w:rsidR="00AE37F0" w:rsidRPr="00D25FBF">
        <w:rPr>
          <w:rFonts w:ascii="Times New Roman" w:hAnsi="Times New Roman" w:cs="Times New Roman"/>
          <w:sz w:val="24"/>
          <w:szCs w:val="24"/>
        </w:rPr>
        <w:t xml:space="preserve">naknada za </w:t>
      </w:r>
      <w:r w:rsidR="00AE37F0" w:rsidRPr="00D25FBF">
        <w:rPr>
          <w:rFonts w:ascii="Times New Roman" w:hAnsi="Times New Roman" w:cs="Times New Roman"/>
          <w:color w:val="000000"/>
          <w:sz w:val="24"/>
          <w:szCs w:val="24"/>
        </w:rPr>
        <w:t>indirektnu spomenčku rentu koja se plaća na ukupan prihod</w:t>
      </w:r>
      <w:r w:rsidR="008D6DCE" w:rsidRPr="00D25FBF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B4848" w:rsidRPr="00D25FBF">
        <w:rPr>
          <w:rFonts w:ascii="Times New Roman" w:hAnsi="Times New Roman" w:cs="Times New Roman"/>
          <w:sz w:val="24"/>
          <w:szCs w:val="24"/>
        </w:rPr>
        <w:t>66.27</w:t>
      </w:r>
      <w:r w:rsidR="00BE1F67">
        <w:rPr>
          <w:rFonts w:ascii="Times New Roman" w:hAnsi="Times New Roman" w:cs="Times New Roman"/>
          <w:sz w:val="24"/>
          <w:szCs w:val="24"/>
        </w:rPr>
        <w:t>4</w:t>
      </w:r>
      <w:r w:rsidR="00BB4848" w:rsidRPr="00D25FBF">
        <w:rPr>
          <w:rFonts w:ascii="Times New Roman" w:hAnsi="Times New Roman" w:cs="Times New Roman"/>
          <w:sz w:val="24"/>
          <w:szCs w:val="24"/>
        </w:rPr>
        <w:t xml:space="preserve"> </w:t>
      </w:r>
      <w:r w:rsidR="008D6DCE" w:rsidRPr="00D25FBF">
        <w:rPr>
          <w:rFonts w:ascii="Times New Roman" w:hAnsi="Times New Roman" w:cs="Times New Roman"/>
          <w:sz w:val="24"/>
          <w:szCs w:val="24"/>
        </w:rPr>
        <w:t>kn</w:t>
      </w:r>
      <w:r w:rsidR="009A766F" w:rsidRPr="00D25FBF">
        <w:rPr>
          <w:rFonts w:ascii="Times New Roman" w:hAnsi="Times New Roman" w:cs="Times New Roman"/>
          <w:sz w:val="24"/>
          <w:szCs w:val="24"/>
        </w:rPr>
        <w:t>,</w:t>
      </w:r>
      <w:r w:rsidR="008D6DCE" w:rsidRPr="00D25FBF">
        <w:rPr>
          <w:rFonts w:ascii="Times New Roman" w:hAnsi="Times New Roman" w:cs="Times New Roman"/>
          <w:sz w:val="24"/>
          <w:szCs w:val="24"/>
        </w:rPr>
        <w:t xml:space="preserve"> spomenička renta po metru četvornom u iznosu od </w:t>
      </w:r>
      <w:r w:rsidR="003A7BA0" w:rsidRPr="00D25FBF">
        <w:rPr>
          <w:rFonts w:ascii="Times New Roman" w:hAnsi="Times New Roman" w:cs="Times New Roman"/>
          <w:sz w:val="24"/>
          <w:szCs w:val="24"/>
        </w:rPr>
        <w:t>1.</w:t>
      </w:r>
      <w:r w:rsidR="00BB4848" w:rsidRPr="00D25FBF">
        <w:rPr>
          <w:rFonts w:ascii="Times New Roman" w:hAnsi="Times New Roman" w:cs="Times New Roman"/>
          <w:sz w:val="24"/>
          <w:szCs w:val="24"/>
        </w:rPr>
        <w:t>193.328</w:t>
      </w:r>
      <w:r w:rsidR="00177D6A" w:rsidRPr="00D25FBF">
        <w:rPr>
          <w:rFonts w:ascii="Times New Roman" w:hAnsi="Times New Roman" w:cs="Times New Roman"/>
          <w:sz w:val="24"/>
          <w:szCs w:val="24"/>
        </w:rPr>
        <w:t xml:space="preserve"> kn</w:t>
      </w:r>
      <w:r w:rsidR="00BE1F67">
        <w:rPr>
          <w:rFonts w:ascii="Times New Roman" w:hAnsi="Times New Roman" w:cs="Times New Roman"/>
          <w:sz w:val="24"/>
          <w:szCs w:val="24"/>
        </w:rPr>
        <w:t xml:space="preserve">. Smanjenje prihoda evidentirano je kod spomeničke rente koja se plaća po četvornom metru korisne površine poslovnog prostora zbog </w:t>
      </w:r>
      <w:r w:rsidR="009A4F7F">
        <w:rPr>
          <w:rFonts w:ascii="Times New Roman" w:hAnsi="Times New Roman" w:cs="Times New Roman"/>
          <w:sz w:val="24"/>
          <w:szCs w:val="24"/>
        </w:rPr>
        <w:t>kasnije izdanih rješenja za spomeničku rentu.</w:t>
      </w:r>
    </w:p>
    <w:p w:rsidR="004059A7" w:rsidRPr="00526AD1" w:rsidRDefault="006A577E" w:rsidP="00525422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prihodi </w:t>
      </w:r>
      <w:r w:rsidR="00EB597F">
        <w:rPr>
          <w:rFonts w:ascii="Times New Roman" w:hAnsi="Times New Roman" w:cs="Times New Roman"/>
          <w:sz w:val="24"/>
          <w:szCs w:val="24"/>
        </w:rPr>
        <w:t xml:space="preserve">od nefinancijske imovine (AOP089) - u iznosu od </w:t>
      </w:r>
      <w:r w:rsidR="00BE1F67">
        <w:rPr>
          <w:rFonts w:ascii="Times New Roman" w:hAnsi="Times New Roman" w:cs="Times New Roman"/>
          <w:sz w:val="24"/>
          <w:szCs w:val="24"/>
        </w:rPr>
        <w:t>258.488</w:t>
      </w:r>
      <w:r w:rsidR="00EB597F">
        <w:rPr>
          <w:rFonts w:ascii="Times New Roman" w:hAnsi="Times New Roman" w:cs="Times New Roman"/>
          <w:sz w:val="24"/>
          <w:szCs w:val="24"/>
        </w:rPr>
        <w:t xml:space="preserve"> kn odnosno </w:t>
      </w:r>
      <w:r w:rsidR="009A766F" w:rsidRPr="00526AD1">
        <w:rPr>
          <w:rFonts w:ascii="Times New Roman" w:hAnsi="Times New Roman" w:cs="Times New Roman"/>
          <w:sz w:val="24"/>
          <w:szCs w:val="24"/>
        </w:rPr>
        <w:t xml:space="preserve">naknada za nezakonito izgrađene zgrade u prostoru u iznosu od </w:t>
      </w:r>
      <w:r w:rsidR="00BE1F67">
        <w:rPr>
          <w:rFonts w:ascii="Times New Roman" w:hAnsi="Times New Roman" w:cs="Times New Roman"/>
          <w:sz w:val="24"/>
          <w:szCs w:val="24"/>
        </w:rPr>
        <w:t>258.188</w:t>
      </w:r>
      <w:r w:rsidR="009A766F" w:rsidRPr="00526AD1">
        <w:rPr>
          <w:rFonts w:ascii="Times New Roman" w:hAnsi="Times New Roman" w:cs="Times New Roman"/>
          <w:sz w:val="24"/>
          <w:szCs w:val="24"/>
        </w:rPr>
        <w:t xml:space="preserve"> i naknada za nezakonito izgrađene zgrade u prostoru temeljem rješenja Agencije (AZONIZ) u iznosu od </w:t>
      </w:r>
      <w:r w:rsidR="00BE1F67">
        <w:rPr>
          <w:rFonts w:ascii="Times New Roman" w:hAnsi="Times New Roman" w:cs="Times New Roman"/>
          <w:sz w:val="24"/>
          <w:szCs w:val="24"/>
        </w:rPr>
        <w:t>300</w:t>
      </w:r>
      <w:r w:rsidR="009A766F" w:rsidRPr="00526AD1">
        <w:rPr>
          <w:rFonts w:ascii="Times New Roman" w:hAnsi="Times New Roman" w:cs="Times New Roman"/>
          <w:sz w:val="24"/>
          <w:szCs w:val="24"/>
        </w:rPr>
        <w:t xml:space="preserve"> kn</w:t>
      </w:r>
      <w:r w:rsidR="00177D6A" w:rsidRPr="00526AD1">
        <w:rPr>
          <w:rFonts w:ascii="Times New Roman" w:hAnsi="Times New Roman" w:cs="Times New Roman"/>
          <w:sz w:val="24"/>
          <w:szCs w:val="24"/>
        </w:rPr>
        <w:t>.</w:t>
      </w:r>
      <w:r w:rsidR="00BE1F67" w:rsidRPr="00BE1F67">
        <w:rPr>
          <w:rFonts w:ascii="Times New Roman" w:hAnsi="Times New Roman" w:cs="Times New Roman"/>
          <w:sz w:val="24"/>
          <w:szCs w:val="24"/>
        </w:rPr>
        <w:t xml:space="preserve"> </w:t>
      </w:r>
      <w:r w:rsidR="00BE1F67">
        <w:rPr>
          <w:rFonts w:ascii="Times New Roman" w:hAnsi="Times New Roman" w:cs="Times New Roman"/>
          <w:sz w:val="24"/>
          <w:szCs w:val="24"/>
        </w:rPr>
        <w:t xml:space="preserve">Smanjenje prihoda naknade </w:t>
      </w:r>
      <w:r w:rsidR="00BE1F67" w:rsidRPr="00526AD1">
        <w:rPr>
          <w:rFonts w:ascii="Times New Roman" w:hAnsi="Times New Roman" w:cs="Times New Roman"/>
          <w:sz w:val="24"/>
          <w:szCs w:val="24"/>
        </w:rPr>
        <w:t>za nezakonito izgrađene zgrade u prostoru</w:t>
      </w:r>
      <w:r w:rsidR="00BE1F67">
        <w:rPr>
          <w:rFonts w:ascii="Times New Roman" w:hAnsi="Times New Roman" w:cs="Times New Roman"/>
          <w:sz w:val="24"/>
          <w:szCs w:val="24"/>
        </w:rPr>
        <w:t xml:space="preserve"> očekivano je iz razloga što su podnositelji zahtjeva za legalizaciju objekta u velikom broju slučaja naknadu platili. </w:t>
      </w:r>
    </w:p>
    <w:p w:rsidR="00B40484" w:rsidRDefault="00B40484" w:rsidP="0052542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484" w:rsidRDefault="00B40484" w:rsidP="00B40484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D5A" w:rsidRDefault="00853D5A" w:rsidP="00B40484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1C9" w:rsidRDefault="00B071C9" w:rsidP="00B40484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1C9" w:rsidRDefault="00B071C9" w:rsidP="00B40484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514" w:rsidRPr="00576340" w:rsidRDefault="00424514" w:rsidP="00B40484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340">
        <w:rPr>
          <w:rFonts w:ascii="Times New Roman" w:hAnsi="Times New Roman" w:cs="Times New Roman"/>
          <w:b/>
          <w:sz w:val="24"/>
          <w:szCs w:val="24"/>
        </w:rPr>
        <w:lastRenderedPageBreak/>
        <w:t>BILJEŠKA br. 10.</w:t>
      </w:r>
    </w:p>
    <w:p w:rsidR="003A7BA0" w:rsidRPr="00576340" w:rsidRDefault="003A7BA0" w:rsidP="00B40484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C4C64" w:rsidRPr="00576340" w:rsidRDefault="005569C7" w:rsidP="00B404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6340">
        <w:rPr>
          <w:rFonts w:ascii="Times New Roman" w:hAnsi="Times New Roman" w:cs="Times New Roman"/>
          <w:sz w:val="24"/>
          <w:szCs w:val="24"/>
        </w:rPr>
        <w:t>Prihodi od</w:t>
      </w:r>
      <w:r w:rsidR="0079190E" w:rsidRPr="00576340">
        <w:rPr>
          <w:rFonts w:ascii="Times New Roman" w:hAnsi="Times New Roman" w:cs="Times New Roman"/>
          <w:sz w:val="24"/>
          <w:szCs w:val="24"/>
        </w:rPr>
        <w:t xml:space="preserve"> </w:t>
      </w:r>
      <w:r w:rsidRPr="00576340">
        <w:rPr>
          <w:rFonts w:ascii="Times New Roman" w:hAnsi="Times New Roman" w:cs="Times New Roman"/>
          <w:sz w:val="24"/>
          <w:szCs w:val="24"/>
        </w:rPr>
        <w:t>upravnih i administrativnih pristojbi, pristojbi po pose</w:t>
      </w:r>
      <w:r w:rsidR="000C4C64" w:rsidRPr="00576340">
        <w:rPr>
          <w:rFonts w:ascii="Times New Roman" w:hAnsi="Times New Roman" w:cs="Times New Roman"/>
          <w:sz w:val="24"/>
          <w:szCs w:val="24"/>
        </w:rPr>
        <w:t>bnim propisima i naknada (AOP105</w:t>
      </w:r>
      <w:r w:rsidRPr="00576340">
        <w:rPr>
          <w:rFonts w:ascii="Times New Roman" w:hAnsi="Times New Roman" w:cs="Times New Roman"/>
          <w:sz w:val="24"/>
          <w:szCs w:val="24"/>
        </w:rPr>
        <w:t xml:space="preserve">) </w:t>
      </w:r>
      <w:r w:rsidR="003A7E83" w:rsidRPr="00576340">
        <w:rPr>
          <w:rFonts w:ascii="Times New Roman" w:hAnsi="Times New Roman" w:cs="Times New Roman"/>
          <w:sz w:val="24"/>
          <w:szCs w:val="24"/>
        </w:rPr>
        <w:t>-</w:t>
      </w:r>
      <w:r w:rsidRPr="00576340">
        <w:rPr>
          <w:rFonts w:ascii="Times New Roman" w:hAnsi="Times New Roman" w:cs="Times New Roman"/>
          <w:sz w:val="24"/>
          <w:szCs w:val="24"/>
        </w:rPr>
        <w:t xml:space="preserve"> iznose </w:t>
      </w:r>
      <w:r w:rsidR="002A0817" w:rsidRPr="00576340">
        <w:rPr>
          <w:rFonts w:ascii="Times New Roman" w:hAnsi="Times New Roman" w:cs="Times New Roman"/>
          <w:sz w:val="24"/>
          <w:szCs w:val="24"/>
        </w:rPr>
        <w:t xml:space="preserve">73.690.899 </w:t>
      </w:r>
      <w:r w:rsidRPr="00576340">
        <w:rPr>
          <w:rFonts w:ascii="Times New Roman" w:hAnsi="Times New Roman" w:cs="Times New Roman"/>
          <w:sz w:val="24"/>
          <w:szCs w:val="24"/>
        </w:rPr>
        <w:t xml:space="preserve">kn i ostvareni su za </w:t>
      </w:r>
      <w:r w:rsidR="002A0817" w:rsidRPr="00576340">
        <w:rPr>
          <w:rFonts w:ascii="Times New Roman" w:hAnsi="Times New Roman" w:cs="Times New Roman"/>
          <w:sz w:val="24"/>
          <w:szCs w:val="24"/>
        </w:rPr>
        <w:t>9,4</w:t>
      </w:r>
      <w:r w:rsidRPr="00576340">
        <w:rPr>
          <w:rFonts w:ascii="Times New Roman" w:hAnsi="Times New Roman" w:cs="Times New Roman"/>
          <w:sz w:val="24"/>
          <w:szCs w:val="24"/>
        </w:rPr>
        <w:t xml:space="preserve">% </w:t>
      </w:r>
      <w:r w:rsidR="002A0817" w:rsidRPr="00576340">
        <w:rPr>
          <w:rFonts w:ascii="Times New Roman" w:hAnsi="Times New Roman" w:cs="Times New Roman"/>
          <w:sz w:val="24"/>
          <w:szCs w:val="24"/>
        </w:rPr>
        <w:t xml:space="preserve"> ili 6.309.119 kn više</w:t>
      </w:r>
      <w:r w:rsidR="00424514" w:rsidRPr="00576340">
        <w:rPr>
          <w:rFonts w:ascii="Times New Roman" w:hAnsi="Times New Roman" w:cs="Times New Roman"/>
          <w:sz w:val="24"/>
          <w:szCs w:val="24"/>
        </w:rPr>
        <w:t xml:space="preserve"> </w:t>
      </w:r>
      <w:r w:rsidRPr="00576340">
        <w:rPr>
          <w:rFonts w:ascii="Times New Roman" w:hAnsi="Times New Roman" w:cs="Times New Roman"/>
          <w:sz w:val="24"/>
          <w:szCs w:val="24"/>
        </w:rPr>
        <w:t xml:space="preserve">nego u </w:t>
      </w:r>
      <w:r w:rsidR="00685BE8" w:rsidRPr="00576340">
        <w:rPr>
          <w:rFonts w:ascii="Times New Roman" w:hAnsi="Times New Roman" w:cs="Times New Roman"/>
          <w:sz w:val="24"/>
          <w:szCs w:val="24"/>
        </w:rPr>
        <w:t>2018.</w:t>
      </w:r>
      <w:r w:rsidRPr="00576340">
        <w:rPr>
          <w:rFonts w:ascii="Times New Roman" w:hAnsi="Times New Roman" w:cs="Times New Roman"/>
          <w:sz w:val="24"/>
          <w:szCs w:val="24"/>
        </w:rPr>
        <w:t xml:space="preserve"> godini u istom razdoblju izvještavanja. </w:t>
      </w:r>
      <w:r w:rsidR="00424514" w:rsidRPr="00576340">
        <w:rPr>
          <w:rFonts w:ascii="Times New Roman" w:hAnsi="Times New Roman" w:cs="Times New Roman"/>
          <w:sz w:val="24"/>
          <w:szCs w:val="24"/>
        </w:rPr>
        <w:t>Čine 2</w:t>
      </w:r>
      <w:r w:rsidR="002A0817" w:rsidRPr="00576340">
        <w:rPr>
          <w:rFonts w:ascii="Times New Roman" w:hAnsi="Times New Roman" w:cs="Times New Roman"/>
          <w:sz w:val="24"/>
          <w:szCs w:val="24"/>
        </w:rPr>
        <w:t>5</w:t>
      </w:r>
      <w:r w:rsidR="00424514" w:rsidRPr="00576340">
        <w:rPr>
          <w:rFonts w:ascii="Times New Roman" w:hAnsi="Times New Roman" w:cs="Times New Roman"/>
          <w:sz w:val="24"/>
          <w:szCs w:val="24"/>
        </w:rPr>
        <w:t>,3% ukupnih prihoda poslovanja.</w:t>
      </w:r>
    </w:p>
    <w:p w:rsidR="00A82D22" w:rsidRDefault="00A82D22" w:rsidP="0052542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D5A" w:rsidRDefault="00853D5A" w:rsidP="0052542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49D" w:rsidRPr="00576340" w:rsidRDefault="0074349D" w:rsidP="00576340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340">
        <w:rPr>
          <w:rFonts w:ascii="Times New Roman" w:hAnsi="Times New Roman" w:cs="Times New Roman"/>
          <w:b/>
          <w:sz w:val="24"/>
          <w:szCs w:val="24"/>
        </w:rPr>
        <w:t>BILJEŠKA br. 11.</w:t>
      </w:r>
    </w:p>
    <w:p w:rsidR="0095249B" w:rsidRPr="00576340" w:rsidRDefault="0095249B" w:rsidP="0057634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5A49" w:rsidRPr="00576340" w:rsidRDefault="0074349D" w:rsidP="0057634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340">
        <w:rPr>
          <w:rFonts w:ascii="Times New Roman" w:hAnsi="Times New Roman" w:cs="Times New Roman"/>
          <w:sz w:val="24"/>
          <w:szCs w:val="24"/>
        </w:rPr>
        <w:t>Značajnije povećanje prihoda od upravnih i administrativnih pristojbi, pristojbi po posebnim propisima i naknada pomoći zabilježeno je u odjeljcima:</w:t>
      </w:r>
    </w:p>
    <w:p w:rsidR="004B68A7" w:rsidRPr="00576340" w:rsidRDefault="004B68A7" w:rsidP="00576340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340">
        <w:rPr>
          <w:rFonts w:ascii="Times New Roman" w:hAnsi="Times New Roman" w:cs="Times New Roman"/>
          <w:sz w:val="24"/>
          <w:szCs w:val="24"/>
        </w:rPr>
        <w:t xml:space="preserve">Ostale pristojbe i naknade (AOP110) - </w:t>
      </w:r>
      <w:r w:rsidR="00164792" w:rsidRPr="00576340">
        <w:rPr>
          <w:rFonts w:ascii="Times New Roman" w:hAnsi="Times New Roman" w:cs="Times New Roman"/>
          <w:sz w:val="24"/>
          <w:szCs w:val="24"/>
        </w:rPr>
        <w:t>iznose</w:t>
      </w:r>
      <w:r w:rsidRPr="00576340">
        <w:rPr>
          <w:rFonts w:ascii="Times New Roman" w:hAnsi="Times New Roman" w:cs="Times New Roman"/>
          <w:sz w:val="24"/>
          <w:szCs w:val="24"/>
        </w:rPr>
        <w:t xml:space="preserve"> </w:t>
      </w:r>
      <w:r w:rsidR="002A0817" w:rsidRPr="00576340">
        <w:rPr>
          <w:rFonts w:ascii="Times New Roman" w:hAnsi="Times New Roman" w:cs="Times New Roman"/>
          <w:sz w:val="24"/>
          <w:szCs w:val="24"/>
        </w:rPr>
        <w:t>2.400.934</w:t>
      </w:r>
      <w:r w:rsidRPr="00576340">
        <w:rPr>
          <w:rFonts w:ascii="Times New Roman" w:hAnsi="Times New Roman" w:cs="Times New Roman"/>
          <w:sz w:val="24"/>
          <w:szCs w:val="24"/>
        </w:rPr>
        <w:t xml:space="preserve"> kn što je za </w:t>
      </w:r>
      <w:r w:rsidR="002A0817" w:rsidRPr="00576340">
        <w:rPr>
          <w:rFonts w:ascii="Times New Roman" w:hAnsi="Times New Roman" w:cs="Times New Roman"/>
          <w:sz w:val="24"/>
          <w:szCs w:val="24"/>
        </w:rPr>
        <w:t>422.117</w:t>
      </w:r>
      <w:r w:rsidRPr="00576340">
        <w:rPr>
          <w:rFonts w:ascii="Times New Roman" w:hAnsi="Times New Roman" w:cs="Times New Roman"/>
          <w:sz w:val="24"/>
          <w:szCs w:val="24"/>
        </w:rPr>
        <w:t xml:space="preserve"> kn više nego u istom razdoblju izvještavanja </w:t>
      </w:r>
      <w:r w:rsidR="00685BE8" w:rsidRPr="00576340">
        <w:rPr>
          <w:rFonts w:ascii="Times New Roman" w:hAnsi="Times New Roman" w:cs="Times New Roman"/>
          <w:sz w:val="24"/>
          <w:szCs w:val="24"/>
        </w:rPr>
        <w:t>2018.</w:t>
      </w:r>
      <w:r w:rsidRPr="00576340">
        <w:rPr>
          <w:rFonts w:ascii="Times New Roman" w:hAnsi="Times New Roman" w:cs="Times New Roman"/>
          <w:sz w:val="24"/>
          <w:szCs w:val="24"/>
        </w:rPr>
        <w:t xml:space="preserve"> godine, a ostvarene su po osnovi boravišne pristojbe doznačene od Turističke zajednice grada Pule.</w:t>
      </w:r>
    </w:p>
    <w:p w:rsidR="002A0817" w:rsidRPr="00576340" w:rsidRDefault="002A0817" w:rsidP="00576340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340">
        <w:rPr>
          <w:rFonts w:ascii="Times New Roman" w:hAnsi="Times New Roman" w:cs="Times New Roman"/>
          <w:sz w:val="24"/>
          <w:szCs w:val="24"/>
        </w:rPr>
        <w:t>Prihodi od vodnog gospodarstva (AOP113) - iznose 248.193 kn što je za 56.948 kn više nego u 2018. godini u istom izvještajnom razdoblju. Vodni doprinos obračunavaju i naplaćuju Hrvatske vode te Gradu pripada 8% vodnog doprinosa naplaćenog na njegovom području.</w:t>
      </w:r>
    </w:p>
    <w:p w:rsidR="002A0817" w:rsidRPr="00576340" w:rsidRDefault="002A0817" w:rsidP="00576340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340">
        <w:rPr>
          <w:rFonts w:ascii="Times New Roman" w:hAnsi="Times New Roman" w:cs="Times New Roman"/>
          <w:sz w:val="24"/>
          <w:szCs w:val="24"/>
        </w:rPr>
        <w:t>Ostali nespomenuti prihodi (AOP116) - iznose 9.640.157 kn što je za 4.492.858 kn više nego u 2018. godini u istom izvještajnom razdoblju. Povećanje prihoda rezult</w:t>
      </w:r>
      <w:r w:rsidR="00B40484">
        <w:rPr>
          <w:rFonts w:ascii="Times New Roman" w:hAnsi="Times New Roman" w:cs="Times New Roman"/>
          <w:sz w:val="24"/>
          <w:szCs w:val="24"/>
        </w:rPr>
        <w:t>at je na</w:t>
      </w:r>
      <w:r w:rsidR="00576340">
        <w:rPr>
          <w:rFonts w:ascii="Times New Roman" w:hAnsi="Times New Roman" w:cs="Times New Roman"/>
          <w:sz w:val="24"/>
          <w:szCs w:val="24"/>
        </w:rPr>
        <w:t>plate</w:t>
      </w:r>
      <w:r w:rsidRPr="00576340">
        <w:rPr>
          <w:rFonts w:ascii="Times New Roman" w:hAnsi="Times New Roman" w:cs="Times New Roman"/>
          <w:sz w:val="24"/>
          <w:szCs w:val="24"/>
        </w:rPr>
        <w:t xml:space="preserve"> </w:t>
      </w:r>
      <w:r w:rsidR="00B40484">
        <w:rPr>
          <w:rFonts w:ascii="Times New Roman" w:hAnsi="Times New Roman" w:cs="Times New Roman"/>
          <w:sz w:val="24"/>
          <w:szCs w:val="24"/>
        </w:rPr>
        <w:t xml:space="preserve">potraživanja jednog </w:t>
      </w:r>
      <w:r w:rsidRPr="00576340">
        <w:rPr>
          <w:rFonts w:ascii="Times New Roman" w:hAnsi="Times New Roman" w:cs="Times New Roman"/>
          <w:sz w:val="24"/>
          <w:szCs w:val="24"/>
        </w:rPr>
        <w:t>trgovačkog drušva za financiranje radova izgradnj</w:t>
      </w:r>
      <w:r w:rsidR="00B40484">
        <w:rPr>
          <w:rFonts w:ascii="Times New Roman" w:hAnsi="Times New Roman" w:cs="Times New Roman"/>
          <w:sz w:val="24"/>
          <w:szCs w:val="24"/>
        </w:rPr>
        <w:t>e</w:t>
      </w:r>
      <w:r w:rsidRPr="00576340">
        <w:rPr>
          <w:rFonts w:ascii="Times New Roman" w:hAnsi="Times New Roman" w:cs="Times New Roman"/>
          <w:sz w:val="24"/>
          <w:szCs w:val="24"/>
        </w:rPr>
        <w:t xml:space="preserve"> kanalizacije, prisilna naplata dugovanja</w:t>
      </w:r>
      <w:r w:rsidR="00B40484">
        <w:rPr>
          <w:rFonts w:ascii="Times New Roman" w:hAnsi="Times New Roman" w:cs="Times New Roman"/>
          <w:sz w:val="24"/>
          <w:szCs w:val="24"/>
        </w:rPr>
        <w:t xml:space="preserve"> iz ranijih razdoblja </w:t>
      </w:r>
      <w:r w:rsidRPr="00576340">
        <w:rPr>
          <w:rFonts w:ascii="Times New Roman" w:hAnsi="Times New Roman" w:cs="Times New Roman"/>
          <w:sz w:val="24"/>
          <w:szCs w:val="24"/>
        </w:rPr>
        <w:t xml:space="preserve">po osnovi naknade od zbrinjavanja komunalnog otpada - druge JLS, a sukladno pravomoćnim sudskim presudama te uplate na ime naknade </w:t>
      </w:r>
      <w:r w:rsidR="00576340">
        <w:rPr>
          <w:rFonts w:ascii="Times New Roman" w:hAnsi="Times New Roman" w:cs="Times New Roman"/>
          <w:sz w:val="24"/>
          <w:szCs w:val="24"/>
        </w:rPr>
        <w:t>za</w:t>
      </w:r>
      <w:r w:rsidRPr="00576340">
        <w:rPr>
          <w:rFonts w:ascii="Times New Roman" w:hAnsi="Times New Roman" w:cs="Times New Roman"/>
          <w:sz w:val="24"/>
          <w:szCs w:val="24"/>
        </w:rPr>
        <w:t xml:space="preserve"> troškove izborne promidžbe za Vijeća nacionalnih manjina Grada Pule.</w:t>
      </w:r>
    </w:p>
    <w:p w:rsidR="002A0817" w:rsidRPr="00576340" w:rsidRDefault="002A0817" w:rsidP="0057634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49D" w:rsidRPr="00576340" w:rsidRDefault="004E7F7C" w:rsidP="0057634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340">
        <w:rPr>
          <w:rFonts w:ascii="Times New Roman" w:hAnsi="Times New Roman" w:cs="Times New Roman"/>
          <w:sz w:val="24"/>
          <w:szCs w:val="24"/>
        </w:rPr>
        <w:t>Značajnije smanjenje prihoda od upravnih i administrativnih pristojbi, pristojbi po posebnim propisima i naknada</w:t>
      </w:r>
      <w:r w:rsidR="002A0817" w:rsidRPr="00576340">
        <w:rPr>
          <w:rFonts w:ascii="Times New Roman" w:hAnsi="Times New Roman" w:cs="Times New Roman"/>
          <w:sz w:val="24"/>
          <w:szCs w:val="24"/>
        </w:rPr>
        <w:t xml:space="preserve"> pomoći zabilježeno je u odjeljku </w:t>
      </w:r>
      <w:r w:rsidR="00BA1DAA" w:rsidRPr="00576340">
        <w:rPr>
          <w:rFonts w:ascii="Times New Roman" w:hAnsi="Times New Roman" w:cs="Times New Roman"/>
          <w:sz w:val="24"/>
          <w:szCs w:val="24"/>
        </w:rPr>
        <w:t>Komunalni doprinosi (AOP120)</w:t>
      </w:r>
      <w:r w:rsidR="00576340">
        <w:rPr>
          <w:rFonts w:ascii="Times New Roman" w:hAnsi="Times New Roman" w:cs="Times New Roman"/>
          <w:sz w:val="24"/>
          <w:szCs w:val="24"/>
        </w:rPr>
        <w:t xml:space="preserve"> -</w:t>
      </w:r>
      <w:r w:rsidR="00BA1DAA" w:rsidRPr="00576340"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2A0817" w:rsidRPr="00576340">
        <w:rPr>
          <w:rFonts w:ascii="Times New Roman" w:hAnsi="Times New Roman" w:cs="Times New Roman"/>
          <w:sz w:val="24"/>
          <w:szCs w:val="24"/>
        </w:rPr>
        <w:t>11.847.264</w:t>
      </w:r>
      <w:r w:rsidR="00BA1DAA" w:rsidRPr="00576340">
        <w:rPr>
          <w:rFonts w:ascii="Times New Roman" w:hAnsi="Times New Roman" w:cs="Times New Roman"/>
          <w:sz w:val="24"/>
          <w:szCs w:val="24"/>
        </w:rPr>
        <w:t xml:space="preserve"> kn ili za </w:t>
      </w:r>
      <w:r w:rsidR="002A0817" w:rsidRPr="00576340">
        <w:rPr>
          <w:rFonts w:ascii="Times New Roman" w:hAnsi="Times New Roman" w:cs="Times New Roman"/>
          <w:sz w:val="24"/>
          <w:szCs w:val="24"/>
        </w:rPr>
        <w:t>23,0</w:t>
      </w:r>
      <w:r w:rsidR="00BA1DAA" w:rsidRPr="00576340">
        <w:rPr>
          <w:rFonts w:ascii="Times New Roman" w:hAnsi="Times New Roman" w:cs="Times New Roman"/>
          <w:sz w:val="24"/>
          <w:szCs w:val="24"/>
        </w:rPr>
        <w:t xml:space="preserve">% manje nego u istom izvještajnom razdoblju </w:t>
      </w:r>
      <w:r w:rsidR="00685BE8" w:rsidRPr="00576340">
        <w:rPr>
          <w:rFonts w:ascii="Times New Roman" w:hAnsi="Times New Roman" w:cs="Times New Roman"/>
          <w:sz w:val="24"/>
          <w:szCs w:val="24"/>
        </w:rPr>
        <w:t>2018.</w:t>
      </w:r>
      <w:r w:rsidR="00BA1DAA" w:rsidRPr="00576340">
        <w:rPr>
          <w:rFonts w:ascii="Times New Roman" w:hAnsi="Times New Roman" w:cs="Times New Roman"/>
          <w:sz w:val="24"/>
          <w:szCs w:val="24"/>
        </w:rPr>
        <w:t xml:space="preserve"> go</w:t>
      </w:r>
      <w:r w:rsidR="002A0817" w:rsidRPr="00576340">
        <w:rPr>
          <w:rFonts w:ascii="Times New Roman" w:hAnsi="Times New Roman" w:cs="Times New Roman"/>
          <w:sz w:val="24"/>
          <w:szCs w:val="24"/>
        </w:rPr>
        <w:t xml:space="preserve">dine iz razloga što se </w:t>
      </w:r>
      <w:r w:rsidR="00576340">
        <w:rPr>
          <w:rFonts w:ascii="Times New Roman" w:hAnsi="Times New Roman" w:cs="Times New Roman"/>
          <w:sz w:val="24"/>
          <w:szCs w:val="24"/>
        </w:rPr>
        <w:t xml:space="preserve">prihod </w:t>
      </w:r>
      <w:r w:rsidR="002A0817" w:rsidRPr="00576340">
        <w:rPr>
          <w:rFonts w:ascii="Times New Roman" w:hAnsi="Times New Roman" w:cs="Times New Roman"/>
          <w:sz w:val="24"/>
          <w:szCs w:val="24"/>
        </w:rPr>
        <w:t>dijelom odnosi na legalizaciju bespravno izgrađenih objekata, pa je njegovo smanjenje i očekivano.</w:t>
      </w:r>
    </w:p>
    <w:p w:rsidR="00C93ED2" w:rsidRPr="00576340" w:rsidRDefault="00C93ED2" w:rsidP="0057634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3ED2" w:rsidRPr="00576340" w:rsidRDefault="00C93ED2" w:rsidP="0057634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7BF" w:rsidRPr="00576340" w:rsidRDefault="00E127BF" w:rsidP="0057634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340">
        <w:rPr>
          <w:rFonts w:ascii="Times New Roman" w:hAnsi="Times New Roman" w:cs="Times New Roman"/>
          <w:b/>
          <w:sz w:val="24"/>
          <w:szCs w:val="24"/>
        </w:rPr>
        <w:t>BILJEŠKA br. 1</w:t>
      </w:r>
      <w:r w:rsidR="005E5881" w:rsidRPr="00576340">
        <w:rPr>
          <w:rFonts w:ascii="Times New Roman" w:hAnsi="Times New Roman" w:cs="Times New Roman"/>
          <w:b/>
          <w:sz w:val="24"/>
          <w:szCs w:val="24"/>
        </w:rPr>
        <w:t>2</w:t>
      </w:r>
      <w:r w:rsidRPr="00576340">
        <w:rPr>
          <w:rFonts w:ascii="Times New Roman" w:hAnsi="Times New Roman" w:cs="Times New Roman"/>
          <w:b/>
          <w:sz w:val="24"/>
          <w:szCs w:val="24"/>
        </w:rPr>
        <w:t>.</w:t>
      </w:r>
    </w:p>
    <w:p w:rsidR="0095249B" w:rsidRPr="00576340" w:rsidRDefault="0095249B" w:rsidP="0057634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3ED2" w:rsidRPr="00576340" w:rsidRDefault="008A75B0" w:rsidP="0057634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6340">
        <w:rPr>
          <w:rFonts w:ascii="Times New Roman" w:hAnsi="Times New Roman" w:cs="Times New Roman"/>
          <w:b/>
          <w:sz w:val="24"/>
          <w:szCs w:val="24"/>
        </w:rPr>
        <w:t>Prihodi od prodaje proizvoda i robe te pruženih usluga i prihodi od donacija</w:t>
      </w:r>
      <w:r w:rsidR="000D44B2" w:rsidRPr="00576340">
        <w:rPr>
          <w:rFonts w:ascii="Times New Roman" w:hAnsi="Times New Roman" w:cs="Times New Roman"/>
          <w:b/>
          <w:sz w:val="24"/>
          <w:szCs w:val="24"/>
        </w:rPr>
        <w:t xml:space="preserve"> (AOP12</w:t>
      </w:r>
      <w:r w:rsidR="00A3453D" w:rsidRPr="00576340">
        <w:rPr>
          <w:rFonts w:ascii="Times New Roman" w:hAnsi="Times New Roman" w:cs="Times New Roman"/>
          <w:b/>
          <w:sz w:val="24"/>
          <w:szCs w:val="24"/>
        </w:rPr>
        <w:t>3</w:t>
      </w:r>
      <w:r w:rsidR="000D44B2" w:rsidRPr="00576340">
        <w:rPr>
          <w:rFonts w:ascii="Times New Roman" w:hAnsi="Times New Roman" w:cs="Times New Roman"/>
          <w:b/>
          <w:sz w:val="24"/>
          <w:szCs w:val="24"/>
        </w:rPr>
        <w:t>)</w:t>
      </w:r>
      <w:r w:rsidR="002367ED" w:rsidRPr="00576340">
        <w:rPr>
          <w:rFonts w:ascii="Times New Roman" w:hAnsi="Times New Roman" w:cs="Times New Roman"/>
          <w:sz w:val="24"/>
          <w:szCs w:val="24"/>
        </w:rPr>
        <w:t xml:space="preserve"> </w:t>
      </w:r>
      <w:r w:rsidR="003A7E83" w:rsidRPr="00576340">
        <w:rPr>
          <w:rFonts w:ascii="Times New Roman" w:hAnsi="Times New Roman" w:cs="Times New Roman"/>
          <w:sz w:val="24"/>
          <w:szCs w:val="24"/>
        </w:rPr>
        <w:t>-</w:t>
      </w:r>
      <w:r w:rsidRPr="00576340">
        <w:rPr>
          <w:rFonts w:ascii="Times New Roman" w:hAnsi="Times New Roman" w:cs="Times New Roman"/>
          <w:sz w:val="24"/>
          <w:szCs w:val="24"/>
        </w:rPr>
        <w:t xml:space="preserve"> ostvareni </w:t>
      </w:r>
      <w:r w:rsidR="00A3453D" w:rsidRPr="00576340">
        <w:rPr>
          <w:rFonts w:ascii="Times New Roman" w:hAnsi="Times New Roman" w:cs="Times New Roman"/>
          <w:sz w:val="24"/>
          <w:szCs w:val="24"/>
        </w:rPr>
        <w:t xml:space="preserve">su </w:t>
      </w:r>
      <w:r w:rsidRPr="00576340">
        <w:rPr>
          <w:rFonts w:ascii="Times New Roman" w:hAnsi="Times New Roman" w:cs="Times New Roman"/>
          <w:sz w:val="24"/>
          <w:szCs w:val="24"/>
        </w:rPr>
        <w:t xml:space="preserve">za </w:t>
      </w:r>
      <w:r w:rsidR="00576340">
        <w:rPr>
          <w:rFonts w:ascii="Times New Roman" w:hAnsi="Times New Roman" w:cs="Times New Roman"/>
          <w:sz w:val="24"/>
          <w:szCs w:val="24"/>
        </w:rPr>
        <w:t>1.597</w:t>
      </w:r>
      <w:r w:rsidR="0036164A">
        <w:rPr>
          <w:rFonts w:ascii="Times New Roman" w:hAnsi="Times New Roman" w:cs="Times New Roman"/>
          <w:sz w:val="24"/>
          <w:szCs w:val="24"/>
        </w:rPr>
        <w:t>,0</w:t>
      </w:r>
      <w:r w:rsidR="00576340">
        <w:rPr>
          <w:rFonts w:ascii="Times New Roman" w:hAnsi="Times New Roman" w:cs="Times New Roman"/>
          <w:sz w:val="24"/>
          <w:szCs w:val="24"/>
        </w:rPr>
        <w:t xml:space="preserve">% ili </w:t>
      </w:r>
      <w:r w:rsidR="005E5881" w:rsidRPr="00576340">
        <w:rPr>
          <w:rFonts w:ascii="Times New Roman" w:hAnsi="Times New Roman" w:cs="Times New Roman"/>
          <w:sz w:val="24"/>
          <w:szCs w:val="24"/>
        </w:rPr>
        <w:t xml:space="preserve">1.329.118 </w:t>
      </w:r>
      <w:r w:rsidRPr="00576340">
        <w:rPr>
          <w:rFonts w:ascii="Times New Roman" w:hAnsi="Times New Roman" w:cs="Times New Roman"/>
          <w:sz w:val="24"/>
          <w:szCs w:val="24"/>
        </w:rPr>
        <w:t xml:space="preserve">kn </w:t>
      </w:r>
      <w:r w:rsidR="005E5881" w:rsidRPr="00576340">
        <w:rPr>
          <w:rFonts w:ascii="Times New Roman" w:hAnsi="Times New Roman" w:cs="Times New Roman"/>
          <w:sz w:val="24"/>
          <w:szCs w:val="24"/>
        </w:rPr>
        <w:t>više</w:t>
      </w:r>
      <w:r w:rsidR="00A3453D" w:rsidRPr="00576340">
        <w:rPr>
          <w:rFonts w:ascii="Times New Roman" w:hAnsi="Times New Roman" w:cs="Times New Roman"/>
          <w:sz w:val="24"/>
          <w:szCs w:val="24"/>
        </w:rPr>
        <w:t xml:space="preserve"> </w:t>
      </w:r>
      <w:r w:rsidRPr="00576340">
        <w:rPr>
          <w:rFonts w:ascii="Times New Roman" w:hAnsi="Times New Roman" w:cs="Times New Roman"/>
          <w:sz w:val="24"/>
          <w:szCs w:val="24"/>
        </w:rPr>
        <w:t xml:space="preserve">nego u </w:t>
      </w:r>
      <w:r w:rsidR="00685BE8" w:rsidRPr="00576340">
        <w:rPr>
          <w:rFonts w:ascii="Times New Roman" w:hAnsi="Times New Roman" w:cs="Times New Roman"/>
          <w:sz w:val="24"/>
          <w:szCs w:val="24"/>
        </w:rPr>
        <w:t>2018.</w:t>
      </w:r>
      <w:r w:rsidRPr="00576340">
        <w:rPr>
          <w:rFonts w:ascii="Times New Roman" w:hAnsi="Times New Roman" w:cs="Times New Roman"/>
          <w:sz w:val="24"/>
          <w:szCs w:val="24"/>
        </w:rPr>
        <w:t xml:space="preserve"> godini u istom izvještajnom razdoblju i iznose </w:t>
      </w:r>
      <w:r w:rsidR="005E5881" w:rsidRPr="00576340">
        <w:rPr>
          <w:rFonts w:ascii="Times New Roman" w:hAnsi="Times New Roman" w:cs="Times New Roman"/>
          <w:sz w:val="24"/>
          <w:szCs w:val="24"/>
        </w:rPr>
        <w:t>1.412.344</w:t>
      </w:r>
      <w:r w:rsidR="00E127BF" w:rsidRPr="00576340">
        <w:rPr>
          <w:rFonts w:ascii="Times New Roman" w:hAnsi="Times New Roman" w:cs="Times New Roman"/>
          <w:sz w:val="24"/>
          <w:szCs w:val="24"/>
        </w:rPr>
        <w:t xml:space="preserve"> kn. </w:t>
      </w:r>
      <w:r w:rsidR="00C93ED2" w:rsidRPr="00576340">
        <w:rPr>
          <w:rFonts w:ascii="Times New Roman" w:hAnsi="Times New Roman" w:cs="Times New Roman"/>
          <w:sz w:val="24"/>
          <w:szCs w:val="24"/>
        </w:rPr>
        <w:t>Čine ih:</w:t>
      </w:r>
    </w:p>
    <w:p w:rsidR="00C93ED2" w:rsidRPr="00576340" w:rsidRDefault="008A75B0" w:rsidP="00576340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340">
        <w:rPr>
          <w:rFonts w:ascii="Times New Roman" w:hAnsi="Times New Roman" w:cs="Times New Roman"/>
          <w:sz w:val="24"/>
          <w:szCs w:val="24"/>
        </w:rPr>
        <w:t>Prihodi od pruženih usluga</w:t>
      </w:r>
      <w:r w:rsidR="00C93ED2" w:rsidRPr="00576340">
        <w:rPr>
          <w:rFonts w:ascii="Times New Roman" w:hAnsi="Times New Roman" w:cs="Times New Roman"/>
          <w:sz w:val="24"/>
          <w:szCs w:val="24"/>
        </w:rPr>
        <w:t xml:space="preserve"> (AOP126) - </w:t>
      </w:r>
      <w:r w:rsidRPr="00576340">
        <w:rPr>
          <w:rFonts w:ascii="Times New Roman" w:hAnsi="Times New Roman" w:cs="Times New Roman"/>
          <w:sz w:val="24"/>
          <w:szCs w:val="24"/>
        </w:rPr>
        <w:t xml:space="preserve"> ostvareni su </w:t>
      </w:r>
      <w:r w:rsidR="005E5881" w:rsidRPr="00576340">
        <w:rPr>
          <w:rFonts w:ascii="Times New Roman" w:hAnsi="Times New Roman" w:cs="Times New Roman"/>
          <w:sz w:val="24"/>
          <w:szCs w:val="24"/>
        </w:rPr>
        <w:t>u iznosu od 1.214.899 kn  što je za 1.172.154 kn više nego 2018. godine u istom izvještajnom razdoblju. N</w:t>
      </w:r>
      <w:r w:rsidR="00C93ED2" w:rsidRPr="00576340">
        <w:rPr>
          <w:rFonts w:ascii="Times New Roman" w:hAnsi="Times New Roman" w:cs="Times New Roman"/>
          <w:sz w:val="24"/>
          <w:szCs w:val="24"/>
        </w:rPr>
        <w:t xml:space="preserve">a nivou mjesnih odbora </w:t>
      </w:r>
      <w:r w:rsidR="005E5881" w:rsidRPr="00576340">
        <w:rPr>
          <w:rFonts w:ascii="Times New Roman" w:hAnsi="Times New Roman" w:cs="Times New Roman"/>
          <w:sz w:val="24"/>
          <w:szCs w:val="24"/>
        </w:rPr>
        <w:t>ostvaren je  iznos</w:t>
      </w:r>
      <w:r w:rsidRPr="00576340">
        <w:rPr>
          <w:rFonts w:ascii="Times New Roman" w:hAnsi="Times New Roman" w:cs="Times New Roman"/>
          <w:sz w:val="24"/>
          <w:szCs w:val="24"/>
        </w:rPr>
        <w:t xml:space="preserve"> od </w:t>
      </w:r>
      <w:r w:rsidR="005E5881" w:rsidRPr="00576340">
        <w:rPr>
          <w:rFonts w:ascii="Times New Roman" w:hAnsi="Times New Roman" w:cs="Times New Roman"/>
          <w:sz w:val="24"/>
          <w:szCs w:val="24"/>
        </w:rPr>
        <w:t>49.040</w:t>
      </w:r>
      <w:r w:rsidRPr="00576340">
        <w:rPr>
          <w:rFonts w:ascii="Times New Roman" w:hAnsi="Times New Roman" w:cs="Times New Roman"/>
          <w:sz w:val="24"/>
          <w:szCs w:val="24"/>
        </w:rPr>
        <w:t xml:space="preserve"> kn</w:t>
      </w:r>
      <w:r w:rsidR="004C3F55" w:rsidRPr="00576340">
        <w:rPr>
          <w:rFonts w:ascii="Times New Roman" w:hAnsi="Times New Roman" w:cs="Times New Roman"/>
          <w:sz w:val="24"/>
          <w:szCs w:val="24"/>
        </w:rPr>
        <w:t>, a</w:t>
      </w:r>
      <w:r w:rsidR="005E5881" w:rsidRPr="00576340">
        <w:rPr>
          <w:rFonts w:ascii="Times New Roman" w:hAnsi="Times New Roman" w:cs="Times New Roman"/>
          <w:sz w:val="24"/>
          <w:szCs w:val="24"/>
        </w:rPr>
        <w:t xml:space="preserve"> odnosi</w:t>
      </w:r>
      <w:r w:rsidR="00EE64C7" w:rsidRPr="00576340">
        <w:rPr>
          <w:rFonts w:ascii="Times New Roman" w:hAnsi="Times New Roman" w:cs="Times New Roman"/>
          <w:sz w:val="24"/>
          <w:szCs w:val="24"/>
        </w:rPr>
        <w:t xml:space="preserve"> se na naknadu za najam prostora mjesnih odbora</w:t>
      </w:r>
      <w:r w:rsidR="005E5881" w:rsidRPr="00576340">
        <w:rPr>
          <w:rFonts w:ascii="Times New Roman" w:hAnsi="Times New Roman" w:cs="Times New Roman"/>
          <w:sz w:val="24"/>
          <w:szCs w:val="24"/>
        </w:rPr>
        <w:t xml:space="preserve"> dok se iznos od 1.165.859 kn odnosi na prihod (proviziju) koji doznačuju Hrvatske vode</w:t>
      </w:r>
      <w:r w:rsidR="00B40484">
        <w:rPr>
          <w:rFonts w:ascii="Times New Roman" w:hAnsi="Times New Roman" w:cs="Times New Roman"/>
          <w:sz w:val="24"/>
          <w:szCs w:val="24"/>
        </w:rPr>
        <w:t xml:space="preserve"> - </w:t>
      </w:r>
      <w:r w:rsidR="005E5881" w:rsidRPr="00576340">
        <w:rPr>
          <w:rFonts w:ascii="Times New Roman" w:hAnsi="Times New Roman" w:cs="Times New Roman"/>
          <w:sz w:val="24"/>
          <w:szCs w:val="24"/>
        </w:rPr>
        <w:t xml:space="preserve">10% </w:t>
      </w:r>
      <w:r w:rsidR="00B40484">
        <w:rPr>
          <w:rFonts w:ascii="Times New Roman" w:hAnsi="Times New Roman" w:cs="Times New Roman"/>
          <w:sz w:val="24"/>
          <w:szCs w:val="24"/>
        </w:rPr>
        <w:t>od iznosa</w:t>
      </w:r>
      <w:r w:rsidR="005E5881" w:rsidRPr="00576340">
        <w:rPr>
          <w:rFonts w:ascii="Times New Roman" w:hAnsi="Times New Roman" w:cs="Times New Roman"/>
          <w:sz w:val="24"/>
          <w:szCs w:val="24"/>
        </w:rPr>
        <w:t xml:space="preserve"> uplaćene naknade za uređenje voda </w:t>
      </w:r>
      <w:r w:rsidR="00B40484">
        <w:rPr>
          <w:rFonts w:ascii="Times New Roman" w:hAnsi="Times New Roman" w:cs="Times New Roman"/>
          <w:sz w:val="24"/>
          <w:szCs w:val="24"/>
        </w:rPr>
        <w:t>koja</w:t>
      </w:r>
      <w:r w:rsidR="005E5881" w:rsidRPr="00576340">
        <w:rPr>
          <w:rFonts w:ascii="Times New Roman" w:hAnsi="Times New Roman" w:cs="Times New Roman"/>
          <w:sz w:val="24"/>
          <w:szCs w:val="24"/>
        </w:rPr>
        <w:t xml:space="preserve"> Grad</w:t>
      </w:r>
      <w:r w:rsidR="00B40484">
        <w:rPr>
          <w:rFonts w:ascii="Times New Roman" w:hAnsi="Times New Roman" w:cs="Times New Roman"/>
          <w:sz w:val="24"/>
          <w:szCs w:val="24"/>
        </w:rPr>
        <w:t>u</w:t>
      </w:r>
      <w:r w:rsidR="005E5881" w:rsidRPr="00576340">
        <w:rPr>
          <w:rFonts w:ascii="Times New Roman" w:hAnsi="Times New Roman" w:cs="Times New Roman"/>
          <w:sz w:val="24"/>
          <w:szCs w:val="24"/>
        </w:rPr>
        <w:t xml:space="preserve"> </w:t>
      </w:r>
      <w:r w:rsidR="00B40484">
        <w:rPr>
          <w:rFonts w:ascii="Times New Roman" w:hAnsi="Times New Roman" w:cs="Times New Roman"/>
          <w:sz w:val="24"/>
          <w:szCs w:val="24"/>
        </w:rPr>
        <w:t>pripada</w:t>
      </w:r>
      <w:r w:rsidR="005E5881" w:rsidRPr="00576340">
        <w:rPr>
          <w:rFonts w:ascii="Times New Roman" w:hAnsi="Times New Roman" w:cs="Times New Roman"/>
          <w:sz w:val="24"/>
          <w:szCs w:val="24"/>
        </w:rPr>
        <w:t xml:space="preserve"> </w:t>
      </w:r>
      <w:r w:rsidR="00B40484">
        <w:rPr>
          <w:rFonts w:ascii="Times New Roman" w:hAnsi="Times New Roman" w:cs="Times New Roman"/>
          <w:sz w:val="24"/>
          <w:szCs w:val="24"/>
        </w:rPr>
        <w:t xml:space="preserve">temeljem </w:t>
      </w:r>
      <w:r w:rsidR="005E5881" w:rsidRPr="00576340">
        <w:rPr>
          <w:rFonts w:ascii="Times New Roman" w:hAnsi="Times New Roman" w:cs="Times New Roman"/>
          <w:sz w:val="24"/>
          <w:szCs w:val="24"/>
        </w:rPr>
        <w:lastRenderedPageBreak/>
        <w:t>Zakon</w:t>
      </w:r>
      <w:r w:rsidR="00B40484">
        <w:rPr>
          <w:rFonts w:ascii="Times New Roman" w:hAnsi="Times New Roman" w:cs="Times New Roman"/>
          <w:sz w:val="24"/>
          <w:szCs w:val="24"/>
        </w:rPr>
        <w:t>a</w:t>
      </w:r>
      <w:r w:rsidR="005E5881" w:rsidRPr="00576340">
        <w:rPr>
          <w:rFonts w:ascii="Times New Roman" w:hAnsi="Times New Roman" w:cs="Times New Roman"/>
          <w:sz w:val="24"/>
          <w:szCs w:val="24"/>
        </w:rPr>
        <w:t xml:space="preserve"> o financiranju vodnog gospodarstva, a koji je u 2018. godini bio iskazan u odjeljku 6526</w:t>
      </w:r>
      <w:r w:rsidR="00853D5A">
        <w:rPr>
          <w:rFonts w:ascii="Times New Roman" w:hAnsi="Times New Roman" w:cs="Times New Roman"/>
          <w:sz w:val="24"/>
          <w:szCs w:val="24"/>
        </w:rPr>
        <w:t>;</w:t>
      </w:r>
      <w:r w:rsidR="005E5881" w:rsidRPr="00576340">
        <w:rPr>
          <w:rFonts w:ascii="Times New Roman" w:hAnsi="Times New Roman" w:cs="Times New Roman"/>
          <w:sz w:val="24"/>
          <w:szCs w:val="24"/>
        </w:rPr>
        <w:t xml:space="preserve"> </w:t>
      </w:r>
      <w:r w:rsidRPr="00576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ED2" w:rsidRPr="00576340" w:rsidRDefault="00C93ED2" w:rsidP="00576340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340">
        <w:rPr>
          <w:rFonts w:ascii="Times New Roman" w:hAnsi="Times New Roman" w:cs="Times New Roman"/>
          <w:sz w:val="24"/>
          <w:szCs w:val="24"/>
        </w:rPr>
        <w:t>Tekuće donacije (AOP128) -</w:t>
      </w:r>
      <w:r w:rsidR="008A75B0" w:rsidRPr="00576340">
        <w:rPr>
          <w:rFonts w:ascii="Times New Roman" w:hAnsi="Times New Roman" w:cs="Times New Roman"/>
          <w:sz w:val="24"/>
          <w:szCs w:val="24"/>
        </w:rPr>
        <w:t xml:space="preserve"> </w:t>
      </w:r>
      <w:r w:rsidR="00EE64C7" w:rsidRPr="00576340">
        <w:rPr>
          <w:rFonts w:ascii="Times New Roman" w:hAnsi="Times New Roman" w:cs="Times New Roman"/>
          <w:sz w:val="24"/>
          <w:szCs w:val="24"/>
        </w:rPr>
        <w:t>ostvaren</w:t>
      </w:r>
      <w:r w:rsidRPr="00576340">
        <w:rPr>
          <w:rFonts w:ascii="Times New Roman" w:hAnsi="Times New Roman" w:cs="Times New Roman"/>
          <w:sz w:val="24"/>
          <w:szCs w:val="24"/>
        </w:rPr>
        <w:t>e</w:t>
      </w:r>
      <w:r w:rsidR="00EE64C7" w:rsidRPr="00576340">
        <w:rPr>
          <w:rFonts w:ascii="Times New Roman" w:hAnsi="Times New Roman" w:cs="Times New Roman"/>
          <w:sz w:val="24"/>
          <w:szCs w:val="24"/>
        </w:rPr>
        <w:t xml:space="preserve"> su </w:t>
      </w:r>
      <w:r w:rsidR="008A75B0" w:rsidRPr="00576340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E5881" w:rsidRPr="00576340">
        <w:rPr>
          <w:rFonts w:ascii="Times New Roman" w:hAnsi="Times New Roman" w:cs="Times New Roman"/>
          <w:sz w:val="24"/>
          <w:szCs w:val="24"/>
        </w:rPr>
        <w:t>22.645</w:t>
      </w:r>
      <w:r w:rsidR="008A75B0" w:rsidRPr="00576340">
        <w:rPr>
          <w:rFonts w:ascii="Times New Roman" w:hAnsi="Times New Roman" w:cs="Times New Roman"/>
          <w:sz w:val="24"/>
          <w:szCs w:val="24"/>
        </w:rPr>
        <w:t xml:space="preserve"> kn</w:t>
      </w:r>
      <w:r w:rsidR="00495562" w:rsidRPr="00576340">
        <w:rPr>
          <w:rFonts w:ascii="Times New Roman" w:hAnsi="Times New Roman" w:cs="Times New Roman"/>
          <w:sz w:val="24"/>
          <w:szCs w:val="24"/>
        </w:rPr>
        <w:t xml:space="preserve">, a čine ih donacije </w:t>
      </w:r>
      <w:r w:rsidR="005E5881" w:rsidRPr="00576340">
        <w:rPr>
          <w:rFonts w:ascii="Times New Roman" w:hAnsi="Times New Roman" w:cs="Times New Roman"/>
          <w:sz w:val="24"/>
          <w:szCs w:val="24"/>
        </w:rPr>
        <w:t>fizičkih osoba</w:t>
      </w:r>
      <w:r w:rsidR="00615836" w:rsidRPr="00576340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E5881" w:rsidRPr="00576340">
        <w:rPr>
          <w:rFonts w:ascii="Times New Roman" w:hAnsi="Times New Roman" w:cs="Times New Roman"/>
          <w:sz w:val="24"/>
          <w:szCs w:val="24"/>
        </w:rPr>
        <w:t>12.410</w:t>
      </w:r>
      <w:r w:rsidR="00615836" w:rsidRPr="00576340">
        <w:rPr>
          <w:rFonts w:ascii="Times New Roman" w:hAnsi="Times New Roman" w:cs="Times New Roman"/>
          <w:sz w:val="24"/>
          <w:szCs w:val="24"/>
        </w:rPr>
        <w:t xml:space="preserve"> kn</w:t>
      </w:r>
      <w:r w:rsidR="005E5881" w:rsidRPr="00576340">
        <w:rPr>
          <w:rFonts w:ascii="Times New Roman" w:hAnsi="Times New Roman" w:cs="Times New Roman"/>
          <w:sz w:val="24"/>
          <w:szCs w:val="24"/>
        </w:rPr>
        <w:t xml:space="preserve"> i</w:t>
      </w:r>
      <w:r w:rsidR="00615836" w:rsidRPr="00576340">
        <w:rPr>
          <w:rFonts w:ascii="Times New Roman" w:hAnsi="Times New Roman" w:cs="Times New Roman"/>
          <w:sz w:val="24"/>
          <w:szCs w:val="24"/>
        </w:rPr>
        <w:t xml:space="preserve"> </w:t>
      </w:r>
      <w:r w:rsidR="00EE64C7" w:rsidRPr="00576340">
        <w:rPr>
          <w:rFonts w:ascii="Times New Roman" w:hAnsi="Times New Roman" w:cs="Times New Roman"/>
          <w:sz w:val="24"/>
          <w:szCs w:val="24"/>
        </w:rPr>
        <w:t xml:space="preserve">donacije </w:t>
      </w:r>
      <w:r w:rsidR="00E127BF" w:rsidRPr="00576340">
        <w:rPr>
          <w:rFonts w:ascii="Times New Roman" w:hAnsi="Times New Roman" w:cs="Times New Roman"/>
          <w:sz w:val="24"/>
          <w:szCs w:val="24"/>
        </w:rPr>
        <w:t xml:space="preserve">trgovačkih društava u iznosu od </w:t>
      </w:r>
      <w:r w:rsidR="005E5881" w:rsidRPr="00576340">
        <w:rPr>
          <w:rFonts w:ascii="Times New Roman" w:hAnsi="Times New Roman" w:cs="Times New Roman"/>
          <w:sz w:val="24"/>
          <w:szCs w:val="24"/>
        </w:rPr>
        <w:t>8.568</w:t>
      </w:r>
      <w:r w:rsidR="00E127BF" w:rsidRPr="00576340">
        <w:rPr>
          <w:rFonts w:ascii="Times New Roman" w:hAnsi="Times New Roman" w:cs="Times New Roman"/>
          <w:sz w:val="24"/>
          <w:szCs w:val="24"/>
        </w:rPr>
        <w:t xml:space="preserve"> kn </w:t>
      </w:r>
      <w:r w:rsidR="005E5881" w:rsidRPr="00576340">
        <w:rPr>
          <w:rFonts w:ascii="Times New Roman" w:hAnsi="Times New Roman" w:cs="Times New Roman"/>
          <w:sz w:val="24"/>
          <w:szCs w:val="24"/>
        </w:rPr>
        <w:t>za mjesne</w:t>
      </w:r>
      <w:r w:rsidR="00EE64C7" w:rsidRPr="00576340">
        <w:rPr>
          <w:rFonts w:ascii="Times New Roman" w:hAnsi="Times New Roman" w:cs="Times New Roman"/>
          <w:sz w:val="24"/>
          <w:szCs w:val="24"/>
        </w:rPr>
        <w:t xml:space="preserve"> odbor</w:t>
      </w:r>
      <w:r w:rsidR="005E5881" w:rsidRPr="00576340">
        <w:rPr>
          <w:rFonts w:ascii="Times New Roman" w:hAnsi="Times New Roman" w:cs="Times New Roman"/>
          <w:sz w:val="24"/>
          <w:szCs w:val="24"/>
        </w:rPr>
        <w:t>e</w:t>
      </w:r>
      <w:r w:rsidR="00EE64C7" w:rsidRPr="00576340">
        <w:rPr>
          <w:rFonts w:ascii="Times New Roman" w:hAnsi="Times New Roman" w:cs="Times New Roman"/>
          <w:sz w:val="24"/>
          <w:szCs w:val="24"/>
        </w:rPr>
        <w:t xml:space="preserve"> </w:t>
      </w:r>
      <w:r w:rsidR="005E5881" w:rsidRPr="00576340">
        <w:rPr>
          <w:rFonts w:ascii="Times New Roman" w:hAnsi="Times New Roman" w:cs="Times New Roman"/>
          <w:sz w:val="24"/>
          <w:szCs w:val="24"/>
        </w:rPr>
        <w:t>te donacija Gradu od trgovačkog društva za projekt Posadi drvo ne budi panj u iznosu od 1.667. kn</w:t>
      </w:r>
      <w:r w:rsidRPr="00576340">
        <w:rPr>
          <w:rFonts w:ascii="Times New Roman" w:hAnsi="Times New Roman" w:cs="Times New Roman"/>
          <w:sz w:val="24"/>
          <w:szCs w:val="24"/>
        </w:rPr>
        <w:t>;</w:t>
      </w:r>
    </w:p>
    <w:p w:rsidR="005E5881" w:rsidRPr="005E5881" w:rsidRDefault="00C93ED2" w:rsidP="005E5881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881">
        <w:rPr>
          <w:rFonts w:ascii="Times New Roman" w:hAnsi="Times New Roman" w:cs="Times New Roman"/>
          <w:sz w:val="24"/>
          <w:szCs w:val="24"/>
        </w:rPr>
        <w:t>K</w:t>
      </w:r>
      <w:r w:rsidR="00A3453D" w:rsidRPr="005E5881">
        <w:rPr>
          <w:rFonts w:ascii="Times New Roman" w:hAnsi="Times New Roman" w:cs="Times New Roman"/>
          <w:sz w:val="24"/>
          <w:szCs w:val="24"/>
        </w:rPr>
        <w:t>apitaln</w:t>
      </w:r>
      <w:r w:rsidRPr="005E5881">
        <w:rPr>
          <w:rFonts w:ascii="Times New Roman" w:hAnsi="Times New Roman" w:cs="Times New Roman"/>
          <w:sz w:val="24"/>
          <w:szCs w:val="24"/>
        </w:rPr>
        <w:t>e</w:t>
      </w:r>
      <w:r w:rsidR="00A3453D" w:rsidRPr="005E5881">
        <w:rPr>
          <w:rFonts w:ascii="Times New Roman" w:hAnsi="Times New Roman" w:cs="Times New Roman"/>
          <w:sz w:val="24"/>
          <w:szCs w:val="24"/>
        </w:rPr>
        <w:t xml:space="preserve"> donacij</w:t>
      </w:r>
      <w:r w:rsidR="005E5881">
        <w:rPr>
          <w:rFonts w:ascii="Times New Roman" w:hAnsi="Times New Roman" w:cs="Times New Roman"/>
          <w:sz w:val="24"/>
          <w:szCs w:val="24"/>
        </w:rPr>
        <w:t xml:space="preserve">e (AOP129) - </w:t>
      </w:r>
      <w:r w:rsidR="005E5881" w:rsidRPr="005E5881">
        <w:rPr>
          <w:rFonts w:ascii="Times New Roman" w:hAnsi="Times New Roman" w:cs="Times New Roman"/>
          <w:sz w:val="24"/>
          <w:szCs w:val="24"/>
        </w:rPr>
        <w:t xml:space="preserve">ostvarene su u iznosu od 174.800 kn, a čine ih donacije </w:t>
      </w:r>
      <w:r w:rsidR="00B40484">
        <w:rPr>
          <w:rFonts w:ascii="Times New Roman" w:hAnsi="Times New Roman" w:cs="Times New Roman"/>
          <w:sz w:val="24"/>
          <w:szCs w:val="24"/>
        </w:rPr>
        <w:t>dokumenata prostornog uređenja</w:t>
      </w:r>
      <w:r w:rsidR="005E5881" w:rsidRPr="005E588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40484">
        <w:rPr>
          <w:rFonts w:ascii="Times New Roman" w:hAnsi="Times New Roman" w:cs="Times New Roman"/>
          <w:noProof/>
          <w:sz w:val="24"/>
          <w:szCs w:val="24"/>
        </w:rPr>
        <w:t xml:space="preserve">UPU </w:t>
      </w:r>
      <w:r w:rsidR="005E5881" w:rsidRPr="005E5881">
        <w:rPr>
          <w:rFonts w:ascii="Times New Roman" w:hAnsi="Times New Roman" w:cs="Times New Roman"/>
          <w:noProof/>
          <w:sz w:val="24"/>
          <w:szCs w:val="24"/>
        </w:rPr>
        <w:t xml:space="preserve">Max </w:t>
      </w:r>
      <w:r w:rsidR="00B40484">
        <w:rPr>
          <w:rFonts w:ascii="Times New Roman" w:hAnsi="Times New Roman" w:cs="Times New Roman"/>
          <w:noProof/>
          <w:sz w:val="24"/>
          <w:szCs w:val="24"/>
        </w:rPr>
        <w:t>Stoja</w:t>
      </w:r>
      <w:r w:rsidR="005E5881" w:rsidRPr="005E5881">
        <w:rPr>
          <w:rFonts w:ascii="Times New Roman" w:hAnsi="Times New Roman" w:cs="Times New Roman"/>
          <w:noProof/>
          <w:sz w:val="24"/>
          <w:szCs w:val="24"/>
        </w:rPr>
        <w:t xml:space="preserve"> i I izmjene i dopune UPU </w:t>
      </w:r>
      <w:r w:rsidR="00B40484">
        <w:rPr>
          <w:rFonts w:ascii="Times New Roman" w:hAnsi="Times New Roman" w:cs="Times New Roman"/>
          <w:noProof/>
          <w:sz w:val="24"/>
          <w:szCs w:val="24"/>
        </w:rPr>
        <w:t>Marina Veruda</w:t>
      </w:r>
      <w:r w:rsidR="005E5881" w:rsidRPr="005E5881">
        <w:rPr>
          <w:rFonts w:ascii="Times New Roman" w:hAnsi="Times New Roman" w:cs="Times New Roman"/>
          <w:noProof/>
          <w:sz w:val="24"/>
          <w:szCs w:val="24"/>
        </w:rPr>
        <w:t xml:space="preserve"> Tehnomont.</w:t>
      </w:r>
    </w:p>
    <w:p w:rsidR="0095249B" w:rsidRDefault="0095249B" w:rsidP="0052542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49B" w:rsidRDefault="0095249B" w:rsidP="0052542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D3A" w:rsidRPr="00576340" w:rsidRDefault="00381D3A" w:rsidP="00576340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340">
        <w:rPr>
          <w:rFonts w:ascii="Times New Roman" w:hAnsi="Times New Roman" w:cs="Times New Roman"/>
          <w:b/>
          <w:sz w:val="24"/>
          <w:szCs w:val="24"/>
        </w:rPr>
        <w:t>BILJEŠKA br. 1</w:t>
      </w:r>
      <w:r w:rsidR="00EB2FC4">
        <w:rPr>
          <w:rFonts w:ascii="Times New Roman" w:hAnsi="Times New Roman" w:cs="Times New Roman"/>
          <w:b/>
          <w:sz w:val="24"/>
          <w:szCs w:val="24"/>
        </w:rPr>
        <w:t>3</w:t>
      </w:r>
      <w:r w:rsidRPr="00576340">
        <w:rPr>
          <w:rFonts w:ascii="Times New Roman" w:hAnsi="Times New Roman" w:cs="Times New Roman"/>
          <w:b/>
          <w:sz w:val="24"/>
          <w:szCs w:val="24"/>
        </w:rPr>
        <w:t>.</w:t>
      </w:r>
    </w:p>
    <w:p w:rsidR="0095249B" w:rsidRPr="00576340" w:rsidRDefault="0095249B" w:rsidP="0057634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059A7" w:rsidRPr="00576340" w:rsidRDefault="000D44B2" w:rsidP="0057634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340">
        <w:rPr>
          <w:rFonts w:ascii="Times New Roman" w:hAnsi="Times New Roman" w:cs="Times New Roman"/>
          <w:b/>
          <w:sz w:val="24"/>
          <w:szCs w:val="24"/>
        </w:rPr>
        <w:t>Kazne, upravne</w:t>
      </w:r>
      <w:r w:rsidR="00522907" w:rsidRPr="00576340">
        <w:rPr>
          <w:rFonts w:ascii="Times New Roman" w:hAnsi="Times New Roman" w:cs="Times New Roman"/>
          <w:b/>
          <w:sz w:val="24"/>
          <w:szCs w:val="24"/>
        </w:rPr>
        <w:t xml:space="preserve"> mjere te ostali prihodi (AOP136</w:t>
      </w:r>
      <w:r w:rsidRPr="00576340">
        <w:rPr>
          <w:rFonts w:ascii="Times New Roman" w:hAnsi="Times New Roman" w:cs="Times New Roman"/>
          <w:b/>
          <w:sz w:val="24"/>
          <w:szCs w:val="24"/>
        </w:rPr>
        <w:t>)</w:t>
      </w:r>
      <w:r w:rsidRPr="00576340">
        <w:rPr>
          <w:rFonts w:ascii="Times New Roman" w:hAnsi="Times New Roman" w:cs="Times New Roman"/>
          <w:sz w:val="24"/>
          <w:szCs w:val="24"/>
        </w:rPr>
        <w:t xml:space="preserve"> </w:t>
      </w:r>
      <w:r w:rsidR="003A7E83" w:rsidRPr="00576340">
        <w:rPr>
          <w:rFonts w:ascii="Times New Roman" w:hAnsi="Times New Roman" w:cs="Times New Roman"/>
          <w:sz w:val="24"/>
          <w:szCs w:val="24"/>
        </w:rPr>
        <w:t>-</w:t>
      </w:r>
      <w:r w:rsidRPr="00576340">
        <w:rPr>
          <w:rFonts w:ascii="Times New Roman" w:hAnsi="Times New Roman" w:cs="Times New Roman"/>
          <w:sz w:val="24"/>
          <w:szCs w:val="24"/>
        </w:rPr>
        <w:t xml:space="preserve"> ostvarene su u iznosu od </w:t>
      </w:r>
      <w:r w:rsidR="00381D3A" w:rsidRPr="00576340">
        <w:rPr>
          <w:rFonts w:ascii="Times New Roman" w:hAnsi="Times New Roman" w:cs="Times New Roman"/>
          <w:sz w:val="24"/>
          <w:szCs w:val="24"/>
        </w:rPr>
        <w:t>1.</w:t>
      </w:r>
      <w:r w:rsidR="004425CD" w:rsidRPr="00576340">
        <w:rPr>
          <w:rFonts w:ascii="Times New Roman" w:hAnsi="Times New Roman" w:cs="Times New Roman"/>
          <w:sz w:val="24"/>
          <w:szCs w:val="24"/>
        </w:rPr>
        <w:t>388.598</w:t>
      </w:r>
      <w:r w:rsidRPr="00576340">
        <w:rPr>
          <w:rFonts w:ascii="Times New Roman" w:hAnsi="Times New Roman" w:cs="Times New Roman"/>
          <w:sz w:val="24"/>
          <w:szCs w:val="24"/>
        </w:rPr>
        <w:t xml:space="preserve"> kn odnosno za</w:t>
      </w:r>
      <w:r w:rsidR="00381D3A" w:rsidRPr="00576340">
        <w:rPr>
          <w:rFonts w:ascii="Times New Roman" w:hAnsi="Times New Roman" w:cs="Times New Roman"/>
          <w:sz w:val="24"/>
          <w:szCs w:val="24"/>
        </w:rPr>
        <w:t xml:space="preserve"> </w:t>
      </w:r>
      <w:r w:rsidR="004425CD" w:rsidRPr="00576340">
        <w:rPr>
          <w:rFonts w:ascii="Times New Roman" w:hAnsi="Times New Roman" w:cs="Times New Roman"/>
          <w:sz w:val="24"/>
          <w:szCs w:val="24"/>
        </w:rPr>
        <w:t>276.774</w:t>
      </w:r>
      <w:r w:rsidR="00381D3A" w:rsidRPr="00576340">
        <w:rPr>
          <w:rFonts w:ascii="Times New Roman" w:hAnsi="Times New Roman" w:cs="Times New Roman"/>
          <w:sz w:val="24"/>
          <w:szCs w:val="24"/>
        </w:rPr>
        <w:t xml:space="preserve"> kn ili</w:t>
      </w:r>
      <w:r w:rsidRPr="00576340">
        <w:rPr>
          <w:rFonts w:ascii="Times New Roman" w:hAnsi="Times New Roman" w:cs="Times New Roman"/>
          <w:sz w:val="24"/>
          <w:szCs w:val="24"/>
        </w:rPr>
        <w:t xml:space="preserve"> </w:t>
      </w:r>
      <w:r w:rsidR="004425CD" w:rsidRPr="00576340">
        <w:rPr>
          <w:rFonts w:ascii="Times New Roman" w:hAnsi="Times New Roman" w:cs="Times New Roman"/>
          <w:sz w:val="24"/>
          <w:szCs w:val="24"/>
        </w:rPr>
        <w:t>16,6</w:t>
      </w:r>
      <w:r w:rsidRPr="00576340">
        <w:rPr>
          <w:rFonts w:ascii="Times New Roman" w:hAnsi="Times New Roman" w:cs="Times New Roman"/>
          <w:sz w:val="24"/>
          <w:szCs w:val="24"/>
        </w:rPr>
        <w:t xml:space="preserve">% </w:t>
      </w:r>
      <w:r w:rsidR="00522907" w:rsidRPr="00576340">
        <w:rPr>
          <w:rFonts w:ascii="Times New Roman" w:hAnsi="Times New Roman" w:cs="Times New Roman"/>
          <w:sz w:val="24"/>
          <w:szCs w:val="24"/>
        </w:rPr>
        <w:t>manje</w:t>
      </w:r>
      <w:r w:rsidRPr="00576340">
        <w:rPr>
          <w:rFonts w:ascii="Times New Roman" w:hAnsi="Times New Roman" w:cs="Times New Roman"/>
          <w:sz w:val="24"/>
          <w:szCs w:val="24"/>
        </w:rPr>
        <w:t xml:space="preserve"> nego </w:t>
      </w:r>
      <w:r w:rsidR="00685BE8" w:rsidRPr="00576340">
        <w:rPr>
          <w:rFonts w:ascii="Times New Roman" w:hAnsi="Times New Roman" w:cs="Times New Roman"/>
          <w:sz w:val="24"/>
          <w:szCs w:val="24"/>
        </w:rPr>
        <w:t>2018.</w:t>
      </w:r>
      <w:r w:rsidRPr="00576340">
        <w:rPr>
          <w:rFonts w:ascii="Times New Roman" w:hAnsi="Times New Roman" w:cs="Times New Roman"/>
          <w:sz w:val="24"/>
          <w:szCs w:val="24"/>
        </w:rPr>
        <w:t xml:space="preserve"> godine u istom izvještajnom razdoblju. Ostvarene su po osnovi kazna za prometne i ostale prekršaje </w:t>
      </w:r>
      <w:r w:rsidR="00083BE0" w:rsidRPr="00576340">
        <w:rPr>
          <w:rFonts w:ascii="Times New Roman" w:hAnsi="Times New Roman" w:cs="Times New Roman"/>
          <w:sz w:val="24"/>
          <w:szCs w:val="24"/>
        </w:rPr>
        <w:t>zbog nepropisno parkiranih vozila</w:t>
      </w:r>
      <w:r w:rsidRPr="00576340">
        <w:rPr>
          <w:rFonts w:ascii="Times New Roman" w:hAnsi="Times New Roman" w:cs="Times New Roman"/>
          <w:sz w:val="24"/>
          <w:szCs w:val="24"/>
        </w:rPr>
        <w:t xml:space="preserve"> u iznosu od 1.</w:t>
      </w:r>
      <w:r w:rsidR="004425CD" w:rsidRPr="00576340">
        <w:rPr>
          <w:rFonts w:ascii="Times New Roman" w:hAnsi="Times New Roman" w:cs="Times New Roman"/>
          <w:sz w:val="24"/>
          <w:szCs w:val="24"/>
        </w:rPr>
        <w:t xml:space="preserve">292.047 </w:t>
      </w:r>
      <w:r w:rsidR="00381D3A" w:rsidRPr="00576340">
        <w:rPr>
          <w:rFonts w:ascii="Times New Roman" w:hAnsi="Times New Roman" w:cs="Times New Roman"/>
          <w:sz w:val="24"/>
          <w:szCs w:val="24"/>
        </w:rPr>
        <w:t xml:space="preserve">kn, </w:t>
      </w:r>
      <w:r w:rsidRPr="00576340">
        <w:rPr>
          <w:rFonts w:ascii="Times New Roman" w:hAnsi="Times New Roman" w:cs="Times New Roman"/>
          <w:sz w:val="24"/>
          <w:szCs w:val="24"/>
        </w:rPr>
        <w:t xml:space="preserve">ostalih kazna u iznosu od </w:t>
      </w:r>
      <w:r w:rsidR="004425CD" w:rsidRPr="00576340">
        <w:rPr>
          <w:rFonts w:ascii="Times New Roman" w:hAnsi="Times New Roman" w:cs="Times New Roman"/>
          <w:sz w:val="24"/>
          <w:szCs w:val="24"/>
        </w:rPr>
        <w:t>96.340</w:t>
      </w:r>
      <w:r w:rsidR="00381D3A" w:rsidRPr="00576340">
        <w:rPr>
          <w:rFonts w:ascii="Times New Roman" w:hAnsi="Times New Roman" w:cs="Times New Roman"/>
          <w:sz w:val="24"/>
          <w:szCs w:val="24"/>
        </w:rPr>
        <w:t xml:space="preserve"> kn te ostalih prihoda u iznosu od </w:t>
      </w:r>
      <w:r w:rsidR="004425CD" w:rsidRPr="00576340">
        <w:rPr>
          <w:rFonts w:ascii="Times New Roman" w:hAnsi="Times New Roman" w:cs="Times New Roman"/>
          <w:sz w:val="24"/>
          <w:szCs w:val="24"/>
        </w:rPr>
        <w:t>211</w:t>
      </w:r>
      <w:r w:rsidR="00381D3A" w:rsidRPr="00576340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4059A7" w:rsidRPr="00576340" w:rsidRDefault="004425CD" w:rsidP="0057634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340">
        <w:rPr>
          <w:rFonts w:ascii="Times New Roman" w:hAnsi="Times New Roman" w:cs="Times New Roman"/>
          <w:sz w:val="24"/>
          <w:szCs w:val="24"/>
        </w:rPr>
        <w:t>Smanjenje prihoda rezultat je manjeg broja izdanih kazni.</w:t>
      </w:r>
    </w:p>
    <w:p w:rsidR="0095249B" w:rsidRDefault="0095249B" w:rsidP="0052542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5CD" w:rsidRPr="00526AD1" w:rsidRDefault="004425CD" w:rsidP="0052542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C18" w:rsidRDefault="00171C18" w:rsidP="00525422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  <w:r w:rsidRPr="00712A4C">
        <w:rPr>
          <w:rFonts w:ascii="Times New Roman" w:hAnsi="Times New Roman" w:cs="Times New Roman"/>
          <w:b/>
        </w:rPr>
        <w:t xml:space="preserve">BILJEŠKA br. </w:t>
      </w:r>
      <w:r w:rsidR="004B28F6" w:rsidRPr="00712A4C">
        <w:rPr>
          <w:rFonts w:ascii="Times New Roman" w:hAnsi="Times New Roman" w:cs="Times New Roman"/>
          <w:b/>
        </w:rPr>
        <w:t>1</w:t>
      </w:r>
      <w:r w:rsidR="00EB2FC4">
        <w:rPr>
          <w:rFonts w:ascii="Times New Roman" w:hAnsi="Times New Roman" w:cs="Times New Roman"/>
          <w:b/>
        </w:rPr>
        <w:t>4</w:t>
      </w:r>
      <w:r w:rsidRPr="00712A4C">
        <w:rPr>
          <w:rFonts w:ascii="Times New Roman" w:hAnsi="Times New Roman" w:cs="Times New Roman"/>
          <w:b/>
        </w:rPr>
        <w:t>.</w:t>
      </w:r>
    </w:p>
    <w:p w:rsidR="0095249B" w:rsidRPr="00526AD1" w:rsidRDefault="0095249B" w:rsidP="00712A4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083BE0" w:rsidRPr="00526AD1" w:rsidRDefault="00083BE0" w:rsidP="00712A4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U skladu s odredbama Pravilnika o proračunskom računovodstvu i računskom plan</w:t>
      </w:r>
      <w:r w:rsidR="004B28F6" w:rsidRPr="00526AD1">
        <w:rPr>
          <w:rFonts w:ascii="Times New Roman" w:hAnsi="Times New Roman" w:cs="Times New Roman"/>
          <w:sz w:val="24"/>
          <w:szCs w:val="24"/>
        </w:rPr>
        <w:t>u („Narodne novine“ br. 124/14,</w:t>
      </w:r>
      <w:r w:rsidRPr="00526AD1">
        <w:rPr>
          <w:rFonts w:ascii="Times New Roman" w:hAnsi="Times New Roman" w:cs="Times New Roman"/>
          <w:sz w:val="24"/>
          <w:szCs w:val="24"/>
        </w:rPr>
        <w:t xml:space="preserve"> 115/15</w:t>
      </w:r>
      <w:r w:rsidR="00712A4C">
        <w:rPr>
          <w:rFonts w:ascii="Times New Roman" w:hAnsi="Times New Roman" w:cs="Times New Roman"/>
          <w:sz w:val="24"/>
          <w:szCs w:val="24"/>
        </w:rPr>
        <w:t>, 87/16,</w:t>
      </w:r>
      <w:r w:rsidR="004B28F6" w:rsidRPr="00526AD1">
        <w:rPr>
          <w:rFonts w:ascii="Times New Roman" w:hAnsi="Times New Roman" w:cs="Times New Roman"/>
          <w:sz w:val="24"/>
          <w:szCs w:val="24"/>
        </w:rPr>
        <w:t xml:space="preserve"> 3/18</w:t>
      </w:r>
      <w:r w:rsidR="00712A4C">
        <w:rPr>
          <w:rFonts w:ascii="Times New Roman" w:hAnsi="Times New Roman" w:cs="Times New Roman"/>
          <w:sz w:val="24"/>
          <w:szCs w:val="24"/>
        </w:rPr>
        <w:t xml:space="preserve"> i 126/19</w:t>
      </w:r>
      <w:r w:rsidRPr="00526AD1">
        <w:rPr>
          <w:rFonts w:ascii="Times New Roman" w:hAnsi="Times New Roman" w:cs="Times New Roman"/>
          <w:sz w:val="24"/>
          <w:szCs w:val="24"/>
        </w:rPr>
        <w:t>) u izvještaju PR</w:t>
      </w:r>
      <w:r w:rsidR="003A7E83" w:rsidRPr="00526AD1">
        <w:rPr>
          <w:rFonts w:ascii="Times New Roman" w:hAnsi="Times New Roman" w:cs="Times New Roman"/>
          <w:sz w:val="24"/>
          <w:szCs w:val="24"/>
        </w:rPr>
        <w:t>-</w:t>
      </w:r>
      <w:r w:rsidRPr="00526AD1">
        <w:rPr>
          <w:rFonts w:ascii="Times New Roman" w:hAnsi="Times New Roman" w:cs="Times New Roman"/>
          <w:sz w:val="24"/>
          <w:szCs w:val="24"/>
        </w:rPr>
        <w:t>RAS sredstva namijenjena proračunskim korisnicima iz nadležnosti Grada odnosno rashodi koji su financirani iz tih sredstava iskazana su na podskupini 367</w:t>
      </w:r>
      <w:r w:rsidR="003C1304">
        <w:rPr>
          <w:rFonts w:ascii="Times New Roman" w:hAnsi="Times New Roman" w:cs="Times New Roman"/>
          <w:sz w:val="24"/>
          <w:szCs w:val="24"/>
        </w:rPr>
        <w:t>-</w:t>
      </w:r>
      <w:r w:rsidRPr="00526AD1">
        <w:rPr>
          <w:rFonts w:ascii="Times New Roman" w:hAnsi="Times New Roman" w:cs="Times New Roman"/>
          <w:sz w:val="24"/>
          <w:szCs w:val="24"/>
        </w:rPr>
        <w:t>Prijenosi proračunskim korisnicima iz nadležnog proračuna za financiranje redovne djelatnosti, a ne raspoređeni prema prirodnoj vrsti i to isključivo prema novčanom načelu.</w:t>
      </w:r>
    </w:p>
    <w:p w:rsidR="00E66354" w:rsidRPr="00526AD1" w:rsidRDefault="00E66354" w:rsidP="00E66354">
      <w:pPr>
        <w:pStyle w:val="Style20"/>
        <w:widowControl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</w:rPr>
      </w:pPr>
    </w:p>
    <w:p w:rsidR="00083BE0" w:rsidRPr="00526AD1" w:rsidRDefault="00083BE0" w:rsidP="00E95A49">
      <w:pPr>
        <w:pStyle w:val="Style20"/>
        <w:widowControl/>
        <w:spacing w:line="240" w:lineRule="auto"/>
        <w:contextualSpacing/>
        <w:rPr>
          <w:rFonts w:ascii="Times New Roman" w:hAnsi="Times New Roman" w:cs="Times New Roman"/>
          <w:b/>
        </w:rPr>
      </w:pPr>
      <w:r w:rsidRPr="003C1304">
        <w:rPr>
          <w:rFonts w:ascii="Times New Roman" w:hAnsi="Times New Roman" w:cs="Times New Roman"/>
          <w:b/>
        </w:rPr>
        <w:t xml:space="preserve">BILJEŠKA br. </w:t>
      </w:r>
      <w:r w:rsidR="004B28F6" w:rsidRPr="003C1304">
        <w:rPr>
          <w:rFonts w:ascii="Times New Roman" w:hAnsi="Times New Roman" w:cs="Times New Roman"/>
          <w:b/>
        </w:rPr>
        <w:t>1</w:t>
      </w:r>
      <w:r w:rsidR="00EB2FC4">
        <w:rPr>
          <w:rFonts w:ascii="Times New Roman" w:hAnsi="Times New Roman" w:cs="Times New Roman"/>
          <w:b/>
        </w:rPr>
        <w:t>5</w:t>
      </w:r>
      <w:r w:rsidRPr="003C1304">
        <w:rPr>
          <w:rFonts w:ascii="Times New Roman" w:hAnsi="Times New Roman" w:cs="Times New Roman"/>
          <w:b/>
        </w:rPr>
        <w:t>.</w:t>
      </w:r>
    </w:p>
    <w:p w:rsidR="00E95A49" w:rsidRPr="00526AD1" w:rsidRDefault="00E95A49" w:rsidP="00E95A49">
      <w:pPr>
        <w:pStyle w:val="Style20"/>
        <w:widowControl/>
        <w:spacing w:line="240" w:lineRule="auto"/>
        <w:rPr>
          <w:rFonts w:ascii="Times New Roman" w:hAnsi="Times New Roman" w:cs="Times New Roman"/>
          <w:b/>
        </w:rPr>
      </w:pPr>
    </w:p>
    <w:p w:rsidR="00171C18" w:rsidRDefault="00083BE0" w:rsidP="00E95A49">
      <w:pPr>
        <w:pStyle w:val="Style20"/>
        <w:widowControl/>
        <w:spacing w:line="240" w:lineRule="auto"/>
        <w:rPr>
          <w:rFonts w:ascii="Times New Roman" w:hAnsi="Times New Roman" w:cs="Times New Roman"/>
          <w:b/>
        </w:rPr>
      </w:pPr>
      <w:r w:rsidRPr="00526AD1">
        <w:rPr>
          <w:rFonts w:ascii="Times New Roman" w:hAnsi="Times New Roman" w:cs="Times New Roman"/>
          <w:b/>
        </w:rPr>
        <w:t>R</w:t>
      </w:r>
      <w:r w:rsidR="00171C18" w:rsidRPr="00526AD1">
        <w:rPr>
          <w:rFonts w:ascii="Times New Roman" w:hAnsi="Times New Roman" w:cs="Times New Roman"/>
          <w:b/>
        </w:rPr>
        <w:t>ashodi poslovanja</w:t>
      </w:r>
    </w:p>
    <w:p w:rsidR="001D103D" w:rsidRPr="00526AD1" w:rsidRDefault="001D103D" w:rsidP="00E95A49">
      <w:pPr>
        <w:pStyle w:val="Style20"/>
        <w:widowControl/>
        <w:spacing w:line="240" w:lineRule="auto"/>
        <w:rPr>
          <w:rFonts w:ascii="Times New Roman" w:hAnsi="Times New Roman" w:cs="Times New Roman"/>
          <w:b/>
        </w:rPr>
      </w:pPr>
    </w:p>
    <w:tbl>
      <w:tblPr>
        <w:tblW w:w="9756" w:type="dxa"/>
        <w:tblInd w:w="98" w:type="dxa"/>
        <w:tblLook w:val="04A0"/>
      </w:tblPr>
      <w:tblGrid>
        <w:gridCol w:w="851"/>
        <w:gridCol w:w="3709"/>
        <w:gridCol w:w="593"/>
        <w:gridCol w:w="1459"/>
        <w:gridCol w:w="1360"/>
        <w:gridCol w:w="732"/>
        <w:gridCol w:w="1052"/>
      </w:tblGrid>
      <w:tr w:rsidR="00CA75D3" w:rsidRPr="00DB0111" w:rsidTr="00CA75D3">
        <w:trPr>
          <w:trHeight w:val="81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bookmarkStart w:id="0" w:name="RANGE!A25"/>
            <w:bookmarkStart w:id="1" w:name="OLE_LINK2" w:colFirst="1" w:colLast="6"/>
            <w:r w:rsidRPr="00DB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Razred/ Skupina</w:t>
            </w:r>
            <w:bookmarkEnd w:id="0"/>
          </w:p>
        </w:tc>
        <w:tc>
          <w:tcPr>
            <w:tcW w:w="370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59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Ostvareno u izvještajnom razdoblju prethodne godine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Ostvareno u izvještajnom razdoblju tekuće godine</w:t>
            </w:r>
          </w:p>
        </w:tc>
        <w:tc>
          <w:tcPr>
            <w:tcW w:w="73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Indeks 5/4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Povećanje/ Smanjenje</w:t>
            </w:r>
          </w:p>
        </w:tc>
      </w:tr>
      <w:tr w:rsidR="00CA75D3" w:rsidRPr="00DB0111" w:rsidTr="004E0535">
        <w:trPr>
          <w:trHeight w:val="20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0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9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3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A75D3" w:rsidRPr="00DB0111" w:rsidTr="001715D7">
        <w:trPr>
          <w:trHeight w:val="10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B0111" w:rsidRPr="001715D7" w:rsidRDefault="00DB0111" w:rsidP="00DB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eastAsia="hr-HR"/>
              </w:rPr>
            </w:pPr>
            <w:r w:rsidRPr="001715D7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B0111" w:rsidRPr="001715D7" w:rsidRDefault="00DB0111" w:rsidP="00DB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eastAsia="hr-HR"/>
              </w:rPr>
            </w:pPr>
            <w:r w:rsidRPr="001715D7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B0111" w:rsidRPr="001715D7" w:rsidRDefault="00DB0111" w:rsidP="00DB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eastAsia="hr-HR"/>
              </w:rPr>
            </w:pPr>
            <w:r w:rsidRPr="001715D7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B0111" w:rsidRPr="001715D7" w:rsidRDefault="00DB0111" w:rsidP="00DB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eastAsia="hr-HR"/>
              </w:rPr>
            </w:pPr>
            <w:r w:rsidRPr="001715D7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B0111" w:rsidRPr="001715D7" w:rsidRDefault="00DB0111" w:rsidP="00DB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eastAsia="hr-HR"/>
              </w:rPr>
            </w:pPr>
            <w:r w:rsidRPr="001715D7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B0111" w:rsidRPr="001715D7" w:rsidRDefault="00DB0111" w:rsidP="00DB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eastAsia="hr-HR"/>
              </w:rPr>
            </w:pPr>
            <w:r w:rsidRPr="001715D7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0111" w:rsidRPr="001715D7" w:rsidRDefault="00DB0111" w:rsidP="00DB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eastAsia="hr-HR"/>
              </w:rPr>
            </w:pPr>
            <w:r w:rsidRPr="001715D7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eastAsia="hr-HR"/>
              </w:rPr>
              <w:t>5-4</w:t>
            </w:r>
          </w:p>
        </w:tc>
      </w:tr>
      <w:tr w:rsidR="00DB0111" w:rsidRPr="00DB0111" w:rsidTr="00CA75D3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111" w:rsidRPr="00DB0111" w:rsidRDefault="00DB0111" w:rsidP="003C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149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26.404.251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26.160.670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99,1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-243.581</w:t>
            </w:r>
          </w:p>
        </w:tc>
      </w:tr>
      <w:tr w:rsidR="00DB0111" w:rsidRPr="00DB0111" w:rsidTr="00CA75D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111" w:rsidRPr="00DB0111" w:rsidRDefault="00DB0111" w:rsidP="003C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Materijalni rashodi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86.278.789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94.774.397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109,8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8.495.608</w:t>
            </w:r>
          </w:p>
        </w:tc>
      </w:tr>
      <w:tr w:rsidR="00DB0111" w:rsidRPr="00DB0111" w:rsidTr="00CA75D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111" w:rsidRPr="00DB0111" w:rsidRDefault="00DB0111" w:rsidP="003C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Financijski rashodi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1.867.327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1.668.062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89,3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-199.265</w:t>
            </w:r>
          </w:p>
        </w:tc>
      </w:tr>
      <w:tr w:rsidR="00DB0111" w:rsidRPr="00DB0111" w:rsidTr="00CA75D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111" w:rsidRPr="00DB0111" w:rsidRDefault="00DB0111" w:rsidP="003C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17.155.012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17.739.104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103,4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584.092</w:t>
            </w:r>
          </w:p>
        </w:tc>
      </w:tr>
      <w:tr w:rsidR="00DB0111" w:rsidRPr="00DB0111" w:rsidTr="00CA75D3">
        <w:trPr>
          <w:trHeight w:val="4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111" w:rsidRPr="00DB0111" w:rsidRDefault="00DB0111" w:rsidP="003C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70.111.455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73.971.299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105,5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3.859.844</w:t>
            </w:r>
          </w:p>
        </w:tc>
      </w:tr>
      <w:tr w:rsidR="00DB0111" w:rsidRPr="00DB0111" w:rsidTr="00853D5A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111" w:rsidRPr="00DB0111" w:rsidRDefault="00DB0111" w:rsidP="003C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37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246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6.616.547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6.592.449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99,6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-24.098</w:t>
            </w:r>
          </w:p>
        </w:tc>
      </w:tr>
      <w:tr w:rsidR="00DB0111" w:rsidRPr="00DB0111" w:rsidTr="00CA75D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111" w:rsidRPr="00DB0111" w:rsidRDefault="00DB0111" w:rsidP="003C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257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47.001.258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61.955.320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131,8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14.954.062</w:t>
            </w:r>
          </w:p>
        </w:tc>
      </w:tr>
      <w:tr w:rsidR="00CA75D3" w:rsidRPr="00DB0111" w:rsidTr="00CA75D3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0111" w:rsidRPr="00DB0111" w:rsidRDefault="00DB0111" w:rsidP="003C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148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255.434.639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282.861.301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110,7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B0111" w:rsidRPr="00DB0111" w:rsidRDefault="00DB0111" w:rsidP="00DB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01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27.426.662</w:t>
            </w:r>
          </w:p>
        </w:tc>
      </w:tr>
      <w:bookmarkEnd w:id="1"/>
    </w:tbl>
    <w:p w:rsidR="00E66354" w:rsidRPr="00526AD1" w:rsidRDefault="00E66354" w:rsidP="0049556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7899" w:rsidRPr="00526AD1" w:rsidRDefault="00497899" w:rsidP="00853D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RASHODI POSLOVANJA</w:t>
      </w:r>
      <w:r w:rsidR="00E664A1" w:rsidRPr="00526AD1">
        <w:rPr>
          <w:rFonts w:ascii="Times New Roman" w:hAnsi="Times New Roman" w:cs="Times New Roman"/>
          <w:sz w:val="24"/>
          <w:szCs w:val="24"/>
        </w:rPr>
        <w:t xml:space="preserve"> (AOP14</w:t>
      </w:r>
      <w:r w:rsidR="0090774C" w:rsidRPr="00526AD1">
        <w:rPr>
          <w:rFonts w:ascii="Times New Roman" w:hAnsi="Times New Roman" w:cs="Times New Roman"/>
          <w:sz w:val="24"/>
          <w:szCs w:val="24"/>
        </w:rPr>
        <w:t>8</w:t>
      </w:r>
      <w:r w:rsidR="00E664A1" w:rsidRPr="00526AD1">
        <w:rPr>
          <w:rFonts w:ascii="Times New Roman" w:hAnsi="Times New Roman" w:cs="Times New Roman"/>
          <w:sz w:val="24"/>
          <w:szCs w:val="24"/>
        </w:rPr>
        <w:t>)</w:t>
      </w:r>
      <w:r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3A7E83" w:rsidRPr="00526AD1">
        <w:rPr>
          <w:rFonts w:ascii="Times New Roman" w:hAnsi="Times New Roman" w:cs="Times New Roman"/>
          <w:sz w:val="24"/>
          <w:szCs w:val="24"/>
        </w:rPr>
        <w:t>-</w:t>
      </w:r>
      <w:r w:rsidR="00615836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sz w:val="24"/>
          <w:szCs w:val="24"/>
        </w:rPr>
        <w:t xml:space="preserve">iznose </w:t>
      </w:r>
      <w:r w:rsidR="00CA75D3">
        <w:rPr>
          <w:rFonts w:ascii="Times New Roman" w:hAnsi="Times New Roman" w:cs="Times New Roman"/>
          <w:sz w:val="24"/>
          <w:szCs w:val="24"/>
        </w:rPr>
        <w:t>282.861.301</w:t>
      </w:r>
      <w:r w:rsidR="0090774C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sz w:val="24"/>
          <w:szCs w:val="24"/>
        </w:rPr>
        <w:t xml:space="preserve">kn </w:t>
      </w:r>
      <w:r w:rsidR="00E664A1" w:rsidRPr="00526AD1">
        <w:rPr>
          <w:rFonts w:ascii="Times New Roman" w:hAnsi="Times New Roman" w:cs="Times New Roman"/>
          <w:sz w:val="24"/>
          <w:szCs w:val="24"/>
        </w:rPr>
        <w:t xml:space="preserve">i u odnosu na </w:t>
      </w:r>
      <w:r w:rsidR="00685BE8">
        <w:rPr>
          <w:rFonts w:ascii="Times New Roman" w:hAnsi="Times New Roman" w:cs="Times New Roman"/>
          <w:sz w:val="24"/>
          <w:szCs w:val="24"/>
        </w:rPr>
        <w:t>2018.</w:t>
      </w:r>
      <w:r w:rsidR="00E664A1" w:rsidRPr="00526AD1">
        <w:rPr>
          <w:rFonts w:ascii="Times New Roman" w:hAnsi="Times New Roman" w:cs="Times New Roman"/>
          <w:sz w:val="24"/>
          <w:szCs w:val="24"/>
        </w:rPr>
        <w:t xml:space="preserve"> godinu čine rast od </w:t>
      </w:r>
      <w:r w:rsidR="00CA75D3">
        <w:rPr>
          <w:rFonts w:ascii="Times New Roman" w:hAnsi="Times New Roman" w:cs="Times New Roman"/>
          <w:sz w:val="24"/>
          <w:szCs w:val="24"/>
        </w:rPr>
        <w:t>10,7</w:t>
      </w:r>
      <w:r w:rsidR="00E664A1" w:rsidRPr="00526AD1">
        <w:rPr>
          <w:rFonts w:ascii="Times New Roman" w:hAnsi="Times New Roman" w:cs="Times New Roman"/>
          <w:sz w:val="24"/>
          <w:szCs w:val="24"/>
        </w:rPr>
        <w:t xml:space="preserve">% </w:t>
      </w:r>
      <w:r w:rsidR="00E62C30">
        <w:rPr>
          <w:rFonts w:ascii="Times New Roman" w:hAnsi="Times New Roman" w:cs="Times New Roman"/>
          <w:sz w:val="24"/>
          <w:szCs w:val="24"/>
        </w:rPr>
        <w:t xml:space="preserve">odnosno </w:t>
      </w:r>
      <w:r w:rsidR="00E664A1" w:rsidRPr="00526AD1">
        <w:rPr>
          <w:rFonts w:ascii="Times New Roman" w:hAnsi="Times New Roman" w:cs="Times New Roman"/>
          <w:sz w:val="24"/>
          <w:szCs w:val="24"/>
        </w:rPr>
        <w:t xml:space="preserve">za iznos od </w:t>
      </w:r>
      <w:r w:rsidR="00CA75D3">
        <w:rPr>
          <w:rFonts w:ascii="Times New Roman" w:hAnsi="Times New Roman" w:cs="Times New Roman"/>
          <w:sz w:val="24"/>
          <w:szCs w:val="24"/>
        </w:rPr>
        <w:t>27.426.662</w:t>
      </w:r>
      <w:r w:rsidR="00E664A1" w:rsidRPr="00526AD1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60111E" w:rsidRDefault="0060111E" w:rsidP="00853D5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484" w:rsidRDefault="00B40484" w:rsidP="00853D5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E66354" w:rsidRDefault="00E66354" w:rsidP="00853D5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3C1304">
        <w:rPr>
          <w:rFonts w:ascii="Times New Roman" w:hAnsi="Times New Roman" w:cs="Times New Roman"/>
          <w:b/>
        </w:rPr>
        <w:t>BILJEŠKA br. 1</w:t>
      </w:r>
      <w:r w:rsidR="00EB2FC4">
        <w:rPr>
          <w:rFonts w:ascii="Times New Roman" w:hAnsi="Times New Roman" w:cs="Times New Roman"/>
          <w:b/>
        </w:rPr>
        <w:t>6</w:t>
      </w:r>
      <w:r w:rsidRPr="003C1304">
        <w:rPr>
          <w:rFonts w:ascii="Times New Roman" w:hAnsi="Times New Roman" w:cs="Times New Roman"/>
          <w:b/>
        </w:rPr>
        <w:t>.</w:t>
      </w:r>
    </w:p>
    <w:p w:rsidR="0095249B" w:rsidRPr="00526AD1" w:rsidRDefault="0095249B" w:rsidP="00853D5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7F0ED1" w:rsidRPr="003C1304" w:rsidRDefault="00E664A1" w:rsidP="00853D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304">
        <w:rPr>
          <w:rFonts w:ascii="Times New Roman" w:hAnsi="Times New Roman" w:cs="Times New Roman"/>
          <w:b/>
          <w:sz w:val="24"/>
          <w:szCs w:val="24"/>
        </w:rPr>
        <w:t>Rashodi za zaposlene (AOP14</w:t>
      </w:r>
      <w:r w:rsidR="0090774C" w:rsidRPr="003C1304">
        <w:rPr>
          <w:rFonts w:ascii="Times New Roman" w:hAnsi="Times New Roman" w:cs="Times New Roman"/>
          <w:b/>
          <w:sz w:val="24"/>
          <w:szCs w:val="24"/>
        </w:rPr>
        <w:t>9</w:t>
      </w:r>
      <w:r w:rsidRPr="003C1304">
        <w:rPr>
          <w:rFonts w:ascii="Times New Roman" w:hAnsi="Times New Roman" w:cs="Times New Roman"/>
          <w:b/>
          <w:sz w:val="24"/>
          <w:szCs w:val="24"/>
        </w:rPr>
        <w:t>)</w:t>
      </w:r>
      <w:r w:rsidRPr="003C1304">
        <w:rPr>
          <w:rFonts w:ascii="Times New Roman" w:hAnsi="Times New Roman" w:cs="Times New Roman"/>
          <w:sz w:val="24"/>
          <w:szCs w:val="24"/>
        </w:rPr>
        <w:t xml:space="preserve"> </w:t>
      </w:r>
      <w:r w:rsidR="003A7E83" w:rsidRPr="003C1304">
        <w:rPr>
          <w:rFonts w:ascii="Times New Roman" w:hAnsi="Times New Roman" w:cs="Times New Roman"/>
          <w:sz w:val="24"/>
          <w:szCs w:val="24"/>
        </w:rPr>
        <w:t>-</w:t>
      </w:r>
      <w:r w:rsidRPr="003C1304"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CA75D3" w:rsidRPr="003C1304">
        <w:rPr>
          <w:rFonts w:ascii="Times New Roman" w:hAnsi="Times New Roman" w:cs="Times New Roman"/>
          <w:sz w:val="24"/>
          <w:szCs w:val="24"/>
        </w:rPr>
        <w:t>26.160.670</w:t>
      </w:r>
      <w:r w:rsidR="00CB4591" w:rsidRPr="003C1304">
        <w:rPr>
          <w:rFonts w:ascii="Times New Roman" w:hAnsi="Times New Roman" w:cs="Times New Roman"/>
          <w:sz w:val="24"/>
          <w:szCs w:val="24"/>
        </w:rPr>
        <w:t xml:space="preserve"> </w:t>
      </w:r>
      <w:r w:rsidRPr="003C1304">
        <w:rPr>
          <w:rFonts w:ascii="Times New Roman" w:hAnsi="Times New Roman" w:cs="Times New Roman"/>
          <w:sz w:val="24"/>
          <w:szCs w:val="24"/>
        </w:rPr>
        <w:t xml:space="preserve">kn te bilježe </w:t>
      </w:r>
      <w:r w:rsidR="00CB4591" w:rsidRPr="003C1304">
        <w:rPr>
          <w:rFonts w:ascii="Times New Roman" w:hAnsi="Times New Roman" w:cs="Times New Roman"/>
          <w:sz w:val="24"/>
          <w:szCs w:val="24"/>
        </w:rPr>
        <w:t xml:space="preserve">blagi </w:t>
      </w:r>
      <w:r w:rsidR="00CA75D3" w:rsidRPr="003C1304">
        <w:rPr>
          <w:rFonts w:ascii="Times New Roman" w:hAnsi="Times New Roman" w:cs="Times New Roman"/>
          <w:sz w:val="24"/>
          <w:szCs w:val="24"/>
        </w:rPr>
        <w:t>pad</w:t>
      </w:r>
      <w:r w:rsidRPr="003C1304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685BE8" w:rsidRPr="003C1304">
        <w:rPr>
          <w:rFonts w:ascii="Times New Roman" w:hAnsi="Times New Roman" w:cs="Times New Roman"/>
          <w:sz w:val="24"/>
          <w:szCs w:val="24"/>
        </w:rPr>
        <w:t>2018.</w:t>
      </w:r>
      <w:r w:rsidRPr="003C1304">
        <w:rPr>
          <w:rFonts w:ascii="Times New Roman" w:hAnsi="Times New Roman" w:cs="Times New Roman"/>
          <w:sz w:val="24"/>
          <w:szCs w:val="24"/>
        </w:rPr>
        <w:t xml:space="preserve"> godinu za </w:t>
      </w:r>
      <w:r w:rsidR="00CA75D3" w:rsidRPr="003C1304">
        <w:rPr>
          <w:rFonts w:ascii="Times New Roman" w:hAnsi="Times New Roman" w:cs="Times New Roman"/>
          <w:sz w:val="24"/>
          <w:szCs w:val="24"/>
        </w:rPr>
        <w:t>0,9</w:t>
      </w:r>
      <w:r w:rsidRPr="003C1304">
        <w:rPr>
          <w:rFonts w:ascii="Times New Roman" w:hAnsi="Times New Roman" w:cs="Times New Roman"/>
          <w:sz w:val="24"/>
          <w:szCs w:val="24"/>
        </w:rPr>
        <w:t>%. Od ukupn</w:t>
      </w:r>
      <w:r w:rsidR="007F0ED1" w:rsidRPr="003C1304">
        <w:rPr>
          <w:rFonts w:ascii="Times New Roman" w:hAnsi="Times New Roman" w:cs="Times New Roman"/>
          <w:sz w:val="24"/>
          <w:szCs w:val="24"/>
        </w:rPr>
        <w:t>og iznosa za:</w:t>
      </w:r>
    </w:p>
    <w:p w:rsidR="00E664A1" w:rsidRPr="003C1304" w:rsidRDefault="003A7E83" w:rsidP="00853D5A">
      <w:pPr>
        <w:spacing w:after="0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304">
        <w:rPr>
          <w:rFonts w:ascii="Times New Roman" w:hAnsi="Times New Roman" w:cs="Times New Roman"/>
          <w:sz w:val="24"/>
          <w:szCs w:val="24"/>
        </w:rPr>
        <w:t>-</w:t>
      </w:r>
      <w:r w:rsidR="00A25B8D" w:rsidRPr="003C1304">
        <w:rPr>
          <w:rFonts w:ascii="Times New Roman" w:hAnsi="Times New Roman" w:cs="Times New Roman"/>
          <w:sz w:val="24"/>
          <w:szCs w:val="24"/>
        </w:rPr>
        <w:tab/>
      </w:r>
      <w:r w:rsidR="00E664A1" w:rsidRPr="003C1304">
        <w:rPr>
          <w:rFonts w:ascii="Times New Roman" w:hAnsi="Times New Roman" w:cs="Times New Roman"/>
          <w:sz w:val="24"/>
          <w:szCs w:val="24"/>
        </w:rPr>
        <w:t xml:space="preserve">Plaće za redovan rad </w:t>
      </w:r>
      <w:r w:rsidRPr="003C1304">
        <w:rPr>
          <w:rFonts w:ascii="Times New Roman" w:hAnsi="Times New Roman" w:cs="Times New Roman"/>
          <w:sz w:val="24"/>
          <w:szCs w:val="24"/>
        </w:rPr>
        <w:t>-</w:t>
      </w:r>
      <w:r w:rsidR="00E664A1" w:rsidRPr="003C1304">
        <w:rPr>
          <w:rFonts w:ascii="Times New Roman" w:hAnsi="Times New Roman" w:cs="Times New Roman"/>
          <w:sz w:val="24"/>
          <w:szCs w:val="24"/>
        </w:rPr>
        <w:t xml:space="preserve"> bruto (AOP150) utrošio se iznos od  </w:t>
      </w:r>
      <w:r w:rsidR="0090774C" w:rsidRPr="003C1304">
        <w:rPr>
          <w:rFonts w:ascii="Times New Roman" w:hAnsi="Times New Roman" w:cs="Times New Roman"/>
          <w:sz w:val="24"/>
          <w:szCs w:val="24"/>
        </w:rPr>
        <w:t>21.</w:t>
      </w:r>
      <w:r w:rsidR="00CA75D3" w:rsidRPr="003C1304">
        <w:rPr>
          <w:rFonts w:ascii="Times New Roman" w:hAnsi="Times New Roman" w:cs="Times New Roman"/>
          <w:sz w:val="24"/>
          <w:szCs w:val="24"/>
        </w:rPr>
        <w:t xml:space="preserve">720.742 </w:t>
      </w:r>
      <w:r w:rsidR="007F0ED1" w:rsidRPr="003C1304">
        <w:rPr>
          <w:rFonts w:ascii="Times New Roman" w:hAnsi="Times New Roman" w:cs="Times New Roman"/>
          <w:sz w:val="24"/>
          <w:szCs w:val="24"/>
        </w:rPr>
        <w:t>kn</w:t>
      </w:r>
      <w:r w:rsidR="00495562" w:rsidRPr="003C1304">
        <w:rPr>
          <w:rFonts w:ascii="Times New Roman" w:hAnsi="Times New Roman" w:cs="Times New Roman"/>
          <w:sz w:val="24"/>
          <w:szCs w:val="24"/>
        </w:rPr>
        <w:t xml:space="preserve">, odnosno čine </w:t>
      </w:r>
      <w:r w:rsidR="003C1304" w:rsidRPr="003C1304">
        <w:rPr>
          <w:rFonts w:ascii="Times New Roman" w:hAnsi="Times New Roman" w:cs="Times New Roman"/>
          <w:sz w:val="24"/>
          <w:szCs w:val="24"/>
        </w:rPr>
        <w:t>83,1</w:t>
      </w:r>
      <w:r w:rsidR="00A25B8D" w:rsidRPr="003C1304">
        <w:rPr>
          <w:rFonts w:ascii="Times New Roman" w:hAnsi="Times New Roman" w:cs="Times New Roman"/>
          <w:sz w:val="24"/>
          <w:szCs w:val="24"/>
        </w:rPr>
        <w:t xml:space="preserve">% </w:t>
      </w:r>
      <w:r w:rsidR="00A25B8D" w:rsidRPr="003C1304">
        <w:rPr>
          <w:rFonts w:ascii="Times New Roman" w:hAnsi="Times New Roman" w:cs="Times New Roman"/>
          <w:sz w:val="24"/>
          <w:szCs w:val="24"/>
        </w:rPr>
        <w:tab/>
        <w:t>ukupnih rashoda za zaposlene</w:t>
      </w:r>
      <w:r w:rsidR="001E6C16" w:rsidRPr="003C1304">
        <w:rPr>
          <w:rFonts w:ascii="Times New Roman" w:hAnsi="Times New Roman" w:cs="Times New Roman"/>
          <w:sz w:val="24"/>
          <w:szCs w:val="24"/>
        </w:rPr>
        <w:t>;</w:t>
      </w:r>
    </w:p>
    <w:p w:rsidR="00A25B8D" w:rsidRPr="003C1304" w:rsidRDefault="003A7E83" w:rsidP="00853D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304">
        <w:rPr>
          <w:rFonts w:ascii="Times New Roman" w:hAnsi="Times New Roman" w:cs="Times New Roman"/>
          <w:sz w:val="24"/>
          <w:szCs w:val="24"/>
        </w:rPr>
        <w:t>-</w:t>
      </w:r>
      <w:r w:rsidR="00495562" w:rsidRPr="003C1304">
        <w:rPr>
          <w:rFonts w:ascii="Times New Roman" w:hAnsi="Times New Roman" w:cs="Times New Roman"/>
          <w:sz w:val="24"/>
          <w:szCs w:val="24"/>
        </w:rPr>
        <w:tab/>
        <w:t>Ostali</w:t>
      </w:r>
      <w:r w:rsidR="00A25B8D" w:rsidRPr="003C1304">
        <w:rPr>
          <w:rFonts w:ascii="Times New Roman" w:hAnsi="Times New Roman" w:cs="Times New Roman"/>
          <w:sz w:val="24"/>
          <w:szCs w:val="24"/>
        </w:rPr>
        <w:t xml:space="preserve"> rashode</w:t>
      </w:r>
      <w:r w:rsidR="007F0ED1" w:rsidRPr="003C1304">
        <w:rPr>
          <w:rFonts w:ascii="Times New Roman" w:hAnsi="Times New Roman" w:cs="Times New Roman"/>
          <w:sz w:val="24"/>
          <w:szCs w:val="24"/>
        </w:rPr>
        <w:t xml:space="preserve"> za zaposlene (AOP155) utrošio se iznos od  </w:t>
      </w:r>
      <w:r w:rsidR="00CA75D3" w:rsidRPr="003C1304">
        <w:rPr>
          <w:rFonts w:ascii="Times New Roman" w:hAnsi="Times New Roman" w:cs="Times New Roman"/>
          <w:sz w:val="24"/>
          <w:szCs w:val="24"/>
        </w:rPr>
        <w:t>980.788</w:t>
      </w:r>
      <w:r w:rsidR="00CB4591" w:rsidRPr="003C1304">
        <w:rPr>
          <w:rFonts w:ascii="Times New Roman" w:hAnsi="Times New Roman" w:cs="Times New Roman"/>
          <w:sz w:val="24"/>
          <w:szCs w:val="24"/>
        </w:rPr>
        <w:t xml:space="preserve"> </w:t>
      </w:r>
      <w:r w:rsidR="007F0ED1" w:rsidRPr="003C1304">
        <w:rPr>
          <w:rFonts w:ascii="Times New Roman" w:hAnsi="Times New Roman" w:cs="Times New Roman"/>
          <w:sz w:val="24"/>
          <w:szCs w:val="24"/>
        </w:rPr>
        <w:t xml:space="preserve">kn, </w:t>
      </w:r>
      <w:r w:rsidR="00A25B8D" w:rsidRPr="003C1304">
        <w:rPr>
          <w:rFonts w:ascii="Times New Roman" w:hAnsi="Times New Roman" w:cs="Times New Roman"/>
          <w:sz w:val="24"/>
          <w:szCs w:val="24"/>
        </w:rPr>
        <w:t xml:space="preserve">odnosno </w:t>
      </w:r>
      <w:r w:rsidR="00495562" w:rsidRPr="003C1304">
        <w:rPr>
          <w:rFonts w:ascii="Times New Roman" w:hAnsi="Times New Roman" w:cs="Times New Roman"/>
          <w:sz w:val="24"/>
          <w:szCs w:val="24"/>
        </w:rPr>
        <w:t xml:space="preserve">čine </w:t>
      </w:r>
      <w:r w:rsidR="00CA75D3" w:rsidRPr="003C1304">
        <w:rPr>
          <w:rFonts w:ascii="Times New Roman" w:hAnsi="Times New Roman" w:cs="Times New Roman"/>
          <w:sz w:val="24"/>
          <w:szCs w:val="24"/>
        </w:rPr>
        <w:t>3,7</w:t>
      </w:r>
      <w:r w:rsidR="001E6C16" w:rsidRPr="003C1304">
        <w:rPr>
          <w:rFonts w:ascii="Times New Roman" w:hAnsi="Times New Roman" w:cs="Times New Roman"/>
          <w:sz w:val="24"/>
          <w:szCs w:val="24"/>
        </w:rPr>
        <w:t xml:space="preserve">% </w:t>
      </w:r>
      <w:r w:rsidR="001E6C16" w:rsidRPr="003C1304">
        <w:rPr>
          <w:rFonts w:ascii="Times New Roman" w:hAnsi="Times New Roman" w:cs="Times New Roman"/>
          <w:sz w:val="24"/>
          <w:szCs w:val="24"/>
        </w:rPr>
        <w:tab/>
        <w:t>ukupnih rashoda za zaposlene;</w:t>
      </w:r>
    </w:p>
    <w:p w:rsidR="00CA75D3" w:rsidRPr="003C1304" w:rsidRDefault="003A7E83" w:rsidP="00853D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304">
        <w:rPr>
          <w:rFonts w:ascii="Times New Roman" w:hAnsi="Times New Roman" w:cs="Times New Roman"/>
          <w:sz w:val="24"/>
          <w:szCs w:val="24"/>
        </w:rPr>
        <w:t>-</w:t>
      </w:r>
      <w:r w:rsidR="00A25B8D" w:rsidRPr="003C1304">
        <w:rPr>
          <w:rFonts w:ascii="Times New Roman" w:hAnsi="Times New Roman" w:cs="Times New Roman"/>
          <w:sz w:val="24"/>
          <w:szCs w:val="24"/>
        </w:rPr>
        <w:tab/>
        <w:t>Doprinose na obvezno zdravstveno osiguranje (AOP158)</w:t>
      </w:r>
      <w:r w:rsidR="007F0ED1" w:rsidRPr="003C1304">
        <w:rPr>
          <w:rFonts w:ascii="Times New Roman" w:hAnsi="Times New Roman" w:cs="Times New Roman"/>
          <w:sz w:val="24"/>
          <w:szCs w:val="24"/>
        </w:rPr>
        <w:t xml:space="preserve"> </w:t>
      </w:r>
      <w:r w:rsidR="00A25B8D" w:rsidRPr="003C1304">
        <w:rPr>
          <w:rFonts w:ascii="Times New Roman" w:hAnsi="Times New Roman" w:cs="Times New Roman"/>
          <w:sz w:val="24"/>
          <w:szCs w:val="24"/>
        </w:rPr>
        <w:t xml:space="preserve">utrošio se iznos od  </w:t>
      </w:r>
      <w:r w:rsidR="0090774C" w:rsidRPr="003C1304">
        <w:rPr>
          <w:rFonts w:ascii="Times New Roman" w:hAnsi="Times New Roman" w:cs="Times New Roman"/>
          <w:sz w:val="24"/>
          <w:szCs w:val="24"/>
        </w:rPr>
        <w:t>3.</w:t>
      </w:r>
      <w:r w:rsidR="00CA75D3" w:rsidRPr="003C1304">
        <w:rPr>
          <w:rFonts w:ascii="Times New Roman" w:hAnsi="Times New Roman" w:cs="Times New Roman"/>
          <w:sz w:val="24"/>
          <w:szCs w:val="24"/>
        </w:rPr>
        <w:t>429.208</w:t>
      </w:r>
      <w:r w:rsidR="00A25B8D" w:rsidRPr="003C1304">
        <w:rPr>
          <w:rFonts w:ascii="Times New Roman" w:hAnsi="Times New Roman" w:cs="Times New Roman"/>
          <w:sz w:val="24"/>
          <w:szCs w:val="24"/>
        </w:rPr>
        <w:t xml:space="preserve"> kn, </w:t>
      </w:r>
      <w:r w:rsidR="00A25B8D" w:rsidRPr="003C1304">
        <w:rPr>
          <w:rFonts w:ascii="Times New Roman" w:hAnsi="Times New Roman" w:cs="Times New Roman"/>
          <w:sz w:val="24"/>
          <w:szCs w:val="24"/>
        </w:rPr>
        <w:tab/>
        <w:t xml:space="preserve">odnosno </w:t>
      </w:r>
      <w:r w:rsidR="00495562" w:rsidRPr="003C1304">
        <w:rPr>
          <w:rFonts w:ascii="Times New Roman" w:hAnsi="Times New Roman" w:cs="Times New Roman"/>
          <w:sz w:val="24"/>
          <w:szCs w:val="24"/>
        </w:rPr>
        <w:t xml:space="preserve">čine </w:t>
      </w:r>
      <w:r w:rsidR="00CA75D3" w:rsidRPr="003C1304">
        <w:rPr>
          <w:rFonts w:ascii="Times New Roman" w:hAnsi="Times New Roman" w:cs="Times New Roman"/>
          <w:sz w:val="24"/>
          <w:szCs w:val="24"/>
        </w:rPr>
        <w:t>13,1</w:t>
      </w:r>
      <w:r w:rsidR="00A25B8D" w:rsidRPr="003C1304">
        <w:rPr>
          <w:rFonts w:ascii="Times New Roman" w:hAnsi="Times New Roman" w:cs="Times New Roman"/>
          <w:sz w:val="24"/>
          <w:szCs w:val="24"/>
        </w:rPr>
        <w:t>% u</w:t>
      </w:r>
      <w:r w:rsidR="001E6C16" w:rsidRPr="003C1304">
        <w:rPr>
          <w:rFonts w:ascii="Times New Roman" w:hAnsi="Times New Roman" w:cs="Times New Roman"/>
          <w:sz w:val="24"/>
          <w:szCs w:val="24"/>
        </w:rPr>
        <w:t>kupnih rashoda za zaposlene;</w:t>
      </w:r>
    </w:p>
    <w:p w:rsidR="007F0ED1" w:rsidRPr="003C1304" w:rsidRDefault="00CA75D3" w:rsidP="00853D5A">
      <w:pPr>
        <w:spacing w:after="0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304">
        <w:rPr>
          <w:rFonts w:ascii="Times New Roman" w:hAnsi="Times New Roman" w:cs="Times New Roman"/>
          <w:sz w:val="24"/>
          <w:szCs w:val="24"/>
        </w:rPr>
        <w:t>-</w:t>
      </w:r>
      <w:r w:rsidRPr="003C1304">
        <w:rPr>
          <w:rFonts w:ascii="Times New Roman" w:hAnsi="Times New Roman" w:cs="Times New Roman"/>
          <w:sz w:val="24"/>
          <w:szCs w:val="24"/>
        </w:rPr>
        <w:tab/>
      </w:r>
      <w:r w:rsidR="00A25B8D" w:rsidRPr="003C1304">
        <w:rPr>
          <w:rFonts w:ascii="Times New Roman" w:hAnsi="Times New Roman" w:cs="Times New Roman"/>
          <w:sz w:val="24"/>
          <w:szCs w:val="24"/>
        </w:rPr>
        <w:t xml:space="preserve">Doprinose za obvezno osiguranje u slučaju nezaposlenosti (AOP159) utrošio se </w:t>
      </w:r>
      <w:r w:rsidRPr="003C1304">
        <w:rPr>
          <w:rFonts w:ascii="Times New Roman" w:hAnsi="Times New Roman" w:cs="Times New Roman"/>
          <w:sz w:val="24"/>
          <w:szCs w:val="24"/>
        </w:rPr>
        <w:t>iznos od 29.932</w:t>
      </w:r>
      <w:r w:rsidR="00A25B8D" w:rsidRPr="003C1304">
        <w:rPr>
          <w:rFonts w:ascii="Times New Roman" w:hAnsi="Times New Roman" w:cs="Times New Roman"/>
          <w:sz w:val="24"/>
          <w:szCs w:val="24"/>
        </w:rPr>
        <w:t xml:space="preserve"> kn, odnosno</w:t>
      </w:r>
      <w:r w:rsidR="00495562" w:rsidRPr="003C1304">
        <w:rPr>
          <w:rFonts w:ascii="Times New Roman" w:hAnsi="Times New Roman" w:cs="Times New Roman"/>
          <w:sz w:val="24"/>
          <w:szCs w:val="24"/>
        </w:rPr>
        <w:t xml:space="preserve"> čine </w:t>
      </w:r>
      <w:r w:rsidRPr="003C1304">
        <w:rPr>
          <w:rFonts w:ascii="Times New Roman" w:hAnsi="Times New Roman" w:cs="Times New Roman"/>
          <w:sz w:val="24"/>
          <w:szCs w:val="24"/>
        </w:rPr>
        <w:t>0,1</w:t>
      </w:r>
      <w:r w:rsidR="00A25B8D" w:rsidRPr="003C1304">
        <w:rPr>
          <w:rFonts w:ascii="Times New Roman" w:hAnsi="Times New Roman" w:cs="Times New Roman"/>
          <w:sz w:val="24"/>
          <w:szCs w:val="24"/>
        </w:rPr>
        <w:t xml:space="preserve">% ukupnih rashoda za zaposlene. </w:t>
      </w:r>
      <w:r w:rsidRPr="003C1304">
        <w:rPr>
          <w:rFonts w:ascii="Times New Roman" w:hAnsi="Times New Roman" w:cs="Times New Roman"/>
          <w:sz w:val="24"/>
          <w:szCs w:val="24"/>
        </w:rPr>
        <w:t>Oni bilježe najznačajnije odstupanje iz razloga što je ukinuta stopa doprinosa  pa se rashod odnosi na plaću za prosinac 2018. godine isplaćenu u siječnju 2019. godine</w:t>
      </w:r>
    </w:p>
    <w:p w:rsidR="00497899" w:rsidRDefault="00497899" w:rsidP="00853D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249B" w:rsidRPr="00526AD1" w:rsidRDefault="0095249B" w:rsidP="00853D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5F03" w:rsidRPr="003C1304" w:rsidRDefault="00EB2FC4" w:rsidP="00853D5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BILJEŠKA br. 17</w:t>
      </w:r>
      <w:r w:rsidR="009F5F03" w:rsidRPr="003C1304">
        <w:rPr>
          <w:rFonts w:ascii="Times New Roman" w:hAnsi="Times New Roman" w:cs="Times New Roman"/>
          <w:b/>
        </w:rPr>
        <w:t>.</w:t>
      </w:r>
    </w:p>
    <w:p w:rsidR="0095249B" w:rsidRPr="003C1304" w:rsidRDefault="0095249B" w:rsidP="00853D5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:rsidR="00174DBB" w:rsidRPr="003C1304" w:rsidRDefault="00174DBB" w:rsidP="00853D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304">
        <w:rPr>
          <w:rFonts w:ascii="Times New Roman" w:hAnsi="Times New Roman" w:cs="Times New Roman"/>
          <w:b/>
          <w:sz w:val="24"/>
          <w:szCs w:val="24"/>
        </w:rPr>
        <w:t xml:space="preserve">Materijalni rashodi </w:t>
      </w:r>
      <w:r w:rsidR="00A25B8D" w:rsidRPr="003C1304">
        <w:rPr>
          <w:rFonts w:ascii="Times New Roman" w:hAnsi="Times New Roman" w:cs="Times New Roman"/>
          <w:b/>
          <w:sz w:val="24"/>
          <w:szCs w:val="24"/>
        </w:rPr>
        <w:t>(AOP160)</w:t>
      </w:r>
      <w:r w:rsidR="00A25B8D" w:rsidRPr="003C1304">
        <w:rPr>
          <w:rFonts w:ascii="Times New Roman" w:hAnsi="Times New Roman" w:cs="Times New Roman"/>
          <w:sz w:val="24"/>
          <w:szCs w:val="24"/>
        </w:rPr>
        <w:t xml:space="preserve"> </w:t>
      </w:r>
      <w:r w:rsidR="003A7E83" w:rsidRPr="003C1304">
        <w:rPr>
          <w:rFonts w:ascii="Times New Roman" w:hAnsi="Times New Roman" w:cs="Times New Roman"/>
          <w:sz w:val="24"/>
          <w:szCs w:val="24"/>
        </w:rPr>
        <w:t>-</w:t>
      </w:r>
      <w:r w:rsidRPr="003C1304">
        <w:rPr>
          <w:rFonts w:ascii="Times New Roman" w:hAnsi="Times New Roman" w:cs="Times New Roman"/>
          <w:sz w:val="24"/>
          <w:szCs w:val="24"/>
        </w:rPr>
        <w:t xml:space="preserve"> ostvareni su za </w:t>
      </w:r>
      <w:r w:rsidR="00BA1103" w:rsidRPr="003C1304">
        <w:rPr>
          <w:rFonts w:ascii="Times New Roman" w:hAnsi="Times New Roman" w:cs="Times New Roman"/>
          <w:sz w:val="24"/>
          <w:szCs w:val="24"/>
        </w:rPr>
        <w:t>8.495.608 kn ili 9,8</w:t>
      </w:r>
      <w:r w:rsidRPr="003C1304">
        <w:rPr>
          <w:rFonts w:ascii="Times New Roman" w:hAnsi="Times New Roman" w:cs="Times New Roman"/>
          <w:sz w:val="24"/>
          <w:szCs w:val="24"/>
        </w:rPr>
        <w:t xml:space="preserve">% </w:t>
      </w:r>
      <w:r w:rsidR="00A25B8D" w:rsidRPr="003C1304">
        <w:rPr>
          <w:rFonts w:ascii="Times New Roman" w:hAnsi="Times New Roman" w:cs="Times New Roman"/>
          <w:sz w:val="24"/>
          <w:szCs w:val="24"/>
        </w:rPr>
        <w:t>više</w:t>
      </w:r>
      <w:r w:rsidRPr="003C1304">
        <w:rPr>
          <w:rFonts w:ascii="Times New Roman" w:hAnsi="Times New Roman" w:cs="Times New Roman"/>
          <w:sz w:val="24"/>
          <w:szCs w:val="24"/>
        </w:rPr>
        <w:t xml:space="preserve"> nego u istom izvještajnom razdoblju </w:t>
      </w:r>
      <w:r w:rsidR="00685BE8" w:rsidRPr="003C1304">
        <w:rPr>
          <w:rFonts w:ascii="Times New Roman" w:hAnsi="Times New Roman" w:cs="Times New Roman"/>
          <w:sz w:val="24"/>
          <w:szCs w:val="24"/>
        </w:rPr>
        <w:t>2018.</w:t>
      </w:r>
      <w:r w:rsidRPr="003C1304">
        <w:rPr>
          <w:rFonts w:ascii="Times New Roman" w:hAnsi="Times New Roman" w:cs="Times New Roman"/>
          <w:sz w:val="24"/>
          <w:szCs w:val="24"/>
        </w:rPr>
        <w:t xml:space="preserve"> godine i iznose </w:t>
      </w:r>
      <w:r w:rsidR="00BA1103" w:rsidRPr="003C1304">
        <w:rPr>
          <w:rFonts w:ascii="Times New Roman" w:hAnsi="Times New Roman" w:cs="Times New Roman"/>
          <w:sz w:val="24"/>
          <w:szCs w:val="24"/>
        </w:rPr>
        <w:t>94.774.397</w:t>
      </w:r>
      <w:r w:rsidRPr="003C1304">
        <w:rPr>
          <w:rFonts w:ascii="Times New Roman" w:hAnsi="Times New Roman" w:cs="Times New Roman"/>
          <w:sz w:val="24"/>
          <w:szCs w:val="24"/>
        </w:rPr>
        <w:t xml:space="preserve"> kn. </w:t>
      </w:r>
      <w:r w:rsidR="00BA1103" w:rsidRPr="003C1304">
        <w:rPr>
          <w:rFonts w:ascii="Times New Roman" w:hAnsi="Times New Roman" w:cs="Times New Roman"/>
          <w:sz w:val="24"/>
          <w:szCs w:val="24"/>
        </w:rPr>
        <w:t>Materijalni rashodi čine 33,5</w:t>
      </w:r>
      <w:r w:rsidR="00DA018C" w:rsidRPr="003C1304">
        <w:rPr>
          <w:rFonts w:ascii="Times New Roman" w:hAnsi="Times New Roman" w:cs="Times New Roman"/>
          <w:sz w:val="24"/>
          <w:szCs w:val="24"/>
        </w:rPr>
        <w:t>% ukupnih rashoda poslovanja.</w:t>
      </w:r>
    </w:p>
    <w:p w:rsidR="004C3F55" w:rsidRPr="003C1304" w:rsidRDefault="004C3F55" w:rsidP="00853D5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1103" w:rsidRPr="003C1304" w:rsidRDefault="00174DBB" w:rsidP="00853D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304">
        <w:rPr>
          <w:rFonts w:ascii="Times New Roman" w:hAnsi="Times New Roman" w:cs="Times New Roman"/>
          <w:sz w:val="24"/>
          <w:szCs w:val="24"/>
        </w:rPr>
        <w:t xml:space="preserve">Unutar navedene grupe </w:t>
      </w:r>
      <w:r w:rsidR="0090774C" w:rsidRPr="003C1304">
        <w:rPr>
          <w:rFonts w:ascii="Times New Roman" w:hAnsi="Times New Roman" w:cs="Times New Roman"/>
          <w:sz w:val="24"/>
          <w:szCs w:val="24"/>
        </w:rPr>
        <w:t xml:space="preserve">značajnije </w:t>
      </w:r>
      <w:r w:rsidRPr="003C1304">
        <w:rPr>
          <w:rFonts w:ascii="Times New Roman" w:hAnsi="Times New Roman" w:cs="Times New Roman"/>
          <w:sz w:val="24"/>
          <w:szCs w:val="24"/>
        </w:rPr>
        <w:t xml:space="preserve">povećanje u odnosu na </w:t>
      </w:r>
      <w:r w:rsidR="00133388" w:rsidRPr="003C1304">
        <w:rPr>
          <w:rFonts w:ascii="Times New Roman" w:hAnsi="Times New Roman" w:cs="Times New Roman"/>
          <w:sz w:val="24"/>
          <w:szCs w:val="24"/>
        </w:rPr>
        <w:t>isto</w:t>
      </w:r>
      <w:r w:rsidRPr="003C1304">
        <w:rPr>
          <w:rFonts w:ascii="Times New Roman" w:hAnsi="Times New Roman" w:cs="Times New Roman"/>
          <w:sz w:val="24"/>
          <w:szCs w:val="24"/>
        </w:rPr>
        <w:t xml:space="preserve"> izvještajno razdoblje </w:t>
      </w:r>
      <w:r w:rsidR="00685BE8" w:rsidRPr="003C1304">
        <w:rPr>
          <w:rFonts w:ascii="Times New Roman" w:hAnsi="Times New Roman" w:cs="Times New Roman"/>
          <w:sz w:val="24"/>
          <w:szCs w:val="24"/>
        </w:rPr>
        <w:t>2018.</w:t>
      </w:r>
      <w:r w:rsidR="00133388" w:rsidRPr="003C1304">
        <w:rPr>
          <w:rFonts w:ascii="Times New Roman" w:hAnsi="Times New Roman" w:cs="Times New Roman"/>
          <w:sz w:val="24"/>
          <w:szCs w:val="24"/>
        </w:rPr>
        <w:t xml:space="preserve"> godin</w:t>
      </w:r>
      <w:r w:rsidR="00DA018C" w:rsidRPr="003C1304">
        <w:rPr>
          <w:rFonts w:ascii="Times New Roman" w:hAnsi="Times New Roman" w:cs="Times New Roman"/>
          <w:sz w:val="24"/>
          <w:szCs w:val="24"/>
        </w:rPr>
        <w:t>e</w:t>
      </w:r>
      <w:r w:rsidR="00133388" w:rsidRPr="003C1304">
        <w:rPr>
          <w:rFonts w:ascii="Times New Roman" w:hAnsi="Times New Roman" w:cs="Times New Roman"/>
          <w:sz w:val="24"/>
          <w:szCs w:val="24"/>
        </w:rPr>
        <w:t xml:space="preserve"> </w:t>
      </w:r>
      <w:r w:rsidRPr="003C1304">
        <w:rPr>
          <w:rFonts w:ascii="Times New Roman" w:hAnsi="Times New Roman" w:cs="Times New Roman"/>
          <w:sz w:val="24"/>
          <w:szCs w:val="24"/>
        </w:rPr>
        <w:t>zabilježeno je kod</w:t>
      </w:r>
      <w:r w:rsidR="003501D6" w:rsidRPr="003C1304">
        <w:rPr>
          <w:rFonts w:ascii="Times New Roman" w:hAnsi="Times New Roman" w:cs="Times New Roman"/>
          <w:sz w:val="24"/>
          <w:szCs w:val="24"/>
        </w:rPr>
        <w:t xml:space="preserve"> odjeljka</w:t>
      </w:r>
      <w:r w:rsidRPr="003C1304">
        <w:rPr>
          <w:rFonts w:ascii="Times New Roman" w:hAnsi="Times New Roman" w:cs="Times New Roman"/>
          <w:sz w:val="24"/>
          <w:szCs w:val="24"/>
        </w:rPr>
        <w:t>:</w:t>
      </w:r>
    </w:p>
    <w:p w:rsidR="00BA1103" w:rsidRPr="003C1304" w:rsidRDefault="00BA1103" w:rsidP="00853D5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304">
        <w:rPr>
          <w:rFonts w:ascii="Times New Roman" w:hAnsi="Times New Roman" w:cs="Times New Roman"/>
          <w:sz w:val="24"/>
          <w:szCs w:val="24"/>
        </w:rPr>
        <w:t>Energija (AOP169), za 13,2% odnosno 608.940 kn i iznose 5.228.016 kn zbog već</w:t>
      </w:r>
      <w:r w:rsidR="009A4F7F">
        <w:rPr>
          <w:rFonts w:ascii="Times New Roman" w:hAnsi="Times New Roman" w:cs="Times New Roman"/>
          <w:sz w:val="24"/>
          <w:szCs w:val="24"/>
        </w:rPr>
        <w:t>eg</w:t>
      </w:r>
      <w:r w:rsidRPr="003C1304">
        <w:rPr>
          <w:rFonts w:ascii="Times New Roman" w:hAnsi="Times New Roman" w:cs="Times New Roman"/>
          <w:sz w:val="24"/>
          <w:szCs w:val="24"/>
        </w:rPr>
        <w:t xml:space="preserve"> </w:t>
      </w:r>
      <w:r w:rsidR="009A4F7F">
        <w:rPr>
          <w:rFonts w:ascii="Times New Roman" w:hAnsi="Times New Roman" w:cs="Times New Roman"/>
          <w:color w:val="000000"/>
          <w:sz w:val="24"/>
          <w:szCs w:val="24"/>
        </w:rPr>
        <w:t xml:space="preserve">utroška električne energije za rasvjetljavanje površina javne namjene, za rad semafora, hidrauličnih podiznih stupića, punjenje električnih bicikala, funkcioniranje gradskih fontana i javnih WC-a te drugih građevina i uređaja javne namjene te </w:t>
      </w:r>
      <w:r w:rsidRPr="003C1304">
        <w:rPr>
          <w:rFonts w:ascii="Times New Roman" w:hAnsi="Times New Roman" w:cs="Times New Roman"/>
          <w:sz w:val="24"/>
          <w:szCs w:val="24"/>
        </w:rPr>
        <w:t>povećanja broja mjernih mjesta;</w:t>
      </w:r>
    </w:p>
    <w:p w:rsidR="009F5F03" w:rsidRPr="003C1304" w:rsidRDefault="00BA1103" w:rsidP="00853D5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304">
        <w:rPr>
          <w:rFonts w:ascii="Times New Roman" w:hAnsi="Times New Roman" w:cs="Times New Roman"/>
          <w:sz w:val="24"/>
          <w:szCs w:val="24"/>
        </w:rPr>
        <w:t xml:space="preserve">Službena, radna i zaštitna odjeća i obuća (AOP173), za 119,1% odnosno 59.645 kn, a ostvareni su u iznosu od 109.738 kn </w:t>
      </w:r>
      <w:r w:rsidR="003C1304">
        <w:rPr>
          <w:rFonts w:ascii="Times New Roman" w:hAnsi="Times New Roman" w:cs="Times New Roman"/>
          <w:sz w:val="24"/>
          <w:szCs w:val="24"/>
        </w:rPr>
        <w:t>i</w:t>
      </w:r>
      <w:r w:rsidRPr="003C1304">
        <w:rPr>
          <w:rFonts w:ascii="Times New Roman" w:hAnsi="Times New Roman" w:cs="Times New Roman"/>
          <w:sz w:val="24"/>
          <w:szCs w:val="24"/>
        </w:rPr>
        <w:t xml:space="preserve"> odnos</w:t>
      </w:r>
      <w:r w:rsidR="003C1304">
        <w:rPr>
          <w:rFonts w:ascii="Times New Roman" w:hAnsi="Times New Roman" w:cs="Times New Roman"/>
          <w:sz w:val="24"/>
          <w:szCs w:val="24"/>
        </w:rPr>
        <w:t>e</w:t>
      </w:r>
      <w:r w:rsidRPr="003C1304">
        <w:rPr>
          <w:rFonts w:ascii="Times New Roman" w:hAnsi="Times New Roman" w:cs="Times New Roman"/>
          <w:sz w:val="24"/>
          <w:szCs w:val="24"/>
        </w:rPr>
        <w:t xml:space="preserve"> se na </w:t>
      </w:r>
      <w:r w:rsidR="00B40484">
        <w:rPr>
          <w:rFonts w:ascii="Times New Roman" w:hAnsi="Times New Roman" w:cs="Times New Roman"/>
          <w:sz w:val="24"/>
          <w:szCs w:val="24"/>
        </w:rPr>
        <w:t>služben</w:t>
      </w:r>
      <w:r w:rsidR="00B071C9">
        <w:rPr>
          <w:rFonts w:ascii="Times New Roman" w:hAnsi="Times New Roman" w:cs="Times New Roman"/>
          <w:sz w:val="24"/>
          <w:szCs w:val="24"/>
        </w:rPr>
        <w:t>u</w:t>
      </w:r>
      <w:r w:rsidRPr="003C1304">
        <w:rPr>
          <w:rFonts w:ascii="Times New Roman" w:hAnsi="Times New Roman" w:cs="Times New Roman"/>
          <w:sz w:val="24"/>
          <w:szCs w:val="24"/>
        </w:rPr>
        <w:t xml:space="preserve"> obuć</w:t>
      </w:r>
      <w:r w:rsidR="00B071C9">
        <w:rPr>
          <w:rFonts w:ascii="Times New Roman" w:hAnsi="Times New Roman" w:cs="Times New Roman"/>
          <w:sz w:val="24"/>
          <w:szCs w:val="24"/>
        </w:rPr>
        <w:t>u</w:t>
      </w:r>
      <w:r w:rsidRPr="003C1304">
        <w:rPr>
          <w:rFonts w:ascii="Times New Roman" w:hAnsi="Times New Roman" w:cs="Times New Roman"/>
          <w:sz w:val="24"/>
          <w:szCs w:val="24"/>
        </w:rPr>
        <w:t xml:space="preserve"> i odjeć</w:t>
      </w:r>
      <w:r w:rsidR="00B071C9">
        <w:rPr>
          <w:rFonts w:ascii="Times New Roman" w:hAnsi="Times New Roman" w:cs="Times New Roman"/>
          <w:sz w:val="24"/>
          <w:szCs w:val="24"/>
        </w:rPr>
        <w:t>u</w:t>
      </w:r>
      <w:r w:rsidRPr="003C1304">
        <w:rPr>
          <w:rFonts w:ascii="Times New Roman" w:hAnsi="Times New Roman" w:cs="Times New Roman"/>
          <w:sz w:val="24"/>
          <w:szCs w:val="24"/>
        </w:rPr>
        <w:t xml:space="preserve"> za spremačice te komunalne i prometne redare; </w:t>
      </w:r>
    </w:p>
    <w:p w:rsidR="00BA1103" w:rsidRPr="003C1304" w:rsidRDefault="00BA1103" w:rsidP="00853D5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304">
        <w:rPr>
          <w:rFonts w:ascii="Times New Roman" w:hAnsi="Times New Roman" w:cs="Times New Roman"/>
          <w:sz w:val="24"/>
          <w:szCs w:val="24"/>
        </w:rPr>
        <w:t xml:space="preserve">Usluge telefona, pošte i prijevoza (AOP175), za 26,8% odnosno 279.946 kn i iznose 1.323.535 kn zbog </w:t>
      </w:r>
      <w:r w:rsidR="00B40484">
        <w:rPr>
          <w:rFonts w:ascii="Times New Roman" w:hAnsi="Times New Roman" w:cs="Times New Roman"/>
          <w:sz w:val="24"/>
          <w:szCs w:val="24"/>
        </w:rPr>
        <w:t xml:space="preserve">dostave novih </w:t>
      </w:r>
      <w:r w:rsidRPr="003C1304">
        <w:rPr>
          <w:rFonts w:ascii="Times New Roman" w:hAnsi="Times New Roman" w:cs="Times New Roman"/>
          <w:sz w:val="24"/>
          <w:szCs w:val="24"/>
        </w:rPr>
        <w:t xml:space="preserve">rješenja korisnicima za komunalnu naknadu i naknadu za uređenje voda čime su uvećani </w:t>
      </w:r>
      <w:r w:rsidR="003C1304">
        <w:rPr>
          <w:rFonts w:ascii="Times New Roman" w:hAnsi="Times New Roman" w:cs="Times New Roman"/>
          <w:sz w:val="24"/>
          <w:szCs w:val="24"/>
        </w:rPr>
        <w:t>rashodi za poštanske troškove</w:t>
      </w:r>
      <w:r w:rsidRPr="003C1304">
        <w:rPr>
          <w:rFonts w:ascii="Times New Roman" w:hAnsi="Times New Roman" w:cs="Times New Roman"/>
          <w:sz w:val="24"/>
          <w:szCs w:val="24"/>
        </w:rPr>
        <w:t>;</w:t>
      </w:r>
    </w:p>
    <w:p w:rsidR="00BA1103" w:rsidRPr="003C1304" w:rsidRDefault="00BA1103" w:rsidP="00853D5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304">
        <w:rPr>
          <w:rFonts w:ascii="Times New Roman" w:hAnsi="Times New Roman" w:cs="Times New Roman"/>
          <w:sz w:val="24"/>
          <w:szCs w:val="24"/>
        </w:rPr>
        <w:lastRenderedPageBreak/>
        <w:t>Usluge promidžbe i informiranja (AOP177), za 13,8% odnosno 319.317 kn i iznose 2.635.054 kn, a povećanje je zabilježeno na računu ostalih usluga za promidžbu i informiranje zbog većih rashoda koji se odnose na usluge vezane za realizaciju međunarodnih projekata;</w:t>
      </w:r>
    </w:p>
    <w:p w:rsidR="00BA1103" w:rsidRPr="003C1304" w:rsidRDefault="00BA1103" w:rsidP="00853D5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304">
        <w:rPr>
          <w:rFonts w:ascii="Times New Roman" w:hAnsi="Times New Roman" w:cs="Times New Roman"/>
          <w:sz w:val="24"/>
          <w:szCs w:val="24"/>
        </w:rPr>
        <w:t xml:space="preserve">Komunalne usluge (AOP178), za 18,2% odnosno 8.906.895 kn i iznose 57.803.402 kn zbog </w:t>
      </w:r>
      <w:r w:rsidRPr="003C1304">
        <w:rPr>
          <w:rFonts w:ascii="Times New Roman" w:hAnsi="Times New Roman" w:cs="Times New Roman"/>
          <w:color w:val="000000"/>
          <w:sz w:val="24"/>
          <w:szCs w:val="24"/>
        </w:rPr>
        <w:t>većeg izdatka za redovito i izvanredno održavanje cesta te održavanja čistoće i plaža;</w:t>
      </w:r>
    </w:p>
    <w:p w:rsidR="00BA1103" w:rsidRPr="00C84BFD" w:rsidRDefault="00BA1103" w:rsidP="00853D5A">
      <w:pPr>
        <w:pStyle w:val="ListParagraph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4BFD">
        <w:rPr>
          <w:rFonts w:ascii="Times New Roman" w:hAnsi="Times New Roman" w:cs="Times New Roman"/>
          <w:sz w:val="24"/>
          <w:szCs w:val="24"/>
        </w:rPr>
        <w:t>Zakupnine i najamnine, za 80,0% odnosno 718.507 kn i iznose 1.616.701 kn zbog</w:t>
      </w:r>
      <w:r w:rsidR="00C84BFD" w:rsidRPr="00C84BFD">
        <w:rPr>
          <w:rFonts w:ascii="Times New Roman" w:hAnsi="Times New Roman" w:cs="Times New Roman"/>
          <w:sz w:val="24"/>
          <w:szCs w:val="24"/>
        </w:rPr>
        <w:t xml:space="preserve"> </w:t>
      </w:r>
      <w:r w:rsidRPr="00C84BFD">
        <w:rPr>
          <w:rFonts w:ascii="Times New Roman" w:hAnsi="Times New Roman" w:cs="Times New Roman"/>
          <w:sz w:val="24"/>
          <w:szCs w:val="24"/>
        </w:rPr>
        <w:t xml:space="preserve">realizacije programa iz </w:t>
      </w:r>
      <w:r w:rsidR="00B40484">
        <w:rPr>
          <w:rFonts w:ascii="Times New Roman" w:hAnsi="Times New Roman" w:cs="Times New Roman"/>
          <w:sz w:val="24"/>
          <w:szCs w:val="24"/>
        </w:rPr>
        <w:t xml:space="preserve">djelokruga </w:t>
      </w:r>
      <w:r w:rsidRPr="00C84BFD">
        <w:rPr>
          <w:rFonts w:ascii="Times New Roman" w:hAnsi="Times New Roman" w:cs="Times New Roman"/>
          <w:sz w:val="24"/>
          <w:szCs w:val="24"/>
        </w:rPr>
        <w:t>Upravnog odjela za kulturu</w:t>
      </w:r>
      <w:r w:rsidR="00B40484">
        <w:rPr>
          <w:rFonts w:ascii="Times New Roman" w:hAnsi="Times New Roman" w:cs="Times New Roman"/>
          <w:sz w:val="24"/>
          <w:szCs w:val="24"/>
        </w:rPr>
        <w:t xml:space="preserve"> (najam pozornice)</w:t>
      </w:r>
      <w:r w:rsidR="00C84BFD">
        <w:rPr>
          <w:rFonts w:ascii="Times New Roman" w:hAnsi="Times New Roman" w:cs="Times New Roman"/>
          <w:sz w:val="24"/>
          <w:szCs w:val="24"/>
        </w:rPr>
        <w:t>;</w:t>
      </w:r>
    </w:p>
    <w:p w:rsidR="00AC19F8" w:rsidRPr="003C1304" w:rsidRDefault="00AC19F8" w:rsidP="00853D5A">
      <w:pPr>
        <w:pStyle w:val="ListParagraph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1304">
        <w:rPr>
          <w:rFonts w:ascii="Times New Roman" w:hAnsi="Times New Roman" w:cs="Times New Roman"/>
          <w:sz w:val="24"/>
          <w:szCs w:val="24"/>
        </w:rPr>
        <w:t>Zdravstvene i vetrinarske usluge (AOP180), za 54,6% odnosno 157.558 kn i iznose 445.919 kn. Za obvezne i preventivne preglede zaposlenih utrošio se iznos od 6.940 kn, za vetrinarske usluge iznos od 248.109 kn, a za ostale vetrinarske i zdravstvene usluge iznos od 190.870 kn. Povećanje je evidentirano zbog većih izdataka za veterinarske usluge te za s</w:t>
      </w:r>
      <w:r w:rsidR="00C84BFD">
        <w:rPr>
          <w:rFonts w:ascii="Times New Roman" w:hAnsi="Times New Roman" w:cs="Times New Roman"/>
          <w:sz w:val="24"/>
          <w:szCs w:val="24"/>
        </w:rPr>
        <w:t>klonište za napuštene životinje;</w:t>
      </w:r>
      <w:r w:rsidRPr="003C1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103" w:rsidRDefault="00AC19F8" w:rsidP="00853D5A">
      <w:pPr>
        <w:pStyle w:val="ListParagraph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Računalne usluge (AOP182)</w:t>
      </w:r>
      <w:r>
        <w:rPr>
          <w:rFonts w:ascii="Times New Roman" w:hAnsi="Times New Roman" w:cs="Times New Roman"/>
          <w:sz w:val="24"/>
          <w:szCs w:val="24"/>
        </w:rPr>
        <w:t xml:space="preserve">, za 300% odnosno 41.625 kn i </w:t>
      </w:r>
      <w:r w:rsidRPr="00526AD1">
        <w:rPr>
          <w:rFonts w:ascii="Times New Roman" w:hAnsi="Times New Roman" w:cs="Times New Roman"/>
          <w:sz w:val="24"/>
          <w:szCs w:val="24"/>
        </w:rPr>
        <w:t xml:space="preserve">iznose </w:t>
      </w:r>
      <w:r>
        <w:rPr>
          <w:rFonts w:ascii="Times New Roman" w:hAnsi="Times New Roman" w:cs="Times New Roman"/>
          <w:sz w:val="24"/>
          <w:szCs w:val="24"/>
        </w:rPr>
        <w:t>55.500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kn. Ove vrste usluga odnose se na održavanje informatičkog sustava eSocijala i eVrtići</w:t>
      </w:r>
      <w:r>
        <w:rPr>
          <w:rFonts w:ascii="Times New Roman" w:hAnsi="Times New Roman" w:cs="Times New Roman"/>
          <w:sz w:val="24"/>
          <w:szCs w:val="24"/>
        </w:rPr>
        <w:t xml:space="preserve"> i uvećani su iz razloga što je u 2018. godini Grad imao besplatno održav</w:t>
      </w:r>
      <w:r w:rsidR="00C84BFD">
        <w:rPr>
          <w:rFonts w:ascii="Times New Roman" w:hAnsi="Times New Roman" w:cs="Times New Roman"/>
          <w:sz w:val="24"/>
          <w:szCs w:val="24"/>
        </w:rPr>
        <w:t>anje sustava za veći dio godine;</w:t>
      </w:r>
    </w:p>
    <w:p w:rsidR="00AC19F8" w:rsidRDefault="007A1836" w:rsidP="00853D5A">
      <w:pPr>
        <w:pStyle w:val="ListParagraph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Ostale usluge (AOP183), za 16,5% odnosno 367.041 kn i </w:t>
      </w:r>
      <w:r w:rsidRPr="00526AD1">
        <w:rPr>
          <w:rFonts w:ascii="Times New Roman" w:hAnsi="Times New Roman" w:cs="Times New Roman"/>
          <w:sz w:val="24"/>
          <w:szCs w:val="24"/>
        </w:rPr>
        <w:t xml:space="preserve">iznose </w:t>
      </w:r>
      <w:r>
        <w:rPr>
          <w:rFonts w:ascii="Times New Roman" w:hAnsi="Times New Roman" w:cs="Times New Roman"/>
          <w:sz w:val="24"/>
          <w:szCs w:val="24"/>
        </w:rPr>
        <w:t>2.595.919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kn, a čine ih usluge čišćenja, pranja i sl. u iznosu od </w:t>
      </w:r>
      <w:r>
        <w:rPr>
          <w:rFonts w:ascii="Times New Roman" w:hAnsi="Times New Roman" w:cs="Times New Roman"/>
          <w:sz w:val="24"/>
          <w:szCs w:val="24"/>
        </w:rPr>
        <w:t xml:space="preserve">318.262 </w:t>
      </w:r>
      <w:r w:rsidRPr="00526AD1">
        <w:rPr>
          <w:rFonts w:ascii="Times New Roman" w:hAnsi="Times New Roman" w:cs="Times New Roman"/>
          <w:sz w:val="24"/>
          <w:szCs w:val="24"/>
        </w:rPr>
        <w:t xml:space="preserve">kn, usluge čuvanja imovine i osoba u iznosu od </w:t>
      </w:r>
      <w:r>
        <w:rPr>
          <w:rFonts w:ascii="Times New Roman" w:hAnsi="Times New Roman" w:cs="Times New Roman"/>
          <w:sz w:val="24"/>
          <w:szCs w:val="24"/>
        </w:rPr>
        <w:t>532.256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kn, ostale nespomenute usluge u iznosu od 1.</w:t>
      </w:r>
      <w:r>
        <w:rPr>
          <w:rFonts w:ascii="Times New Roman" w:hAnsi="Times New Roman" w:cs="Times New Roman"/>
          <w:sz w:val="24"/>
          <w:szCs w:val="24"/>
        </w:rPr>
        <w:t>745.401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 od čega se iznos od 1.</w:t>
      </w:r>
      <w:r>
        <w:rPr>
          <w:rFonts w:ascii="Times New Roman" w:hAnsi="Times New Roman" w:cs="Times New Roman"/>
          <w:sz w:val="24"/>
          <w:szCs w:val="24"/>
        </w:rPr>
        <w:t>400.059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 odnosi na naknadu od 1% koja pripada Poreznoj upravi od ukupno naplaćenih prihoda za troškove obavljanja poslova utvrđivanja, evidentiranja, naplate, nadzora i ovrhe poreza na dohodak, a </w:t>
      </w:r>
      <w:r w:rsidR="00B40484">
        <w:rPr>
          <w:rFonts w:ascii="Times New Roman" w:hAnsi="Times New Roman" w:cs="Times New Roman"/>
          <w:sz w:val="24"/>
          <w:szCs w:val="24"/>
        </w:rPr>
        <w:t>temeljem</w:t>
      </w:r>
      <w:r w:rsidRPr="00526AD1">
        <w:rPr>
          <w:rFonts w:ascii="Times New Roman" w:hAnsi="Times New Roman" w:cs="Times New Roman"/>
          <w:sz w:val="24"/>
          <w:szCs w:val="24"/>
        </w:rPr>
        <w:t xml:space="preserve"> čl. 5. Zakona o financiranju jedinica lokalne i područne (regionalne) samouprave. </w:t>
      </w:r>
      <w:r>
        <w:rPr>
          <w:rFonts w:ascii="Times New Roman" w:hAnsi="Times New Roman" w:cs="Times New Roman"/>
          <w:sz w:val="24"/>
          <w:szCs w:val="24"/>
        </w:rPr>
        <w:t xml:space="preserve">Rashodi za ostale usluge uvećani su zbog troškova podjele </w:t>
      </w:r>
      <w:r w:rsidR="00B40484">
        <w:rPr>
          <w:rFonts w:ascii="Times New Roman" w:hAnsi="Times New Roman" w:cs="Times New Roman"/>
          <w:sz w:val="24"/>
          <w:szCs w:val="24"/>
        </w:rPr>
        <w:t xml:space="preserve">novih </w:t>
      </w:r>
      <w:r>
        <w:rPr>
          <w:rFonts w:ascii="Times New Roman" w:hAnsi="Times New Roman" w:cs="Times New Roman"/>
          <w:sz w:val="24"/>
          <w:szCs w:val="24"/>
        </w:rPr>
        <w:t>rješenja obveznicima za komunalnu nak</w:t>
      </w:r>
      <w:r w:rsidR="00C84BFD">
        <w:rPr>
          <w:rFonts w:ascii="Times New Roman" w:hAnsi="Times New Roman" w:cs="Times New Roman"/>
          <w:sz w:val="24"/>
          <w:szCs w:val="24"/>
        </w:rPr>
        <w:t>nadu i naknadu za uređenje voda;</w:t>
      </w:r>
    </w:p>
    <w:p w:rsidR="007A1836" w:rsidRPr="00A02CC6" w:rsidRDefault="007A1836" w:rsidP="00853D5A">
      <w:pPr>
        <w:pStyle w:val="ListParagraph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2CC6">
        <w:rPr>
          <w:rFonts w:ascii="Times New Roman" w:hAnsi="Times New Roman" w:cs="Times New Roman"/>
          <w:sz w:val="24"/>
          <w:szCs w:val="24"/>
        </w:rPr>
        <w:t>Premije osiguranja (AOP187),</w:t>
      </w:r>
      <w:r w:rsidRPr="00A02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CC6">
        <w:rPr>
          <w:rFonts w:ascii="Times New Roman" w:hAnsi="Times New Roman" w:cs="Times New Roman"/>
          <w:sz w:val="24"/>
          <w:szCs w:val="24"/>
        </w:rPr>
        <w:t>za 49,7% odnosno 189.642 kn i  iznose 571.265 kn, a odnose se na rashode za premije osiguranja prijevoznih sredstava u iznosu od 11.017 kn, premije osiguranja ostale imovine u iznosu od 90.470 kn, premije osiguranja zaposlenih u iznosu od 236.95</w:t>
      </w:r>
      <w:r w:rsidR="00C84BFD" w:rsidRPr="00A02CC6">
        <w:rPr>
          <w:rFonts w:ascii="Times New Roman" w:hAnsi="Times New Roman" w:cs="Times New Roman"/>
          <w:sz w:val="24"/>
          <w:szCs w:val="24"/>
        </w:rPr>
        <w:t>9</w:t>
      </w:r>
      <w:r w:rsidRPr="00A02CC6">
        <w:rPr>
          <w:rFonts w:ascii="Times New Roman" w:hAnsi="Times New Roman" w:cs="Times New Roman"/>
          <w:sz w:val="24"/>
          <w:szCs w:val="24"/>
        </w:rPr>
        <w:t xml:space="preserve"> kn te premije osiguranja za opću odgovornost u iznosu od 232.81</w:t>
      </w:r>
      <w:r w:rsidR="00C84BFD" w:rsidRPr="00A02CC6">
        <w:rPr>
          <w:rFonts w:ascii="Times New Roman" w:hAnsi="Times New Roman" w:cs="Times New Roman"/>
          <w:sz w:val="24"/>
          <w:szCs w:val="24"/>
        </w:rPr>
        <w:t>9</w:t>
      </w:r>
      <w:r w:rsidR="009C296F" w:rsidRPr="00A02CC6">
        <w:rPr>
          <w:rFonts w:ascii="Times New Roman" w:hAnsi="Times New Roman" w:cs="Times New Roman"/>
          <w:sz w:val="24"/>
          <w:szCs w:val="24"/>
        </w:rPr>
        <w:t xml:space="preserve"> kn. U ovom odjeljku </w:t>
      </w:r>
      <w:r w:rsidRPr="00A02CC6">
        <w:rPr>
          <w:rFonts w:ascii="Times New Roman" w:hAnsi="Times New Roman" w:cs="Times New Roman"/>
          <w:sz w:val="24"/>
          <w:szCs w:val="24"/>
        </w:rPr>
        <w:t xml:space="preserve">došlo </w:t>
      </w:r>
      <w:r w:rsidR="009C296F" w:rsidRPr="00A02CC6">
        <w:rPr>
          <w:rFonts w:ascii="Times New Roman" w:hAnsi="Times New Roman" w:cs="Times New Roman"/>
          <w:sz w:val="24"/>
          <w:szCs w:val="24"/>
        </w:rPr>
        <w:t xml:space="preserve">je </w:t>
      </w:r>
      <w:r w:rsidRPr="00A02CC6">
        <w:rPr>
          <w:rFonts w:ascii="Times New Roman" w:hAnsi="Times New Roman" w:cs="Times New Roman"/>
          <w:sz w:val="24"/>
          <w:szCs w:val="24"/>
        </w:rPr>
        <w:t xml:space="preserve">do povećanja rashoda </w:t>
      </w:r>
      <w:r w:rsidR="00A02CC6" w:rsidRPr="00A02CC6">
        <w:rPr>
          <w:rFonts w:ascii="Times New Roman" w:hAnsi="Times New Roman" w:cs="Times New Roman"/>
          <w:sz w:val="24"/>
          <w:szCs w:val="24"/>
        </w:rPr>
        <w:t xml:space="preserve">u kategoriji opće odgovornosti zbog ugovaranja police za usluge osiguranja imovine, odgovornosti i osoba te dodatnog zdravstvenog osiguranja. </w:t>
      </w:r>
    </w:p>
    <w:p w:rsidR="00AC19F8" w:rsidRPr="007A1836" w:rsidRDefault="007A1836" w:rsidP="00853D5A">
      <w:pPr>
        <w:pStyle w:val="ListParagraph"/>
        <w:numPr>
          <w:ilvl w:val="0"/>
          <w:numId w:val="8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1836">
        <w:rPr>
          <w:rFonts w:ascii="Times New Roman" w:hAnsi="Times New Roman" w:cs="Times New Roman"/>
          <w:sz w:val="24"/>
          <w:szCs w:val="24"/>
        </w:rPr>
        <w:t>Reprezentacija (AOP188),</w:t>
      </w:r>
      <w:r w:rsidRPr="007A1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836">
        <w:rPr>
          <w:rFonts w:ascii="Times New Roman" w:hAnsi="Times New Roman" w:cs="Times New Roman"/>
          <w:sz w:val="24"/>
          <w:szCs w:val="24"/>
        </w:rPr>
        <w:t>za 73,1% odnosno 148.408 kn i iznose 351.557 kn. Uvećani su zbog ugošćivanja poslovnih partnera</w:t>
      </w:r>
      <w:r>
        <w:rPr>
          <w:rFonts w:ascii="Times New Roman" w:hAnsi="Times New Roman" w:cs="Times New Roman"/>
          <w:sz w:val="24"/>
          <w:szCs w:val="24"/>
        </w:rPr>
        <w:t xml:space="preserve">, a od </w:t>
      </w:r>
      <w:r w:rsidR="009C296F">
        <w:rPr>
          <w:rFonts w:ascii="Times New Roman" w:hAnsi="Times New Roman" w:cs="Times New Roman"/>
          <w:sz w:val="24"/>
          <w:szCs w:val="24"/>
        </w:rPr>
        <w:t>ukupnog iznosa V</w:t>
      </w:r>
      <w:r w:rsidRPr="007A1836">
        <w:rPr>
          <w:rFonts w:ascii="Times New Roman" w:hAnsi="Times New Roman" w:cs="Times New Roman"/>
          <w:sz w:val="24"/>
          <w:szCs w:val="24"/>
        </w:rPr>
        <w:t xml:space="preserve">ijeća nacionalnih manjina utrošila su iznos od </w:t>
      </w:r>
      <w:r>
        <w:rPr>
          <w:rFonts w:ascii="Times New Roman" w:hAnsi="Times New Roman" w:cs="Times New Roman"/>
          <w:sz w:val="24"/>
          <w:szCs w:val="24"/>
        </w:rPr>
        <w:t>34.319</w:t>
      </w:r>
      <w:r w:rsidRPr="007A1836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0FA" w:rsidRPr="00526AD1" w:rsidRDefault="00E720FA" w:rsidP="00853D5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388" w:rsidRDefault="00133388" w:rsidP="00853D5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 xml:space="preserve">Unutar navedene grupe značajnije smanjenje u odnosu na isto izvještajno razdoblje u </w:t>
      </w:r>
      <w:r w:rsidR="00685BE8">
        <w:rPr>
          <w:rFonts w:ascii="Times New Roman" w:hAnsi="Times New Roman" w:cs="Times New Roman"/>
          <w:sz w:val="24"/>
          <w:szCs w:val="24"/>
        </w:rPr>
        <w:t>2018.</w:t>
      </w:r>
      <w:r w:rsidRPr="00526AD1">
        <w:rPr>
          <w:rFonts w:ascii="Times New Roman" w:hAnsi="Times New Roman" w:cs="Times New Roman"/>
          <w:sz w:val="24"/>
          <w:szCs w:val="24"/>
        </w:rPr>
        <w:t xml:space="preserve"> godini zabilježeno je kod odjeljka: </w:t>
      </w:r>
    </w:p>
    <w:p w:rsidR="007A1836" w:rsidRPr="00526AD1" w:rsidRDefault="007A1836" w:rsidP="00853D5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Službena putovanja (AOP162), za 11,4% odnosno 26.809 kn i</w:t>
      </w:r>
      <w:r w:rsidRPr="00526AD1">
        <w:rPr>
          <w:rFonts w:ascii="Times New Roman" w:hAnsi="Times New Roman" w:cs="Times New Roman"/>
          <w:sz w:val="24"/>
          <w:szCs w:val="24"/>
        </w:rPr>
        <w:t xml:space="preserve"> iznose </w:t>
      </w:r>
      <w:r>
        <w:rPr>
          <w:rFonts w:ascii="Times New Roman" w:hAnsi="Times New Roman" w:cs="Times New Roman"/>
          <w:sz w:val="24"/>
          <w:szCs w:val="24"/>
        </w:rPr>
        <w:t xml:space="preserve">208.685 </w:t>
      </w:r>
      <w:r w:rsidRPr="00526AD1">
        <w:rPr>
          <w:rFonts w:ascii="Times New Roman" w:hAnsi="Times New Roman" w:cs="Times New Roman"/>
          <w:sz w:val="24"/>
          <w:szCs w:val="24"/>
        </w:rPr>
        <w:t>kn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6AD1">
        <w:rPr>
          <w:rFonts w:ascii="Times New Roman" w:hAnsi="Times New Roman" w:cs="Times New Roman"/>
          <w:sz w:val="24"/>
          <w:szCs w:val="24"/>
        </w:rPr>
        <w:t xml:space="preserve">Na službeni put u zemlji odnosno za dnevnice utrošio se iznos od </w:t>
      </w:r>
      <w:r>
        <w:rPr>
          <w:rFonts w:ascii="Times New Roman" w:hAnsi="Times New Roman" w:cs="Times New Roman"/>
          <w:sz w:val="24"/>
          <w:szCs w:val="24"/>
        </w:rPr>
        <w:t xml:space="preserve">51.983 </w:t>
      </w:r>
      <w:r w:rsidRPr="00526AD1">
        <w:rPr>
          <w:rFonts w:ascii="Times New Roman" w:hAnsi="Times New Roman" w:cs="Times New Roman"/>
          <w:sz w:val="24"/>
          <w:szCs w:val="24"/>
        </w:rPr>
        <w:t xml:space="preserve">kn, za smještaj </w:t>
      </w:r>
      <w:r>
        <w:rPr>
          <w:rFonts w:ascii="Times New Roman" w:hAnsi="Times New Roman" w:cs="Times New Roman"/>
          <w:sz w:val="24"/>
          <w:szCs w:val="24"/>
        </w:rPr>
        <w:t>42.807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 i prijevoz </w:t>
      </w:r>
      <w:r>
        <w:rPr>
          <w:rFonts w:ascii="Times New Roman" w:hAnsi="Times New Roman" w:cs="Times New Roman"/>
          <w:sz w:val="24"/>
          <w:szCs w:val="24"/>
        </w:rPr>
        <w:t>5.988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kn. Na službeni put u inozemstvo odnosno za dnevnice utrošio se iznos od </w:t>
      </w:r>
      <w:r>
        <w:rPr>
          <w:rFonts w:ascii="Times New Roman" w:hAnsi="Times New Roman" w:cs="Times New Roman"/>
          <w:sz w:val="24"/>
          <w:szCs w:val="24"/>
        </w:rPr>
        <w:t>32.550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kn, za smještaj </w:t>
      </w:r>
      <w:r>
        <w:rPr>
          <w:rFonts w:ascii="Times New Roman" w:hAnsi="Times New Roman" w:cs="Times New Roman"/>
          <w:sz w:val="24"/>
          <w:szCs w:val="24"/>
        </w:rPr>
        <w:t>19.763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 i prijevoz </w:t>
      </w:r>
      <w:r>
        <w:rPr>
          <w:rFonts w:ascii="Times New Roman" w:hAnsi="Times New Roman" w:cs="Times New Roman"/>
          <w:sz w:val="24"/>
          <w:szCs w:val="24"/>
        </w:rPr>
        <w:t>18.984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kn. Na ostale rashode na službenom putu utrošen je iznos od </w:t>
      </w:r>
      <w:r>
        <w:rPr>
          <w:rFonts w:ascii="Times New Roman" w:hAnsi="Times New Roman" w:cs="Times New Roman"/>
          <w:sz w:val="24"/>
          <w:szCs w:val="24"/>
        </w:rPr>
        <w:t>3.631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kn. Vijeća nacionalnih manjina utrošila su na službeni put iznos od </w:t>
      </w:r>
      <w:r>
        <w:rPr>
          <w:rFonts w:ascii="Times New Roman" w:hAnsi="Times New Roman" w:cs="Times New Roman"/>
          <w:sz w:val="24"/>
          <w:szCs w:val="24"/>
        </w:rPr>
        <w:t>32.97</w:t>
      </w:r>
      <w:r w:rsidR="00AE56B1">
        <w:rPr>
          <w:rFonts w:ascii="Times New Roman" w:hAnsi="Times New Roman" w:cs="Times New Roman"/>
          <w:sz w:val="24"/>
          <w:szCs w:val="24"/>
        </w:rPr>
        <w:t>9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7A1836" w:rsidRPr="00441CAA" w:rsidRDefault="007A1836" w:rsidP="00853D5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CAA">
        <w:rPr>
          <w:rFonts w:ascii="Times New Roman" w:hAnsi="Times New Roman" w:cs="Times New Roman"/>
          <w:sz w:val="24"/>
          <w:szCs w:val="24"/>
        </w:rPr>
        <w:lastRenderedPageBreak/>
        <w:t xml:space="preserve">Stručno usavršavanje zaposlenika (AOP164), za </w:t>
      </w:r>
      <w:r>
        <w:rPr>
          <w:rFonts w:ascii="Times New Roman" w:hAnsi="Times New Roman" w:cs="Times New Roman"/>
          <w:sz w:val="24"/>
          <w:szCs w:val="24"/>
        </w:rPr>
        <w:t>24,7</w:t>
      </w:r>
      <w:r w:rsidRPr="00441CAA">
        <w:rPr>
          <w:rFonts w:ascii="Times New Roman" w:hAnsi="Times New Roman" w:cs="Times New Roman"/>
          <w:sz w:val="24"/>
          <w:szCs w:val="24"/>
        </w:rPr>
        <w:t>%</w:t>
      </w:r>
      <w:r w:rsidRPr="007A1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 18.867 kn</w:t>
      </w:r>
      <w:r w:rsidRPr="00441CAA">
        <w:rPr>
          <w:rFonts w:ascii="Times New Roman" w:hAnsi="Times New Roman" w:cs="Times New Roman"/>
          <w:sz w:val="24"/>
          <w:szCs w:val="24"/>
        </w:rPr>
        <w:t xml:space="preserve"> i iznose </w:t>
      </w:r>
      <w:r>
        <w:rPr>
          <w:rFonts w:ascii="Times New Roman" w:hAnsi="Times New Roman" w:cs="Times New Roman"/>
          <w:sz w:val="24"/>
          <w:szCs w:val="24"/>
        </w:rPr>
        <w:t>57.571</w:t>
      </w:r>
      <w:r w:rsidRPr="00441CAA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. Za</w:t>
      </w:r>
      <w:r w:rsidRPr="00441CAA">
        <w:rPr>
          <w:rFonts w:ascii="Times New Roman" w:hAnsi="Times New Roman" w:cs="Times New Roman"/>
          <w:sz w:val="24"/>
          <w:szCs w:val="24"/>
        </w:rPr>
        <w:t xml:space="preserve"> seminare, savjetovanja i simpozije utrošeno je </w:t>
      </w:r>
      <w:r>
        <w:rPr>
          <w:rFonts w:ascii="Times New Roman" w:hAnsi="Times New Roman" w:cs="Times New Roman"/>
          <w:sz w:val="24"/>
          <w:szCs w:val="24"/>
        </w:rPr>
        <w:t>43.121</w:t>
      </w:r>
      <w:r w:rsidRPr="00441CAA">
        <w:rPr>
          <w:rFonts w:ascii="Times New Roman" w:hAnsi="Times New Roman" w:cs="Times New Roman"/>
          <w:sz w:val="24"/>
          <w:szCs w:val="24"/>
        </w:rPr>
        <w:t xml:space="preserve"> kn, a za tečajeve i stručne ispite iznos od </w:t>
      </w:r>
      <w:r>
        <w:rPr>
          <w:rFonts w:ascii="Times New Roman" w:hAnsi="Times New Roman" w:cs="Times New Roman"/>
          <w:sz w:val="24"/>
          <w:szCs w:val="24"/>
        </w:rPr>
        <w:t>14.450</w:t>
      </w:r>
      <w:r w:rsidRPr="00441CAA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. Smanjenje ove vrste rashoda je zbog manjeg odlaska službenika na seminare i stručna savjetovanja</w:t>
      </w:r>
      <w:r w:rsidRPr="00441CAA">
        <w:rPr>
          <w:rFonts w:ascii="Times New Roman" w:hAnsi="Times New Roman" w:cs="Times New Roman"/>
          <w:sz w:val="24"/>
          <w:szCs w:val="24"/>
        </w:rPr>
        <w:t>.</w:t>
      </w:r>
    </w:p>
    <w:p w:rsidR="007A1836" w:rsidRDefault="007A1836" w:rsidP="00853D5A">
      <w:pPr>
        <w:pStyle w:val="Style20"/>
        <w:widowControl/>
        <w:numPr>
          <w:ilvl w:val="0"/>
          <w:numId w:val="8"/>
        </w:num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410B39">
        <w:rPr>
          <w:rFonts w:ascii="Times New Roman" w:hAnsi="Times New Roman" w:cs="Times New Roman"/>
        </w:rPr>
        <w:t>sluge tekućeg i investicijskog održavanja (AOP176)</w:t>
      </w:r>
      <w:r>
        <w:rPr>
          <w:rFonts w:ascii="Times New Roman" w:hAnsi="Times New Roman" w:cs="Times New Roman"/>
        </w:rPr>
        <w:t xml:space="preserve">, za 24,9% odnosno 2.889.959 kn i </w:t>
      </w:r>
      <w:r w:rsidRPr="00410B39">
        <w:rPr>
          <w:rFonts w:ascii="Times New Roman" w:hAnsi="Times New Roman" w:cs="Times New Roman"/>
        </w:rPr>
        <w:t xml:space="preserve"> iznose </w:t>
      </w:r>
      <w:r>
        <w:rPr>
          <w:rFonts w:ascii="Times New Roman" w:hAnsi="Times New Roman" w:cs="Times New Roman"/>
        </w:rPr>
        <w:t>8.729.563</w:t>
      </w:r>
      <w:r w:rsidRPr="00410B39">
        <w:rPr>
          <w:rFonts w:ascii="Times New Roman" w:hAnsi="Times New Roman" w:cs="Times New Roman"/>
        </w:rPr>
        <w:t xml:space="preserve"> kn</w:t>
      </w:r>
      <w:r>
        <w:rPr>
          <w:rFonts w:ascii="Times New Roman" w:hAnsi="Times New Roman" w:cs="Times New Roman"/>
        </w:rPr>
        <w:t>. Iznos iskazan u bruto bilanci - razina 22, iznosi 9.406.062 kn, a razliku od 676.499 kn čine rashodi vezani za proračunske korisnike odnosno račune koji glase na proračunskog korisnika,</w:t>
      </w:r>
      <w:r w:rsidR="00B40484">
        <w:rPr>
          <w:rFonts w:ascii="Times New Roman" w:hAnsi="Times New Roman" w:cs="Times New Roman"/>
        </w:rPr>
        <w:t xml:space="preserve"> a plaćeni su sa pozicije Grada. </w:t>
      </w:r>
      <w:r>
        <w:rPr>
          <w:rFonts w:ascii="Times New Roman" w:hAnsi="Times New Roman" w:cs="Times New Roman"/>
        </w:rPr>
        <w:t>Isti su vezani za izvor decentralizacije i iskazani su prema novčanom načelu odnosno plaćanju na AOP235-Prijenosi proračunskim korisnicima iz nadležnog proračuna za financiranje rashoda poslovanja. Rashodi su smanjeni zbog manje potrebe za intervencijama u osnovnim školama vezanim za održavanje istih.</w:t>
      </w:r>
    </w:p>
    <w:p w:rsidR="007A1836" w:rsidRDefault="007A1836" w:rsidP="00853D5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:rsidR="00853D5A" w:rsidRDefault="00853D5A" w:rsidP="00853D5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7A1836" w:rsidRDefault="007A1836" w:rsidP="00853D5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967321">
        <w:rPr>
          <w:rFonts w:ascii="Times New Roman" w:hAnsi="Times New Roman" w:cs="Times New Roman"/>
          <w:b/>
        </w:rPr>
        <w:t>BILJEŠKA br. 1</w:t>
      </w:r>
      <w:r w:rsidR="00EB2FC4">
        <w:rPr>
          <w:rFonts w:ascii="Times New Roman" w:hAnsi="Times New Roman" w:cs="Times New Roman"/>
          <w:b/>
        </w:rPr>
        <w:t>8</w:t>
      </w:r>
      <w:r w:rsidRPr="00967321">
        <w:rPr>
          <w:rFonts w:ascii="Times New Roman" w:hAnsi="Times New Roman" w:cs="Times New Roman"/>
          <w:b/>
        </w:rPr>
        <w:t>.</w:t>
      </w:r>
    </w:p>
    <w:p w:rsidR="007A1836" w:rsidRDefault="007A1836" w:rsidP="00853D5A">
      <w:pPr>
        <w:pStyle w:val="Style20"/>
        <w:widowControl/>
        <w:spacing w:line="276" w:lineRule="auto"/>
        <w:contextualSpacing/>
        <w:rPr>
          <w:rFonts w:ascii="Times New Roman" w:eastAsiaTheme="minorHAnsi" w:hAnsi="Times New Roman" w:cs="Times New Roman"/>
          <w:lang w:eastAsia="en-US"/>
        </w:rPr>
      </w:pPr>
    </w:p>
    <w:p w:rsidR="007A1836" w:rsidRDefault="00482DEB" w:rsidP="00853D5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7A1836">
        <w:rPr>
          <w:rFonts w:ascii="Times New Roman" w:hAnsi="Times New Roman" w:cs="Times New Roman"/>
        </w:rPr>
        <w:t>Sitni inventar i auto gume (AOP171)</w:t>
      </w:r>
      <w:r w:rsidR="007A1836">
        <w:rPr>
          <w:rFonts w:ascii="Times New Roman" w:hAnsi="Times New Roman" w:cs="Times New Roman"/>
        </w:rPr>
        <w:t xml:space="preserve"> -</w:t>
      </w:r>
      <w:r w:rsidRPr="007A1836">
        <w:rPr>
          <w:rFonts w:ascii="Times New Roman" w:hAnsi="Times New Roman" w:cs="Times New Roman"/>
        </w:rPr>
        <w:t xml:space="preserve"> </w:t>
      </w:r>
      <w:r w:rsidR="007A1836">
        <w:rPr>
          <w:rFonts w:ascii="Times New Roman" w:hAnsi="Times New Roman" w:cs="Times New Roman"/>
        </w:rPr>
        <w:t>iznose 39.030 kn, a iznos iskazan u bruto bilanci - razina 22, iznosi 63.532 kn. Razliku od 24.502 kn čini rashod proračunskog korisnika odnosno račun proračunskog kor</w:t>
      </w:r>
      <w:r w:rsidR="00B40484">
        <w:rPr>
          <w:rFonts w:ascii="Times New Roman" w:hAnsi="Times New Roman" w:cs="Times New Roman"/>
        </w:rPr>
        <w:t xml:space="preserve">isnika plaćen sa pozicije Grada. </w:t>
      </w:r>
      <w:r w:rsidR="007A1836">
        <w:rPr>
          <w:rFonts w:ascii="Times New Roman" w:hAnsi="Times New Roman" w:cs="Times New Roman"/>
        </w:rPr>
        <w:t xml:space="preserve">Isti je vezani za izvor decentralizacije i iskazan prema novčanom načelu na AOP235-Prijenosi proračunskim korisnicima iz nadležnog proračuna za financiranje rashoda poslovanja. </w:t>
      </w:r>
    </w:p>
    <w:p w:rsidR="007A1836" w:rsidRDefault="007A1836" w:rsidP="007A1836">
      <w:pPr>
        <w:pStyle w:val="Style20"/>
        <w:widowControl/>
        <w:spacing w:line="240" w:lineRule="auto"/>
        <w:rPr>
          <w:rFonts w:ascii="Times New Roman" w:hAnsi="Times New Roman" w:cs="Times New Roman"/>
        </w:rPr>
      </w:pPr>
    </w:p>
    <w:p w:rsidR="00C72071" w:rsidRDefault="00C72071" w:rsidP="00967321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:rsidR="007A1836" w:rsidRDefault="00EB2FC4" w:rsidP="00967321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BILJEŠKA br. 19</w:t>
      </w:r>
      <w:r w:rsidR="007A1836" w:rsidRPr="00967321">
        <w:rPr>
          <w:rFonts w:ascii="Times New Roman" w:hAnsi="Times New Roman" w:cs="Times New Roman"/>
          <w:b/>
        </w:rPr>
        <w:t>.</w:t>
      </w:r>
    </w:p>
    <w:p w:rsidR="007A1836" w:rsidRDefault="007A1836" w:rsidP="00967321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:rsidR="007A1836" w:rsidRDefault="007A1836" w:rsidP="00967321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nespomenuti rashodi poslovanja (AOP192) - iznose 6.364.050 kn,</w:t>
      </w:r>
      <w:r w:rsidRPr="007A1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iznos iskazan u bruto bilanci - razina 22, iznosi </w:t>
      </w:r>
      <w:r w:rsidR="00C72071">
        <w:rPr>
          <w:rFonts w:ascii="Times New Roman" w:hAnsi="Times New Roman" w:cs="Times New Roman"/>
        </w:rPr>
        <w:t>6.353.928</w:t>
      </w:r>
      <w:r>
        <w:rPr>
          <w:rFonts w:ascii="Times New Roman" w:hAnsi="Times New Roman" w:cs="Times New Roman"/>
        </w:rPr>
        <w:t xml:space="preserve"> kn. Razliku od </w:t>
      </w:r>
      <w:r w:rsidR="00C72071">
        <w:rPr>
          <w:rFonts w:ascii="Times New Roman" w:hAnsi="Times New Roman" w:cs="Times New Roman"/>
        </w:rPr>
        <w:t>10.122</w:t>
      </w:r>
      <w:r>
        <w:rPr>
          <w:rFonts w:ascii="Times New Roman" w:hAnsi="Times New Roman" w:cs="Times New Roman"/>
        </w:rPr>
        <w:t xml:space="preserve"> kn čini rashod </w:t>
      </w:r>
      <w:r w:rsidR="00C72071">
        <w:rPr>
          <w:rFonts w:ascii="Times New Roman" w:hAnsi="Times New Roman" w:cs="Times New Roman"/>
        </w:rPr>
        <w:t>jednog mjesnog odbora čiji je izvor vezan za višak prethodne godine</w:t>
      </w:r>
      <w:r>
        <w:rPr>
          <w:rFonts w:ascii="Times New Roman" w:hAnsi="Times New Roman" w:cs="Times New Roman"/>
        </w:rPr>
        <w:t xml:space="preserve"> </w:t>
      </w:r>
      <w:r w:rsidR="00C72071">
        <w:rPr>
          <w:rFonts w:ascii="Times New Roman" w:hAnsi="Times New Roman" w:cs="Times New Roman"/>
        </w:rPr>
        <w:t xml:space="preserve">te </w:t>
      </w:r>
      <w:r w:rsidR="00967321">
        <w:rPr>
          <w:rFonts w:ascii="Times New Roman" w:hAnsi="Times New Roman" w:cs="Times New Roman"/>
        </w:rPr>
        <w:t>je isti</w:t>
      </w:r>
      <w:r w:rsidR="00C72071">
        <w:rPr>
          <w:rFonts w:ascii="Times New Roman" w:hAnsi="Times New Roman" w:cs="Times New Roman"/>
        </w:rPr>
        <w:t xml:space="preserve"> bilo potrebno pribrojiti rashodima razine 22 izvještavanja.</w:t>
      </w:r>
    </w:p>
    <w:p w:rsidR="00803D2E" w:rsidRDefault="00803D2E" w:rsidP="007A1836">
      <w:pPr>
        <w:spacing w:after="0"/>
        <w:jc w:val="both"/>
        <w:rPr>
          <w:rFonts w:ascii="Times New Roman" w:hAnsi="Times New Roman" w:cs="Times New Roman"/>
        </w:rPr>
      </w:pPr>
    </w:p>
    <w:p w:rsidR="002312C1" w:rsidRDefault="002312C1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2312C1" w:rsidRDefault="002312C1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967321">
        <w:rPr>
          <w:rFonts w:ascii="Times New Roman" w:hAnsi="Times New Roman" w:cs="Times New Roman"/>
          <w:b/>
        </w:rPr>
        <w:t>BILJEŠK</w:t>
      </w:r>
      <w:r w:rsidR="00EB2FC4">
        <w:rPr>
          <w:rFonts w:ascii="Times New Roman" w:hAnsi="Times New Roman" w:cs="Times New Roman"/>
          <w:b/>
        </w:rPr>
        <w:t>A br. 20</w:t>
      </w:r>
      <w:r w:rsidRPr="00967321">
        <w:rPr>
          <w:rFonts w:ascii="Times New Roman" w:hAnsi="Times New Roman" w:cs="Times New Roman"/>
          <w:b/>
        </w:rPr>
        <w:t>.</w:t>
      </w:r>
    </w:p>
    <w:p w:rsidR="0095249B" w:rsidRPr="00526AD1" w:rsidRDefault="0095249B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2312C1" w:rsidRPr="00967321" w:rsidRDefault="00BA5DA5" w:rsidP="00967321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7321">
        <w:rPr>
          <w:rFonts w:ascii="Times New Roman" w:hAnsi="Times New Roman" w:cs="Times New Roman"/>
          <w:b/>
          <w:sz w:val="24"/>
          <w:szCs w:val="24"/>
        </w:rPr>
        <w:t>Financijski rashodi (AOP19</w:t>
      </w:r>
      <w:r w:rsidR="008F0708" w:rsidRPr="00967321">
        <w:rPr>
          <w:rFonts w:ascii="Times New Roman" w:hAnsi="Times New Roman" w:cs="Times New Roman"/>
          <w:b/>
          <w:sz w:val="24"/>
          <w:szCs w:val="24"/>
        </w:rPr>
        <w:t>3</w:t>
      </w:r>
      <w:r w:rsidRPr="00967321">
        <w:rPr>
          <w:rFonts w:ascii="Times New Roman" w:hAnsi="Times New Roman" w:cs="Times New Roman"/>
          <w:b/>
          <w:sz w:val="24"/>
          <w:szCs w:val="24"/>
        </w:rPr>
        <w:t>)</w:t>
      </w:r>
      <w:r w:rsidRPr="00967321">
        <w:rPr>
          <w:rFonts w:ascii="Times New Roman" w:hAnsi="Times New Roman" w:cs="Times New Roman"/>
          <w:sz w:val="24"/>
          <w:szCs w:val="24"/>
        </w:rPr>
        <w:t xml:space="preserve"> </w:t>
      </w:r>
      <w:r w:rsidR="003A7E83" w:rsidRPr="00967321">
        <w:rPr>
          <w:rFonts w:ascii="Times New Roman" w:hAnsi="Times New Roman" w:cs="Times New Roman"/>
          <w:sz w:val="24"/>
          <w:szCs w:val="24"/>
        </w:rPr>
        <w:t>-</w:t>
      </w:r>
      <w:r w:rsidRPr="00967321"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2312C1" w:rsidRPr="00967321">
        <w:rPr>
          <w:rFonts w:ascii="Times New Roman" w:hAnsi="Times New Roman" w:cs="Times New Roman"/>
          <w:sz w:val="24"/>
          <w:szCs w:val="24"/>
        </w:rPr>
        <w:t>1.</w:t>
      </w:r>
      <w:r w:rsidR="006B64AC" w:rsidRPr="00967321">
        <w:rPr>
          <w:rFonts w:ascii="Times New Roman" w:hAnsi="Times New Roman" w:cs="Times New Roman"/>
          <w:sz w:val="24"/>
          <w:szCs w:val="24"/>
        </w:rPr>
        <w:t>668.062</w:t>
      </w:r>
      <w:r w:rsidR="000547C0">
        <w:rPr>
          <w:rFonts w:ascii="Times New Roman" w:hAnsi="Times New Roman" w:cs="Times New Roman"/>
          <w:sz w:val="24"/>
          <w:szCs w:val="24"/>
        </w:rPr>
        <w:t xml:space="preserve"> </w:t>
      </w:r>
      <w:r w:rsidRPr="00967321">
        <w:rPr>
          <w:rFonts w:ascii="Times New Roman" w:hAnsi="Times New Roman" w:cs="Times New Roman"/>
          <w:sz w:val="24"/>
          <w:szCs w:val="24"/>
        </w:rPr>
        <w:t xml:space="preserve">kn odnosno za </w:t>
      </w:r>
      <w:r w:rsidR="006B64AC" w:rsidRPr="00967321">
        <w:rPr>
          <w:rFonts w:ascii="Times New Roman" w:hAnsi="Times New Roman" w:cs="Times New Roman"/>
          <w:sz w:val="24"/>
          <w:szCs w:val="24"/>
        </w:rPr>
        <w:t>10,7</w:t>
      </w:r>
      <w:r w:rsidRPr="00967321">
        <w:rPr>
          <w:rFonts w:ascii="Times New Roman" w:hAnsi="Times New Roman" w:cs="Times New Roman"/>
          <w:sz w:val="24"/>
          <w:szCs w:val="24"/>
        </w:rPr>
        <w:t xml:space="preserve">% manje nego </w:t>
      </w:r>
      <w:r w:rsidR="00685BE8" w:rsidRPr="00967321">
        <w:rPr>
          <w:rFonts w:ascii="Times New Roman" w:hAnsi="Times New Roman" w:cs="Times New Roman"/>
          <w:sz w:val="24"/>
          <w:szCs w:val="24"/>
        </w:rPr>
        <w:t>2018.</w:t>
      </w:r>
      <w:r w:rsidRPr="00967321">
        <w:rPr>
          <w:rFonts w:ascii="Times New Roman" w:hAnsi="Times New Roman" w:cs="Times New Roman"/>
          <w:sz w:val="24"/>
          <w:szCs w:val="24"/>
        </w:rPr>
        <w:t xml:space="preserve"> godine </w:t>
      </w:r>
      <w:r w:rsidR="002367ED" w:rsidRPr="00967321">
        <w:rPr>
          <w:rFonts w:ascii="Times New Roman" w:hAnsi="Times New Roman" w:cs="Times New Roman"/>
          <w:sz w:val="24"/>
          <w:szCs w:val="24"/>
        </w:rPr>
        <w:t>u istom razdoblju izvještavanja, a č</w:t>
      </w:r>
      <w:r w:rsidRPr="00967321">
        <w:rPr>
          <w:rFonts w:ascii="Times New Roman" w:hAnsi="Times New Roman" w:cs="Times New Roman"/>
          <w:sz w:val="24"/>
          <w:szCs w:val="24"/>
        </w:rPr>
        <w:t>ine ih:</w:t>
      </w:r>
    </w:p>
    <w:p w:rsidR="002367ED" w:rsidRPr="00967321" w:rsidRDefault="00BA5DA5" w:rsidP="0096732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21">
        <w:rPr>
          <w:rFonts w:ascii="Times New Roman" w:hAnsi="Times New Roman" w:cs="Times New Roman"/>
          <w:sz w:val="24"/>
          <w:szCs w:val="24"/>
        </w:rPr>
        <w:t>Kamate za primljene kredite i zajmove</w:t>
      </w:r>
      <w:r w:rsidR="002312C1" w:rsidRPr="00967321">
        <w:rPr>
          <w:rFonts w:ascii="Times New Roman" w:hAnsi="Times New Roman" w:cs="Times New Roman"/>
          <w:sz w:val="24"/>
          <w:szCs w:val="24"/>
        </w:rPr>
        <w:t xml:space="preserve"> od kreditnih i ostalih financijskih institucija izvan javnog sektora</w:t>
      </w:r>
      <w:r w:rsidRPr="00967321">
        <w:rPr>
          <w:rFonts w:ascii="Times New Roman" w:hAnsi="Times New Roman" w:cs="Times New Roman"/>
          <w:sz w:val="24"/>
          <w:szCs w:val="24"/>
        </w:rPr>
        <w:t xml:space="preserve"> (AOP20</w:t>
      </w:r>
      <w:r w:rsidR="008F0708" w:rsidRPr="00967321">
        <w:rPr>
          <w:rFonts w:ascii="Times New Roman" w:hAnsi="Times New Roman" w:cs="Times New Roman"/>
          <w:sz w:val="24"/>
          <w:szCs w:val="24"/>
        </w:rPr>
        <w:t>2</w:t>
      </w:r>
      <w:r w:rsidRPr="00967321">
        <w:rPr>
          <w:rFonts w:ascii="Times New Roman" w:hAnsi="Times New Roman" w:cs="Times New Roman"/>
          <w:sz w:val="24"/>
          <w:szCs w:val="24"/>
        </w:rPr>
        <w:t xml:space="preserve">) </w:t>
      </w:r>
      <w:r w:rsidR="003A7E83" w:rsidRPr="00967321">
        <w:rPr>
          <w:rFonts w:ascii="Times New Roman" w:hAnsi="Times New Roman" w:cs="Times New Roman"/>
          <w:sz w:val="24"/>
          <w:szCs w:val="24"/>
        </w:rPr>
        <w:t>-</w:t>
      </w:r>
      <w:r w:rsidRPr="00967321">
        <w:rPr>
          <w:rFonts w:ascii="Times New Roman" w:hAnsi="Times New Roman" w:cs="Times New Roman"/>
          <w:sz w:val="24"/>
          <w:szCs w:val="24"/>
        </w:rPr>
        <w:t xml:space="preserve"> </w:t>
      </w:r>
      <w:r w:rsidR="00E9056E" w:rsidRPr="00967321">
        <w:rPr>
          <w:rFonts w:ascii="Times New Roman" w:hAnsi="Times New Roman" w:cs="Times New Roman"/>
          <w:sz w:val="24"/>
          <w:szCs w:val="24"/>
        </w:rPr>
        <w:t>ostvareno je</w:t>
      </w:r>
      <w:r w:rsidR="002367ED" w:rsidRPr="00967321">
        <w:rPr>
          <w:rFonts w:ascii="Times New Roman" w:hAnsi="Times New Roman" w:cs="Times New Roman"/>
          <w:sz w:val="24"/>
          <w:szCs w:val="24"/>
        </w:rPr>
        <w:t xml:space="preserve"> </w:t>
      </w:r>
      <w:r w:rsidR="002312C1" w:rsidRPr="00967321">
        <w:rPr>
          <w:rFonts w:ascii="Times New Roman" w:hAnsi="Times New Roman" w:cs="Times New Roman"/>
          <w:sz w:val="24"/>
          <w:szCs w:val="24"/>
        </w:rPr>
        <w:t>1.</w:t>
      </w:r>
      <w:r w:rsidR="006B64AC" w:rsidRPr="00967321">
        <w:rPr>
          <w:rFonts w:ascii="Times New Roman" w:hAnsi="Times New Roman" w:cs="Times New Roman"/>
          <w:sz w:val="24"/>
          <w:szCs w:val="24"/>
        </w:rPr>
        <w:t>280.760</w:t>
      </w:r>
      <w:r w:rsidR="008F0708" w:rsidRPr="00967321">
        <w:rPr>
          <w:rFonts w:ascii="Times New Roman" w:hAnsi="Times New Roman" w:cs="Times New Roman"/>
          <w:sz w:val="24"/>
          <w:szCs w:val="24"/>
        </w:rPr>
        <w:t xml:space="preserve"> </w:t>
      </w:r>
      <w:r w:rsidR="002367ED" w:rsidRPr="00967321">
        <w:rPr>
          <w:rFonts w:ascii="Times New Roman" w:hAnsi="Times New Roman" w:cs="Times New Roman"/>
          <w:sz w:val="24"/>
          <w:szCs w:val="24"/>
        </w:rPr>
        <w:t xml:space="preserve">kn što je </w:t>
      </w:r>
      <w:r w:rsidR="008F0708" w:rsidRPr="00967321">
        <w:rPr>
          <w:rFonts w:ascii="Times New Roman" w:hAnsi="Times New Roman" w:cs="Times New Roman"/>
          <w:sz w:val="24"/>
          <w:szCs w:val="24"/>
        </w:rPr>
        <w:t xml:space="preserve">za </w:t>
      </w:r>
      <w:r w:rsidR="006B64AC" w:rsidRPr="00967321">
        <w:rPr>
          <w:rFonts w:ascii="Times New Roman" w:hAnsi="Times New Roman" w:cs="Times New Roman"/>
          <w:sz w:val="24"/>
          <w:szCs w:val="24"/>
        </w:rPr>
        <w:t>11,1</w:t>
      </w:r>
      <w:r w:rsidRPr="00967321">
        <w:rPr>
          <w:rFonts w:ascii="Times New Roman" w:hAnsi="Times New Roman" w:cs="Times New Roman"/>
          <w:sz w:val="24"/>
          <w:szCs w:val="24"/>
        </w:rPr>
        <w:t xml:space="preserve">% manje nego u istom izvještajnom razdoblju </w:t>
      </w:r>
      <w:r w:rsidR="00685BE8" w:rsidRPr="00967321">
        <w:rPr>
          <w:rFonts w:ascii="Times New Roman" w:hAnsi="Times New Roman" w:cs="Times New Roman"/>
          <w:sz w:val="24"/>
          <w:szCs w:val="24"/>
        </w:rPr>
        <w:t>2018.</w:t>
      </w:r>
      <w:r w:rsidRPr="00967321">
        <w:rPr>
          <w:rFonts w:ascii="Times New Roman" w:hAnsi="Times New Roman" w:cs="Times New Roman"/>
          <w:sz w:val="24"/>
          <w:szCs w:val="24"/>
        </w:rPr>
        <w:t xml:space="preserve"> godine,</w:t>
      </w:r>
      <w:r w:rsidR="00E9056E" w:rsidRPr="00967321">
        <w:rPr>
          <w:rFonts w:ascii="Times New Roman" w:hAnsi="Times New Roman" w:cs="Times New Roman"/>
          <w:sz w:val="24"/>
          <w:szCs w:val="24"/>
        </w:rPr>
        <w:t xml:space="preserve"> odnosno</w:t>
      </w:r>
      <w:r w:rsidRPr="00967321">
        <w:rPr>
          <w:rFonts w:ascii="Times New Roman" w:hAnsi="Times New Roman" w:cs="Times New Roman"/>
          <w:sz w:val="24"/>
          <w:szCs w:val="24"/>
        </w:rPr>
        <w:t xml:space="preserve"> </w:t>
      </w:r>
      <w:r w:rsidR="00CA2D78" w:rsidRPr="00967321">
        <w:rPr>
          <w:rFonts w:ascii="Times New Roman" w:hAnsi="Times New Roman" w:cs="Times New Roman"/>
          <w:sz w:val="24"/>
          <w:szCs w:val="24"/>
        </w:rPr>
        <w:t>knjižene su</w:t>
      </w:r>
      <w:r w:rsidR="00E9056E" w:rsidRPr="00967321">
        <w:rPr>
          <w:rFonts w:ascii="Times New Roman" w:hAnsi="Times New Roman" w:cs="Times New Roman"/>
          <w:sz w:val="24"/>
          <w:szCs w:val="24"/>
        </w:rPr>
        <w:t xml:space="preserve"> </w:t>
      </w:r>
      <w:r w:rsidRPr="00967321">
        <w:rPr>
          <w:rFonts w:ascii="Times New Roman" w:hAnsi="Times New Roman" w:cs="Times New Roman"/>
          <w:sz w:val="24"/>
          <w:szCs w:val="24"/>
        </w:rPr>
        <w:t>kamat</w:t>
      </w:r>
      <w:r w:rsidR="00CA2D78" w:rsidRPr="00967321">
        <w:rPr>
          <w:rFonts w:ascii="Times New Roman" w:hAnsi="Times New Roman" w:cs="Times New Roman"/>
          <w:sz w:val="24"/>
          <w:szCs w:val="24"/>
        </w:rPr>
        <w:t>e</w:t>
      </w:r>
      <w:r w:rsidRPr="00967321">
        <w:rPr>
          <w:rFonts w:ascii="Times New Roman" w:hAnsi="Times New Roman" w:cs="Times New Roman"/>
          <w:sz w:val="24"/>
          <w:szCs w:val="24"/>
        </w:rPr>
        <w:t xml:space="preserve"> tijekom </w:t>
      </w:r>
      <w:r w:rsidR="003C20C6" w:rsidRPr="00967321">
        <w:rPr>
          <w:rFonts w:ascii="Times New Roman" w:hAnsi="Times New Roman" w:cs="Times New Roman"/>
          <w:sz w:val="24"/>
          <w:szCs w:val="24"/>
        </w:rPr>
        <w:t>2019.</w:t>
      </w:r>
      <w:r w:rsidR="00CA2D78" w:rsidRPr="00967321">
        <w:rPr>
          <w:rFonts w:ascii="Times New Roman" w:hAnsi="Times New Roman" w:cs="Times New Roman"/>
          <w:sz w:val="24"/>
          <w:szCs w:val="24"/>
        </w:rPr>
        <w:t xml:space="preserve"> godine po kreditima</w:t>
      </w:r>
      <w:r w:rsidRPr="00967321">
        <w:rPr>
          <w:rFonts w:ascii="Times New Roman" w:hAnsi="Times New Roman" w:cs="Times New Roman"/>
          <w:sz w:val="24"/>
          <w:szCs w:val="24"/>
        </w:rPr>
        <w:t xml:space="preserve"> za izgradnju OŠ Veli Vrh, I faza u iznosu od </w:t>
      </w:r>
      <w:r w:rsidR="006B64AC" w:rsidRPr="00967321">
        <w:rPr>
          <w:rFonts w:ascii="Times New Roman" w:hAnsi="Times New Roman" w:cs="Times New Roman"/>
          <w:sz w:val="24"/>
          <w:szCs w:val="24"/>
        </w:rPr>
        <w:t>682.537</w:t>
      </w:r>
      <w:r w:rsidRPr="00967321">
        <w:rPr>
          <w:rFonts w:ascii="Times New Roman" w:hAnsi="Times New Roman" w:cs="Times New Roman"/>
          <w:sz w:val="24"/>
          <w:szCs w:val="24"/>
        </w:rPr>
        <w:t xml:space="preserve"> kn i II faza u iznosu od </w:t>
      </w:r>
      <w:r w:rsidR="006B64AC" w:rsidRPr="00967321">
        <w:rPr>
          <w:rFonts w:ascii="Times New Roman" w:hAnsi="Times New Roman" w:cs="Times New Roman"/>
          <w:sz w:val="24"/>
          <w:szCs w:val="24"/>
        </w:rPr>
        <w:t>598.223</w:t>
      </w:r>
      <w:r w:rsidRPr="00967321">
        <w:rPr>
          <w:rFonts w:ascii="Times New Roman" w:hAnsi="Times New Roman" w:cs="Times New Roman"/>
          <w:sz w:val="24"/>
          <w:szCs w:val="24"/>
        </w:rPr>
        <w:t xml:space="preserve"> kn</w:t>
      </w:r>
      <w:r w:rsidR="00B071C9">
        <w:rPr>
          <w:rFonts w:ascii="Times New Roman" w:hAnsi="Times New Roman" w:cs="Times New Roman"/>
          <w:sz w:val="24"/>
          <w:szCs w:val="24"/>
        </w:rPr>
        <w:t xml:space="preserve"> iz razloga što su otplatom smanjene glavnice kredita</w:t>
      </w:r>
      <w:r w:rsidR="002312C1" w:rsidRPr="00967321">
        <w:rPr>
          <w:rFonts w:ascii="Times New Roman" w:hAnsi="Times New Roman" w:cs="Times New Roman"/>
          <w:sz w:val="24"/>
          <w:szCs w:val="24"/>
        </w:rPr>
        <w:t>;</w:t>
      </w:r>
    </w:p>
    <w:p w:rsidR="002312C1" w:rsidRPr="00967321" w:rsidRDefault="002312C1" w:rsidP="0096732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21">
        <w:rPr>
          <w:rFonts w:ascii="Times New Roman" w:hAnsi="Times New Roman" w:cs="Times New Roman"/>
          <w:sz w:val="24"/>
          <w:szCs w:val="24"/>
        </w:rPr>
        <w:t>B</w:t>
      </w:r>
      <w:r w:rsidR="00E9056E" w:rsidRPr="00967321">
        <w:rPr>
          <w:rFonts w:ascii="Times New Roman" w:hAnsi="Times New Roman" w:cs="Times New Roman"/>
          <w:sz w:val="24"/>
          <w:szCs w:val="24"/>
        </w:rPr>
        <w:t xml:space="preserve">ankarske usluge i usluge </w:t>
      </w:r>
      <w:r w:rsidR="00365C02" w:rsidRPr="00967321">
        <w:rPr>
          <w:rFonts w:ascii="Times New Roman" w:hAnsi="Times New Roman" w:cs="Times New Roman"/>
          <w:sz w:val="24"/>
          <w:szCs w:val="24"/>
        </w:rPr>
        <w:t>platnog prometa</w:t>
      </w:r>
      <w:r w:rsidRPr="00967321">
        <w:rPr>
          <w:rFonts w:ascii="Times New Roman" w:hAnsi="Times New Roman" w:cs="Times New Roman"/>
          <w:sz w:val="24"/>
          <w:szCs w:val="24"/>
        </w:rPr>
        <w:t xml:space="preserve"> (AOP208)</w:t>
      </w:r>
      <w:r w:rsidR="000547C0">
        <w:rPr>
          <w:rFonts w:ascii="Times New Roman" w:hAnsi="Times New Roman" w:cs="Times New Roman"/>
          <w:sz w:val="24"/>
          <w:szCs w:val="24"/>
        </w:rPr>
        <w:t xml:space="preserve"> - iznose</w:t>
      </w:r>
      <w:r w:rsidR="00365C02" w:rsidRPr="00967321">
        <w:rPr>
          <w:rFonts w:ascii="Times New Roman" w:hAnsi="Times New Roman" w:cs="Times New Roman"/>
          <w:sz w:val="24"/>
          <w:szCs w:val="24"/>
        </w:rPr>
        <w:t xml:space="preserve"> </w:t>
      </w:r>
      <w:r w:rsidR="006B64AC" w:rsidRPr="00967321">
        <w:rPr>
          <w:rFonts w:ascii="Times New Roman" w:hAnsi="Times New Roman" w:cs="Times New Roman"/>
          <w:sz w:val="24"/>
          <w:szCs w:val="24"/>
        </w:rPr>
        <w:t>385.181</w:t>
      </w:r>
      <w:r w:rsidRPr="00967321">
        <w:rPr>
          <w:rFonts w:ascii="Times New Roman" w:hAnsi="Times New Roman" w:cs="Times New Roman"/>
          <w:sz w:val="24"/>
          <w:szCs w:val="24"/>
        </w:rPr>
        <w:t xml:space="preserve"> kn;</w:t>
      </w:r>
    </w:p>
    <w:p w:rsidR="00E9056E" w:rsidRPr="00967321" w:rsidRDefault="002312C1" w:rsidP="0096732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21">
        <w:rPr>
          <w:rFonts w:ascii="Times New Roman" w:hAnsi="Times New Roman" w:cs="Times New Roman"/>
          <w:sz w:val="24"/>
          <w:szCs w:val="24"/>
        </w:rPr>
        <w:t>Z</w:t>
      </w:r>
      <w:r w:rsidR="00E9056E" w:rsidRPr="00967321">
        <w:rPr>
          <w:rFonts w:ascii="Times New Roman" w:hAnsi="Times New Roman" w:cs="Times New Roman"/>
          <w:sz w:val="24"/>
          <w:szCs w:val="24"/>
        </w:rPr>
        <w:t xml:space="preserve">atezne kamate </w:t>
      </w:r>
      <w:r w:rsidRPr="00967321">
        <w:rPr>
          <w:rFonts w:ascii="Times New Roman" w:hAnsi="Times New Roman" w:cs="Times New Roman"/>
          <w:sz w:val="24"/>
          <w:szCs w:val="24"/>
        </w:rPr>
        <w:t xml:space="preserve">(AOP210) </w:t>
      </w:r>
      <w:r w:rsidR="000547C0">
        <w:rPr>
          <w:rFonts w:ascii="Times New Roman" w:hAnsi="Times New Roman" w:cs="Times New Roman"/>
          <w:sz w:val="24"/>
          <w:szCs w:val="24"/>
        </w:rPr>
        <w:t>- iznose</w:t>
      </w:r>
      <w:r w:rsidR="00E9056E" w:rsidRPr="00967321">
        <w:rPr>
          <w:rFonts w:ascii="Times New Roman" w:hAnsi="Times New Roman" w:cs="Times New Roman"/>
          <w:sz w:val="24"/>
          <w:szCs w:val="24"/>
        </w:rPr>
        <w:t xml:space="preserve"> </w:t>
      </w:r>
      <w:r w:rsidR="006B64AC" w:rsidRPr="00967321">
        <w:rPr>
          <w:rFonts w:ascii="Times New Roman" w:hAnsi="Times New Roman" w:cs="Times New Roman"/>
          <w:sz w:val="24"/>
          <w:szCs w:val="24"/>
        </w:rPr>
        <w:t>2.121</w:t>
      </w:r>
      <w:r w:rsidR="00E9056E" w:rsidRPr="00967321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221600" w:rsidRDefault="00221600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803D2E" w:rsidRDefault="00EB2FC4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BILJEŠKA br. 21</w:t>
      </w:r>
      <w:r w:rsidR="00803D2E" w:rsidRPr="00967321">
        <w:rPr>
          <w:rFonts w:ascii="Times New Roman" w:hAnsi="Times New Roman" w:cs="Times New Roman"/>
          <w:b/>
        </w:rPr>
        <w:t>.</w:t>
      </w:r>
    </w:p>
    <w:p w:rsidR="0095249B" w:rsidRPr="00526AD1" w:rsidRDefault="0095249B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E9056E" w:rsidRPr="00526AD1" w:rsidRDefault="00E9056E" w:rsidP="0052542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b/>
          <w:sz w:val="24"/>
          <w:szCs w:val="24"/>
        </w:rPr>
        <w:t>Subvencije (AOP21</w:t>
      </w:r>
      <w:r w:rsidR="008F0708" w:rsidRPr="00526AD1">
        <w:rPr>
          <w:rFonts w:ascii="Times New Roman" w:hAnsi="Times New Roman" w:cs="Times New Roman"/>
          <w:b/>
          <w:sz w:val="24"/>
          <w:szCs w:val="24"/>
        </w:rPr>
        <w:t>2</w:t>
      </w:r>
      <w:r w:rsidRPr="00526AD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A7E83" w:rsidRPr="00526AD1">
        <w:rPr>
          <w:rFonts w:ascii="Times New Roman" w:hAnsi="Times New Roman" w:cs="Times New Roman"/>
          <w:b/>
          <w:sz w:val="24"/>
          <w:szCs w:val="24"/>
        </w:rPr>
        <w:t>-</w:t>
      </w:r>
      <w:r w:rsidRPr="00526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sz w:val="24"/>
          <w:szCs w:val="24"/>
        </w:rPr>
        <w:t xml:space="preserve">iznose </w:t>
      </w:r>
      <w:r w:rsidR="00803D2E" w:rsidRPr="00526AD1">
        <w:rPr>
          <w:rFonts w:ascii="Times New Roman" w:hAnsi="Times New Roman" w:cs="Times New Roman"/>
          <w:sz w:val="24"/>
          <w:szCs w:val="24"/>
        </w:rPr>
        <w:t>17.</w:t>
      </w:r>
      <w:r w:rsidR="00D72DC7">
        <w:rPr>
          <w:rFonts w:ascii="Times New Roman" w:hAnsi="Times New Roman" w:cs="Times New Roman"/>
          <w:sz w:val="24"/>
          <w:szCs w:val="24"/>
        </w:rPr>
        <w:t>739.104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</w:t>
      </w:r>
      <w:r w:rsidR="00B77415" w:rsidRPr="00526AD1">
        <w:rPr>
          <w:rFonts w:ascii="Times New Roman" w:hAnsi="Times New Roman" w:cs="Times New Roman"/>
          <w:sz w:val="24"/>
          <w:szCs w:val="24"/>
        </w:rPr>
        <w:t xml:space="preserve"> i za </w:t>
      </w:r>
      <w:r w:rsidR="00D72DC7">
        <w:rPr>
          <w:rFonts w:ascii="Times New Roman" w:hAnsi="Times New Roman" w:cs="Times New Roman"/>
          <w:sz w:val="24"/>
          <w:szCs w:val="24"/>
        </w:rPr>
        <w:t>3,4</w:t>
      </w:r>
      <w:r w:rsidR="00B77415" w:rsidRPr="00526AD1">
        <w:rPr>
          <w:rFonts w:ascii="Times New Roman" w:hAnsi="Times New Roman" w:cs="Times New Roman"/>
          <w:sz w:val="24"/>
          <w:szCs w:val="24"/>
        </w:rPr>
        <w:t xml:space="preserve">% </w:t>
      </w:r>
      <w:r w:rsidR="00D72DC7">
        <w:rPr>
          <w:rFonts w:ascii="Times New Roman" w:hAnsi="Times New Roman" w:cs="Times New Roman"/>
          <w:sz w:val="24"/>
          <w:szCs w:val="24"/>
        </w:rPr>
        <w:t>veće</w:t>
      </w:r>
      <w:r w:rsidR="00B77415" w:rsidRPr="00526AD1">
        <w:rPr>
          <w:rFonts w:ascii="Times New Roman" w:hAnsi="Times New Roman" w:cs="Times New Roman"/>
          <w:sz w:val="24"/>
          <w:szCs w:val="24"/>
        </w:rPr>
        <w:t xml:space="preserve"> su</w:t>
      </w:r>
      <w:r w:rsidR="00787798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B77415" w:rsidRPr="00526AD1">
        <w:rPr>
          <w:rFonts w:ascii="Times New Roman" w:hAnsi="Times New Roman" w:cs="Times New Roman"/>
          <w:sz w:val="24"/>
          <w:szCs w:val="24"/>
        </w:rPr>
        <w:t xml:space="preserve">nego </w:t>
      </w:r>
      <w:r w:rsidR="00685BE8">
        <w:rPr>
          <w:rFonts w:ascii="Times New Roman" w:hAnsi="Times New Roman" w:cs="Times New Roman"/>
          <w:sz w:val="24"/>
          <w:szCs w:val="24"/>
        </w:rPr>
        <w:t>2018.</w:t>
      </w:r>
      <w:r w:rsidR="00B77415" w:rsidRPr="00526AD1">
        <w:rPr>
          <w:rFonts w:ascii="Times New Roman" w:hAnsi="Times New Roman" w:cs="Times New Roman"/>
          <w:sz w:val="24"/>
          <w:szCs w:val="24"/>
        </w:rPr>
        <w:t xml:space="preserve"> godine</w:t>
      </w:r>
      <w:r w:rsidRPr="00526AD1">
        <w:rPr>
          <w:rFonts w:ascii="Times New Roman" w:hAnsi="Times New Roman" w:cs="Times New Roman"/>
          <w:sz w:val="24"/>
          <w:szCs w:val="24"/>
        </w:rPr>
        <w:t xml:space="preserve">, a čine ih subvencije dane trgovačkim društvima u javnom sektoru u iznosu od </w:t>
      </w:r>
      <w:r w:rsidR="00803D2E" w:rsidRPr="00526AD1">
        <w:rPr>
          <w:rFonts w:ascii="Times New Roman" w:hAnsi="Times New Roman" w:cs="Times New Roman"/>
          <w:sz w:val="24"/>
          <w:szCs w:val="24"/>
        </w:rPr>
        <w:t>7.685.427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 i subvencije dane trgovačkim društvima, poljoprivrednicima i obrtnicima izvan javnog sektora</w:t>
      </w:r>
      <w:r w:rsidR="00914E11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D72DC7" w:rsidRPr="00526AD1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D72DC7">
        <w:rPr>
          <w:rFonts w:ascii="Times New Roman" w:hAnsi="Times New Roman" w:cs="Times New Roman"/>
          <w:sz w:val="24"/>
          <w:szCs w:val="24"/>
        </w:rPr>
        <w:t xml:space="preserve">10.053.677 kn </w:t>
      </w:r>
      <w:r w:rsidR="00914E11" w:rsidRPr="00526AD1">
        <w:rPr>
          <w:rFonts w:ascii="Times New Roman" w:hAnsi="Times New Roman" w:cs="Times New Roman"/>
          <w:sz w:val="24"/>
          <w:szCs w:val="24"/>
        </w:rPr>
        <w:t>i</w:t>
      </w:r>
      <w:r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361568" w:rsidRPr="00526AD1">
        <w:rPr>
          <w:rFonts w:ascii="Times New Roman" w:hAnsi="Times New Roman" w:cs="Times New Roman"/>
          <w:sz w:val="24"/>
          <w:szCs w:val="24"/>
        </w:rPr>
        <w:t xml:space="preserve">to za subvencije za privatne vrtiće, subvencije za potpore gospodarstvu, subvencije kamata, subvencije javnom gradskom prijevozu, potpore malom gospodarstvu, subvencije za zaštitnu radionicu </w:t>
      </w:r>
      <w:r w:rsidR="00D72DC7">
        <w:rPr>
          <w:rFonts w:ascii="Times New Roman" w:hAnsi="Times New Roman" w:cs="Times New Roman"/>
          <w:sz w:val="24"/>
          <w:szCs w:val="24"/>
        </w:rPr>
        <w:t xml:space="preserve">te za aktivnosti djece i mladih. U 2019. godini dan je veći iznos subvencija </w:t>
      </w:r>
      <w:r w:rsidR="00B071C9">
        <w:rPr>
          <w:rFonts w:ascii="Times New Roman" w:hAnsi="Times New Roman" w:cs="Times New Roman"/>
          <w:sz w:val="24"/>
          <w:szCs w:val="24"/>
        </w:rPr>
        <w:t>za potpore gospodarstvu</w:t>
      </w:r>
      <w:r w:rsidR="00D72D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3D5A" w:rsidRDefault="00853D5A" w:rsidP="00821A1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853D5A" w:rsidRDefault="00853D5A" w:rsidP="00821A1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803D2E" w:rsidRDefault="00426D9F" w:rsidP="00821A1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967321">
        <w:rPr>
          <w:rFonts w:ascii="Times New Roman" w:hAnsi="Times New Roman" w:cs="Times New Roman"/>
          <w:b/>
        </w:rPr>
        <w:t>BILJEŠKA br. 2</w:t>
      </w:r>
      <w:r w:rsidR="00EB2FC4">
        <w:rPr>
          <w:rFonts w:ascii="Times New Roman" w:hAnsi="Times New Roman" w:cs="Times New Roman"/>
          <w:b/>
        </w:rPr>
        <w:t>2</w:t>
      </w:r>
      <w:r w:rsidR="00803D2E" w:rsidRPr="00967321">
        <w:rPr>
          <w:rFonts w:ascii="Times New Roman" w:hAnsi="Times New Roman" w:cs="Times New Roman"/>
          <w:b/>
        </w:rPr>
        <w:t>.</w:t>
      </w:r>
    </w:p>
    <w:p w:rsidR="001F6033" w:rsidRDefault="001F6033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95249B" w:rsidRPr="001F6033" w:rsidRDefault="00B77415" w:rsidP="001F6033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1F6033">
        <w:rPr>
          <w:rFonts w:ascii="Times New Roman" w:hAnsi="Times New Roman" w:cs="Times New Roman"/>
          <w:b/>
          <w:sz w:val="24"/>
          <w:szCs w:val="24"/>
        </w:rPr>
        <w:t>Pomoći dane u inozemstvo i unutar općeg proračuna (AOP221)</w:t>
      </w:r>
      <w:r w:rsidRPr="001F6033">
        <w:rPr>
          <w:rFonts w:ascii="Times New Roman" w:hAnsi="Times New Roman" w:cs="Times New Roman"/>
          <w:sz w:val="24"/>
          <w:szCs w:val="24"/>
        </w:rPr>
        <w:t xml:space="preserve"> </w:t>
      </w:r>
      <w:r w:rsidR="003A7E83" w:rsidRPr="001F6033">
        <w:rPr>
          <w:rFonts w:ascii="Times New Roman" w:hAnsi="Times New Roman" w:cs="Times New Roman"/>
          <w:sz w:val="24"/>
          <w:szCs w:val="24"/>
        </w:rPr>
        <w:t>-</w:t>
      </w:r>
      <w:r w:rsidRPr="001F6033">
        <w:rPr>
          <w:rFonts w:ascii="Times New Roman" w:hAnsi="Times New Roman" w:cs="Times New Roman"/>
          <w:sz w:val="24"/>
          <w:szCs w:val="24"/>
        </w:rPr>
        <w:t xml:space="preserve"> </w:t>
      </w:r>
      <w:r w:rsidR="00365C02" w:rsidRPr="001F6033">
        <w:rPr>
          <w:rFonts w:ascii="Times New Roman" w:hAnsi="Times New Roman" w:cs="Times New Roman"/>
          <w:sz w:val="24"/>
          <w:szCs w:val="24"/>
        </w:rPr>
        <w:t xml:space="preserve">ostvarene su </w:t>
      </w:r>
      <w:r w:rsidR="00161CC3" w:rsidRPr="001F6033">
        <w:rPr>
          <w:rFonts w:ascii="Times New Roman" w:hAnsi="Times New Roman" w:cs="Times New Roman"/>
          <w:sz w:val="24"/>
          <w:szCs w:val="24"/>
        </w:rPr>
        <w:t>u</w:t>
      </w:r>
      <w:r w:rsidRPr="001F6033">
        <w:rPr>
          <w:rFonts w:ascii="Times New Roman" w:hAnsi="Times New Roman" w:cs="Times New Roman"/>
          <w:sz w:val="24"/>
          <w:szCs w:val="24"/>
        </w:rPr>
        <w:t xml:space="preserve"> iznos</w:t>
      </w:r>
      <w:r w:rsidR="00161CC3" w:rsidRPr="001F6033">
        <w:rPr>
          <w:rFonts w:ascii="Times New Roman" w:hAnsi="Times New Roman" w:cs="Times New Roman"/>
          <w:sz w:val="24"/>
          <w:szCs w:val="24"/>
        </w:rPr>
        <w:t xml:space="preserve">u od </w:t>
      </w:r>
      <w:r w:rsidRPr="001F6033">
        <w:rPr>
          <w:rFonts w:ascii="Times New Roman" w:hAnsi="Times New Roman" w:cs="Times New Roman"/>
          <w:sz w:val="24"/>
          <w:szCs w:val="24"/>
        </w:rPr>
        <w:t xml:space="preserve"> </w:t>
      </w:r>
      <w:r w:rsidR="00D72DC7" w:rsidRPr="001F6033">
        <w:rPr>
          <w:rFonts w:ascii="Times New Roman" w:hAnsi="Times New Roman" w:cs="Times New Roman"/>
          <w:sz w:val="24"/>
          <w:szCs w:val="24"/>
        </w:rPr>
        <w:t>73.971.299</w:t>
      </w:r>
      <w:r w:rsidRPr="001F6033">
        <w:rPr>
          <w:rFonts w:ascii="Times New Roman" w:hAnsi="Times New Roman" w:cs="Times New Roman"/>
          <w:sz w:val="24"/>
          <w:szCs w:val="24"/>
        </w:rPr>
        <w:t xml:space="preserve"> kn</w:t>
      </w:r>
      <w:r w:rsidR="00DE1BFC" w:rsidRPr="001F6033">
        <w:rPr>
          <w:rFonts w:ascii="Times New Roman" w:hAnsi="Times New Roman" w:cs="Times New Roman"/>
          <w:sz w:val="24"/>
          <w:szCs w:val="24"/>
        </w:rPr>
        <w:t xml:space="preserve"> i za </w:t>
      </w:r>
      <w:r w:rsidR="00D72DC7" w:rsidRPr="001F6033">
        <w:rPr>
          <w:rFonts w:ascii="Times New Roman" w:hAnsi="Times New Roman" w:cs="Times New Roman"/>
          <w:sz w:val="24"/>
          <w:szCs w:val="24"/>
        </w:rPr>
        <w:t>5,5</w:t>
      </w:r>
      <w:r w:rsidR="00DE1BFC" w:rsidRPr="001F6033">
        <w:rPr>
          <w:rFonts w:ascii="Times New Roman" w:hAnsi="Times New Roman" w:cs="Times New Roman"/>
          <w:sz w:val="24"/>
          <w:szCs w:val="24"/>
        </w:rPr>
        <w:t xml:space="preserve">% su veće u odnosu na </w:t>
      </w:r>
      <w:r w:rsidR="00685BE8" w:rsidRPr="001F6033">
        <w:rPr>
          <w:rFonts w:ascii="Times New Roman" w:hAnsi="Times New Roman" w:cs="Times New Roman"/>
          <w:sz w:val="24"/>
          <w:szCs w:val="24"/>
        </w:rPr>
        <w:t>2018.</w:t>
      </w:r>
      <w:r w:rsidR="00DE1BFC" w:rsidRPr="001F6033">
        <w:rPr>
          <w:rFonts w:ascii="Times New Roman" w:hAnsi="Times New Roman" w:cs="Times New Roman"/>
          <w:sz w:val="24"/>
          <w:szCs w:val="24"/>
        </w:rPr>
        <w:t xml:space="preserve"> godinu u istom razdoblju izvještavanja što čini povećanje za </w:t>
      </w:r>
      <w:r w:rsidR="00D72DC7" w:rsidRPr="001F6033">
        <w:rPr>
          <w:rFonts w:ascii="Times New Roman" w:hAnsi="Times New Roman" w:cs="Times New Roman"/>
          <w:sz w:val="24"/>
          <w:szCs w:val="24"/>
        </w:rPr>
        <w:t xml:space="preserve">3.859.844 </w:t>
      </w:r>
      <w:r w:rsidR="00DE1BFC" w:rsidRPr="001F6033">
        <w:rPr>
          <w:rFonts w:ascii="Times New Roman" w:hAnsi="Times New Roman" w:cs="Times New Roman"/>
          <w:sz w:val="24"/>
          <w:szCs w:val="24"/>
        </w:rPr>
        <w:t>kn</w:t>
      </w:r>
      <w:r w:rsidR="00E74294" w:rsidRPr="001F6033">
        <w:rPr>
          <w:rFonts w:ascii="Times New Roman" w:hAnsi="Times New Roman" w:cs="Times New Roman"/>
          <w:sz w:val="24"/>
          <w:szCs w:val="24"/>
        </w:rPr>
        <w:t>.</w:t>
      </w:r>
      <w:r w:rsidR="00392A71" w:rsidRPr="001F6033">
        <w:rPr>
          <w:rFonts w:ascii="Times New Roman" w:hAnsi="Times New Roman" w:cs="Times New Roman"/>
          <w:sz w:val="24"/>
          <w:szCs w:val="24"/>
        </w:rPr>
        <w:t xml:space="preserve"> </w:t>
      </w:r>
      <w:r w:rsidR="00D72DC7" w:rsidRPr="001F6033">
        <w:rPr>
          <w:rFonts w:ascii="Times New Roman" w:hAnsi="Times New Roman" w:cs="Times New Roman"/>
          <w:sz w:val="24"/>
          <w:szCs w:val="24"/>
        </w:rPr>
        <w:t>Bilježe rast u svim skupinama, odnosno:</w:t>
      </w:r>
    </w:p>
    <w:p w:rsidR="00D72DC7" w:rsidRPr="001F6033" w:rsidRDefault="00787798" w:rsidP="001F603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033">
        <w:rPr>
          <w:rFonts w:ascii="Times New Roman" w:hAnsi="Times New Roman" w:cs="Times New Roman"/>
          <w:sz w:val="24"/>
          <w:szCs w:val="24"/>
        </w:rPr>
        <w:t xml:space="preserve">Pomoći unutar općeg proračuna (AOP228) </w:t>
      </w:r>
      <w:r w:rsidR="003A7E83" w:rsidRPr="001F6033">
        <w:rPr>
          <w:rFonts w:ascii="Times New Roman" w:hAnsi="Times New Roman" w:cs="Times New Roman"/>
          <w:sz w:val="24"/>
          <w:szCs w:val="24"/>
        </w:rPr>
        <w:t>-</w:t>
      </w:r>
      <w:r w:rsidRPr="001F6033">
        <w:rPr>
          <w:rFonts w:ascii="Times New Roman" w:hAnsi="Times New Roman" w:cs="Times New Roman"/>
          <w:sz w:val="24"/>
          <w:szCs w:val="24"/>
        </w:rPr>
        <w:t xml:space="preserve"> iznose </w:t>
      </w:r>
      <w:r w:rsidR="00D72DC7" w:rsidRPr="001F6033">
        <w:rPr>
          <w:rFonts w:ascii="Times New Roman" w:hAnsi="Times New Roman" w:cs="Times New Roman"/>
          <w:sz w:val="24"/>
          <w:szCs w:val="24"/>
        </w:rPr>
        <w:t>1.470.607</w:t>
      </w:r>
      <w:r w:rsidRPr="001F6033">
        <w:rPr>
          <w:rFonts w:ascii="Times New Roman" w:hAnsi="Times New Roman" w:cs="Times New Roman"/>
          <w:sz w:val="24"/>
          <w:szCs w:val="24"/>
        </w:rPr>
        <w:t xml:space="preserve"> kn</w:t>
      </w:r>
      <w:r w:rsidR="00D72DC7" w:rsidRPr="001F6033">
        <w:rPr>
          <w:rFonts w:ascii="Times New Roman" w:hAnsi="Times New Roman" w:cs="Times New Roman"/>
          <w:sz w:val="24"/>
          <w:szCs w:val="24"/>
        </w:rPr>
        <w:t xml:space="preserve"> i bilježe rast za 704.025 kn ili 91,8%,</w:t>
      </w:r>
      <w:r w:rsidRPr="001F6033">
        <w:rPr>
          <w:rFonts w:ascii="Times New Roman" w:hAnsi="Times New Roman" w:cs="Times New Roman"/>
          <w:sz w:val="24"/>
          <w:szCs w:val="24"/>
        </w:rPr>
        <w:t xml:space="preserve"> </w:t>
      </w:r>
      <w:r w:rsidR="00D72DC7" w:rsidRPr="001F6033">
        <w:rPr>
          <w:rFonts w:ascii="Times New Roman" w:hAnsi="Times New Roman" w:cs="Times New Roman"/>
          <w:sz w:val="24"/>
          <w:szCs w:val="24"/>
        </w:rPr>
        <w:t xml:space="preserve">a odnose se na sufinanciranje </w:t>
      </w:r>
      <w:r w:rsidR="001F6033">
        <w:rPr>
          <w:rFonts w:ascii="Times New Roman" w:hAnsi="Times New Roman" w:cs="Times New Roman"/>
          <w:sz w:val="24"/>
          <w:szCs w:val="24"/>
        </w:rPr>
        <w:t>izgradnje ŽCGO Kaštijun, sufinanciranje radova na izgradnji javne rasvjete, pomoć pri rekonstrukcije područne škole, sufinanciranje manifestacija, izložba, pomoć Fondu za razvoj poljoprivrede.</w:t>
      </w:r>
    </w:p>
    <w:p w:rsidR="00D72DC7" w:rsidRPr="001F6033" w:rsidRDefault="00D72DC7" w:rsidP="001F603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033">
        <w:rPr>
          <w:rFonts w:ascii="Times New Roman" w:hAnsi="Times New Roman" w:cs="Times New Roman"/>
          <w:sz w:val="24"/>
          <w:szCs w:val="24"/>
        </w:rPr>
        <w:t>Rast pomoći evidentiran je iz razloga što su unutar navedene skupine iskazane kapitalne pomoći unutar općeg proračuna kojih u 2018. godini nije bilo, a iznose 693.313 kn od čega se iznos od 100.000 kn odnosi na danu kapitalnu pomoć općinskom proračunu za rekonstrukciju područne osnovne škole, a iznos od 593.313 kn kn na danu pomoć izvanproračunskom korisniku državnog proračuna za sufinanciranje radova javne rasvjete.</w:t>
      </w:r>
    </w:p>
    <w:p w:rsidR="00174DBB" w:rsidRPr="001F6033" w:rsidRDefault="00787798" w:rsidP="001F603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033">
        <w:rPr>
          <w:rFonts w:ascii="Times New Roman" w:hAnsi="Times New Roman" w:cs="Times New Roman"/>
          <w:sz w:val="24"/>
          <w:szCs w:val="24"/>
        </w:rPr>
        <w:t>Pomoći proračunskim korisnicima drugih proračuna (AOP</w:t>
      </w:r>
      <w:r w:rsidR="002367ED" w:rsidRPr="001F6033">
        <w:rPr>
          <w:rFonts w:ascii="Times New Roman" w:hAnsi="Times New Roman" w:cs="Times New Roman"/>
          <w:sz w:val="24"/>
          <w:szCs w:val="24"/>
        </w:rPr>
        <w:t>231</w:t>
      </w:r>
      <w:r w:rsidRPr="001F6033">
        <w:rPr>
          <w:rFonts w:ascii="Times New Roman" w:hAnsi="Times New Roman" w:cs="Times New Roman"/>
          <w:sz w:val="24"/>
          <w:szCs w:val="24"/>
        </w:rPr>
        <w:t xml:space="preserve">) </w:t>
      </w:r>
      <w:r w:rsidR="003A7E83" w:rsidRPr="001F6033">
        <w:rPr>
          <w:rFonts w:ascii="Times New Roman" w:hAnsi="Times New Roman" w:cs="Times New Roman"/>
          <w:sz w:val="24"/>
          <w:szCs w:val="24"/>
        </w:rPr>
        <w:t>-</w:t>
      </w:r>
      <w:r w:rsidRPr="001F6033">
        <w:rPr>
          <w:rFonts w:ascii="Times New Roman" w:hAnsi="Times New Roman" w:cs="Times New Roman"/>
          <w:sz w:val="24"/>
          <w:szCs w:val="24"/>
        </w:rPr>
        <w:t xml:space="preserve"> iznose </w:t>
      </w:r>
      <w:r w:rsidR="00D72DC7" w:rsidRPr="001F6033">
        <w:rPr>
          <w:rFonts w:ascii="Times New Roman" w:hAnsi="Times New Roman" w:cs="Times New Roman"/>
          <w:sz w:val="24"/>
          <w:szCs w:val="24"/>
        </w:rPr>
        <w:t>3.591.466</w:t>
      </w:r>
      <w:r w:rsidRPr="001F6033">
        <w:rPr>
          <w:rFonts w:ascii="Times New Roman" w:hAnsi="Times New Roman" w:cs="Times New Roman"/>
          <w:sz w:val="24"/>
          <w:szCs w:val="24"/>
        </w:rPr>
        <w:t xml:space="preserve"> kn, a odnose se na </w:t>
      </w:r>
      <w:r w:rsidR="001F6033">
        <w:rPr>
          <w:rFonts w:ascii="Times New Roman" w:hAnsi="Times New Roman" w:cs="Times New Roman"/>
          <w:sz w:val="24"/>
          <w:szCs w:val="24"/>
        </w:rPr>
        <w:t xml:space="preserve">financiranje </w:t>
      </w:r>
      <w:r w:rsidR="00B40484">
        <w:rPr>
          <w:rFonts w:ascii="Times New Roman" w:hAnsi="Times New Roman" w:cs="Times New Roman"/>
          <w:sz w:val="24"/>
          <w:szCs w:val="24"/>
        </w:rPr>
        <w:t>Istarskog veleučilišta</w:t>
      </w:r>
      <w:r w:rsidR="001F6033">
        <w:rPr>
          <w:rFonts w:ascii="Times New Roman" w:hAnsi="Times New Roman" w:cs="Times New Roman"/>
          <w:sz w:val="24"/>
          <w:szCs w:val="24"/>
        </w:rPr>
        <w:t xml:space="preserve">, uređenje gradskih šuma, </w:t>
      </w:r>
      <w:r w:rsidRPr="001F6033">
        <w:rPr>
          <w:rFonts w:ascii="Times New Roman" w:hAnsi="Times New Roman" w:cs="Times New Roman"/>
          <w:sz w:val="24"/>
          <w:szCs w:val="24"/>
        </w:rPr>
        <w:t xml:space="preserve">sufinanciranje </w:t>
      </w:r>
      <w:r w:rsidR="001F6033">
        <w:rPr>
          <w:rFonts w:ascii="Times New Roman" w:hAnsi="Times New Roman" w:cs="Times New Roman"/>
          <w:sz w:val="24"/>
          <w:szCs w:val="24"/>
        </w:rPr>
        <w:t>prehrane vanjskih škola, sufinanciranje nabavke inventara Škole za turizam, ugostiteljstvo i trgovinu, sufinanciranje socijalnih programa.</w:t>
      </w:r>
      <w:r w:rsidRPr="001F6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F0B" w:rsidRPr="001F6033" w:rsidRDefault="00361568" w:rsidP="001F603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033">
        <w:rPr>
          <w:rFonts w:ascii="Times New Roman" w:hAnsi="Times New Roman" w:cs="Times New Roman"/>
          <w:sz w:val="24"/>
          <w:szCs w:val="24"/>
        </w:rPr>
        <w:t>Prijenosi proračunskim korisnicima iz nadležnog proračuna</w:t>
      </w:r>
      <w:r w:rsidR="00E04A4A" w:rsidRPr="001F6033">
        <w:rPr>
          <w:rFonts w:ascii="Times New Roman" w:hAnsi="Times New Roman" w:cs="Times New Roman"/>
          <w:sz w:val="24"/>
          <w:szCs w:val="24"/>
        </w:rPr>
        <w:t xml:space="preserve">, iskazani po novčanom načelu, </w:t>
      </w:r>
      <w:r w:rsidRPr="001F6033">
        <w:rPr>
          <w:rFonts w:ascii="Times New Roman" w:hAnsi="Times New Roman" w:cs="Times New Roman"/>
          <w:sz w:val="24"/>
          <w:szCs w:val="24"/>
        </w:rPr>
        <w:t>za financiran</w:t>
      </w:r>
      <w:r w:rsidR="00E04A4A" w:rsidRPr="001F6033">
        <w:rPr>
          <w:rFonts w:ascii="Times New Roman" w:hAnsi="Times New Roman" w:cs="Times New Roman"/>
          <w:sz w:val="24"/>
          <w:szCs w:val="24"/>
        </w:rPr>
        <w:t>je redovne djelatnosti (AOP234)</w:t>
      </w:r>
      <w:r w:rsidR="001F6033">
        <w:rPr>
          <w:rFonts w:ascii="Times New Roman" w:hAnsi="Times New Roman" w:cs="Times New Roman"/>
          <w:sz w:val="24"/>
          <w:szCs w:val="24"/>
        </w:rPr>
        <w:t xml:space="preserve"> - </w:t>
      </w:r>
      <w:r w:rsidRPr="001F6033">
        <w:rPr>
          <w:rFonts w:ascii="Times New Roman" w:hAnsi="Times New Roman" w:cs="Times New Roman"/>
          <w:sz w:val="24"/>
          <w:szCs w:val="24"/>
        </w:rPr>
        <w:t xml:space="preserve">iznose </w:t>
      </w:r>
      <w:r w:rsidR="0048681D" w:rsidRPr="001F6033">
        <w:rPr>
          <w:rFonts w:ascii="Times New Roman" w:hAnsi="Times New Roman" w:cs="Times New Roman"/>
          <w:sz w:val="24"/>
          <w:szCs w:val="24"/>
        </w:rPr>
        <w:t xml:space="preserve">68.909.226 kn, a čine ih prijenosi u iznosu od 63.968.115 </w:t>
      </w:r>
      <w:r w:rsidRPr="001F6033">
        <w:rPr>
          <w:rFonts w:ascii="Times New Roman" w:hAnsi="Times New Roman" w:cs="Times New Roman"/>
          <w:sz w:val="24"/>
          <w:szCs w:val="24"/>
        </w:rPr>
        <w:t>kn za financiranje rashoda poslovanja</w:t>
      </w:r>
      <w:r w:rsidR="001B42E1" w:rsidRPr="001F6033">
        <w:rPr>
          <w:rFonts w:ascii="Times New Roman" w:hAnsi="Times New Roman" w:cs="Times New Roman"/>
          <w:sz w:val="24"/>
          <w:szCs w:val="24"/>
        </w:rPr>
        <w:t>,</w:t>
      </w:r>
      <w:r w:rsidR="00250AD8" w:rsidRPr="001F6033">
        <w:rPr>
          <w:rFonts w:ascii="Times New Roman" w:hAnsi="Times New Roman" w:cs="Times New Roman"/>
          <w:sz w:val="24"/>
          <w:szCs w:val="24"/>
        </w:rPr>
        <w:t xml:space="preserve"> </w:t>
      </w:r>
      <w:r w:rsidR="0048681D" w:rsidRPr="001F6033">
        <w:rPr>
          <w:rFonts w:ascii="Times New Roman" w:hAnsi="Times New Roman" w:cs="Times New Roman"/>
          <w:sz w:val="24"/>
          <w:szCs w:val="24"/>
        </w:rPr>
        <w:t xml:space="preserve">u </w:t>
      </w:r>
      <w:r w:rsidRPr="001F6033">
        <w:rPr>
          <w:rFonts w:ascii="Times New Roman" w:hAnsi="Times New Roman" w:cs="Times New Roman"/>
          <w:sz w:val="24"/>
          <w:szCs w:val="24"/>
        </w:rPr>
        <w:t>iznos</w:t>
      </w:r>
      <w:r w:rsidR="0048681D" w:rsidRPr="001F6033">
        <w:rPr>
          <w:rFonts w:ascii="Times New Roman" w:hAnsi="Times New Roman" w:cs="Times New Roman"/>
          <w:sz w:val="24"/>
          <w:szCs w:val="24"/>
        </w:rPr>
        <w:t>u</w:t>
      </w:r>
      <w:r w:rsidRPr="001F6033">
        <w:rPr>
          <w:rFonts w:ascii="Times New Roman" w:hAnsi="Times New Roman" w:cs="Times New Roman"/>
          <w:sz w:val="24"/>
          <w:szCs w:val="24"/>
        </w:rPr>
        <w:t xml:space="preserve"> od </w:t>
      </w:r>
      <w:r w:rsidR="0048681D" w:rsidRPr="001F6033">
        <w:rPr>
          <w:rFonts w:ascii="Times New Roman" w:hAnsi="Times New Roman" w:cs="Times New Roman"/>
          <w:sz w:val="24"/>
          <w:szCs w:val="24"/>
        </w:rPr>
        <w:t>3.549.893</w:t>
      </w:r>
      <w:r w:rsidR="001B42E1" w:rsidRPr="001F6033">
        <w:rPr>
          <w:rFonts w:ascii="Times New Roman" w:hAnsi="Times New Roman" w:cs="Times New Roman"/>
          <w:sz w:val="24"/>
          <w:szCs w:val="24"/>
        </w:rPr>
        <w:t xml:space="preserve"> </w:t>
      </w:r>
      <w:r w:rsidRPr="001F6033">
        <w:rPr>
          <w:rFonts w:ascii="Times New Roman" w:hAnsi="Times New Roman" w:cs="Times New Roman"/>
          <w:sz w:val="24"/>
          <w:szCs w:val="24"/>
        </w:rPr>
        <w:t>kn za financiranje rashoda za nabavu nefinancijske imovine</w:t>
      </w:r>
      <w:r w:rsidR="003A6FC1" w:rsidRPr="001F6033">
        <w:rPr>
          <w:rFonts w:ascii="Times New Roman" w:hAnsi="Times New Roman" w:cs="Times New Roman"/>
          <w:sz w:val="24"/>
          <w:szCs w:val="24"/>
        </w:rPr>
        <w:t>,</w:t>
      </w:r>
      <w:r w:rsidR="0048681D" w:rsidRPr="001F6033">
        <w:rPr>
          <w:rFonts w:ascii="Times New Roman" w:hAnsi="Times New Roman" w:cs="Times New Roman"/>
          <w:sz w:val="24"/>
          <w:szCs w:val="24"/>
        </w:rPr>
        <w:t xml:space="preserve"> </w:t>
      </w:r>
      <w:r w:rsidR="00821A12">
        <w:rPr>
          <w:rFonts w:ascii="Times New Roman" w:hAnsi="Times New Roman" w:cs="Times New Roman"/>
          <w:sz w:val="24"/>
          <w:szCs w:val="24"/>
        </w:rPr>
        <w:t xml:space="preserve">u </w:t>
      </w:r>
      <w:r w:rsidRPr="001F6033">
        <w:rPr>
          <w:rFonts w:ascii="Times New Roman" w:hAnsi="Times New Roman" w:cs="Times New Roman"/>
          <w:sz w:val="24"/>
          <w:szCs w:val="24"/>
        </w:rPr>
        <w:t>iznos</w:t>
      </w:r>
      <w:r w:rsidR="00821A12">
        <w:rPr>
          <w:rFonts w:ascii="Times New Roman" w:hAnsi="Times New Roman" w:cs="Times New Roman"/>
          <w:sz w:val="24"/>
          <w:szCs w:val="24"/>
        </w:rPr>
        <w:t>u</w:t>
      </w:r>
      <w:r w:rsidRPr="001F6033">
        <w:rPr>
          <w:rFonts w:ascii="Times New Roman" w:hAnsi="Times New Roman" w:cs="Times New Roman"/>
          <w:sz w:val="24"/>
          <w:szCs w:val="24"/>
        </w:rPr>
        <w:t xml:space="preserve"> od 1.</w:t>
      </w:r>
      <w:r w:rsidR="0048681D" w:rsidRPr="001F6033">
        <w:rPr>
          <w:rFonts w:ascii="Times New Roman" w:hAnsi="Times New Roman" w:cs="Times New Roman"/>
          <w:sz w:val="24"/>
          <w:szCs w:val="24"/>
        </w:rPr>
        <w:t>391.218</w:t>
      </w:r>
      <w:r w:rsidR="00E04A4A" w:rsidRPr="001F6033">
        <w:rPr>
          <w:rFonts w:ascii="Times New Roman" w:hAnsi="Times New Roman" w:cs="Times New Roman"/>
          <w:sz w:val="24"/>
          <w:szCs w:val="24"/>
        </w:rPr>
        <w:t xml:space="preserve"> </w:t>
      </w:r>
      <w:r w:rsidRPr="001F6033">
        <w:rPr>
          <w:rFonts w:ascii="Times New Roman" w:hAnsi="Times New Roman" w:cs="Times New Roman"/>
          <w:sz w:val="24"/>
          <w:szCs w:val="24"/>
        </w:rPr>
        <w:t>kn</w:t>
      </w:r>
      <w:r w:rsidR="002367ED" w:rsidRPr="001F6033">
        <w:rPr>
          <w:rFonts w:ascii="Times New Roman" w:hAnsi="Times New Roman" w:cs="Times New Roman"/>
          <w:sz w:val="24"/>
          <w:szCs w:val="24"/>
        </w:rPr>
        <w:t xml:space="preserve"> </w:t>
      </w:r>
      <w:r w:rsidRPr="001F6033">
        <w:rPr>
          <w:rFonts w:ascii="Times New Roman" w:hAnsi="Times New Roman" w:cs="Times New Roman"/>
          <w:sz w:val="24"/>
          <w:szCs w:val="24"/>
        </w:rPr>
        <w:t>za financiranje izdataka za otplatu zajmova</w:t>
      </w:r>
      <w:r w:rsidR="00821A12">
        <w:rPr>
          <w:rFonts w:ascii="Times New Roman" w:hAnsi="Times New Roman" w:cs="Times New Roman"/>
          <w:sz w:val="24"/>
          <w:szCs w:val="24"/>
        </w:rPr>
        <w:t xml:space="preserve"> (</w:t>
      </w:r>
      <w:r w:rsidRPr="001F6033">
        <w:rPr>
          <w:rFonts w:ascii="Times New Roman" w:hAnsi="Times New Roman" w:cs="Times New Roman"/>
          <w:sz w:val="24"/>
          <w:szCs w:val="24"/>
        </w:rPr>
        <w:t>u cijelosti se odnosi na financiranje kredita z</w:t>
      </w:r>
      <w:r w:rsidR="00B40484">
        <w:rPr>
          <w:rFonts w:ascii="Times New Roman" w:hAnsi="Times New Roman" w:cs="Times New Roman"/>
          <w:sz w:val="24"/>
          <w:szCs w:val="24"/>
        </w:rPr>
        <w:t>a izgradnju Dječjeg vrtića „Zvjezdice“)</w:t>
      </w:r>
    </w:p>
    <w:p w:rsidR="00FC6162" w:rsidRDefault="00FC6162" w:rsidP="00FC61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162" w:rsidRDefault="00FC6162" w:rsidP="00FC61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162" w:rsidRPr="00821A12" w:rsidRDefault="00FC6162" w:rsidP="00FC6162">
      <w:pPr>
        <w:spacing w:after="0"/>
        <w:jc w:val="both"/>
        <w:rPr>
          <w:rFonts w:ascii="Times New Roman" w:hAnsi="Times New Roman" w:cs="Times New Roman"/>
          <w:b/>
        </w:rPr>
      </w:pPr>
      <w:r w:rsidRPr="00821A12">
        <w:rPr>
          <w:rFonts w:ascii="Times New Roman" w:hAnsi="Times New Roman" w:cs="Times New Roman"/>
          <w:b/>
          <w:sz w:val="24"/>
          <w:szCs w:val="24"/>
        </w:rPr>
        <w:t>BILJEŠKA br. 2</w:t>
      </w:r>
      <w:r w:rsidR="00EB2FC4">
        <w:rPr>
          <w:rFonts w:ascii="Times New Roman" w:hAnsi="Times New Roman" w:cs="Times New Roman"/>
          <w:b/>
          <w:sz w:val="24"/>
          <w:szCs w:val="24"/>
        </w:rPr>
        <w:t>3</w:t>
      </w:r>
      <w:r w:rsidRPr="00821A12">
        <w:rPr>
          <w:rFonts w:ascii="Times New Roman" w:hAnsi="Times New Roman" w:cs="Times New Roman"/>
          <w:b/>
        </w:rPr>
        <w:t>.</w:t>
      </w:r>
    </w:p>
    <w:p w:rsidR="00FC6162" w:rsidRDefault="00FC6162" w:rsidP="00FC6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162" w:rsidRDefault="00FC6162" w:rsidP="00821A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Prikaz Prijenosa</w:t>
      </w:r>
      <w:r w:rsidRPr="0048681D">
        <w:rPr>
          <w:rFonts w:ascii="Times New Roman" w:hAnsi="Times New Roman" w:cs="Times New Roman"/>
          <w:sz w:val="24"/>
          <w:szCs w:val="24"/>
        </w:rPr>
        <w:t xml:space="preserve"> proračunskim korisnicima iz nadležnog proračuna, iskazan po novčanom načelu, za financiranje redovne djelatnosti</w:t>
      </w:r>
      <w:r>
        <w:rPr>
          <w:rFonts w:ascii="Times New Roman" w:hAnsi="Times New Roman" w:cs="Times New Roman"/>
          <w:sz w:val="24"/>
          <w:szCs w:val="24"/>
        </w:rPr>
        <w:t xml:space="preserve"> daje se u nastavku:</w:t>
      </w:r>
    </w:p>
    <w:p w:rsidR="00853D5A" w:rsidRDefault="00853D5A" w:rsidP="00821A12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FC6162" w:rsidRDefault="00FC6162" w:rsidP="005254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60" w:type="dxa"/>
        <w:jc w:val="center"/>
        <w:tblInd w:w="95" w:type="dxa"/>
        <w:tblLook w:val="04A0"/>
      </w:tblPr>
      <w:tblGrid>
        <w:gridCol w:w="642"/>
        <w:gridCol w:w="3720"/>
        <w:gridCol w:w="1060"/>
        <w:gridCol w:w="960"/>
        <w:gridCol w:w="960"/>
        <w:gridCol w:w="1300"/>
      </w:tblGrid>
      <w:tr w:rsidR="00FC6162" w:rsidRPr="00821A12" w:rsidTr="001715D7">
        <w:trPr>
          <w:trHeight w:val="240"/>
          <w:jc w:val="center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6162" w:rsidRPr="00821A12" w:rsidRDefault="00FC6162" w:rsidP="00F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RED. BR.</w:t>
            </w:r>
          </w:p>
        </w:tc>
        <w:tc>
          <w:tcPr>
            <w:tcW w:w="3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6162" w:rsidRPr="00821A12" w:rsidRDefault="00FC6162" w:rsidP="00F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NAZIV KORISNIKA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C6162" w:rsidRPr="00821A12" w:rsidRDefault="00FC6162" w:rsidP="00F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IZNOS 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6162" w:rsidRPr="00821A12" w:rsidRDefault="00FC6162" w:rsidP="00F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 367</w:t>
            </w:r>
          </w:p>
        </w:tc>
      </w:tr>
      <w:tr w:rsidR="00FC6162" w:rsidRPr="00821A12" w:rsidTr="001715D7">
        <w:trPr>
          <w:trHeight w:val="240"/>
          <w:jc w:val="center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C6162" w:rsidRPr="00821A12" w:rsidRDefault="00FC6162" w:rsidP="00F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3672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6162" w:rsidRPr="00821A12" w:rsidRDefault="00FC6162" w:rsidP="00F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C6162" w:rsidRPr="00821A12" w:rsidRDefault="00FC6162" w:rsidP="00F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3674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C6162" w:rsidRPr="00821A12" w:rsidTr="00FC6162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Dječji vrtić Rin Tin Tin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3.655.585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598.992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4.254.577</w:t>
            </w:r>
          </w:p>
        </w:tc>
      </w:tr>
      <w:tr w:rsidR="00FC6162" w:rsidRPr="00821A12" w:rsidTr="00FC6162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Osnovna škola Šijana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1.390.130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1.395.130</w:t>
            </w:r>
          </w:p>
        </w:tc>
      </w:tr>
      <w:tr w:rsidR="00FC6162" w:rsidRPr="00821A12" w:rsidTr="00FC6162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Osnovna škola Veli Vrh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1.808.415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1.813.415</w:t>
            </w:r>
          </w:p>
        </w:tc>
      </w:tr>
      <w:tr w:rsidR="00FC6162" w:rsidRPr="00821A12" w:rsidTr="00FC6162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Osnovna škola Veruda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1.325.003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1.329.503</w:t>
            </w:r>
          </w:p>
        </w:tc>
      </w:tr>
      <w:tr w:rsidR="00FC6162" w:rsidRPr="00821A12" w:rsidTr="00FC6162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Osnovna škola Monte Zaro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1.217.725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1.227.691</w:t>
            </w:r>
          </w:p>
        </w:tc>
      </w:tr>
      <w:tr w:rsidR="00FC6162" w:rsidRPr="00821A12" w:rsidTr="00FC6162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Dnevni centar za rehabilitaciju Veruda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2.121.385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2.121.385</w:t>
            </w:r>
          </w:p>
        </w:tc>
      </w:tr>
      <w:tr w:rsidR="00FC6162" w:rsidRPr="00821A12" w:rsidTr="00FC6162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Osnovna škola Giuseppina Martinuzzi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1.128.192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1.132.692</w:t>
            </w:r>
          </w:p>
        </w:tc>
      </w:tr>
      <w:tr w:rsidR="00FC6162" w:rsidRPr="00821A12" w:rsidTr="00FC6162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Osnovna škola Kaštanjer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1.188.833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1.193.833</w:t>
            </w:r>
          </w:p>
        </w:tc>
      </w:tr>
      <w:tr w:rsidR="00FC6162" w:rsidRPr="00821A12" w:rsidTr="00FC6162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Osnovna škola Tone Peruška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819.525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823.025</w:t>
            </w:r>
          </w:p>
        </w:tc>
      </w:tr>
      <w:tr w:rsidR="00FC6162" w:rsidRPr="00821A12" w:rsidTr="00FC6162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Osnovna škola Stoja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1.086.215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117.533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1.203.748</w:t>
            </w:r>
          </w:p>
        </w:tc>
      </w:tr>
      <w:tr w:rsidR="00FC6162" w:rsidRPr="00821A12" w:rsidTr="00FC6162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Dječji vrtić Pula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10.918.994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1.391.218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12.349.459</w:t>
            </w:r>
          </w:p>
        </w:tc>
      </w:tr>
      <w:tr w:rsidR="00FC6162" w:rsidRPr="00821A12" w:rsidTr="00FC6162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Dječji vrtić Mali svijet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12.160.672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199.791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12.360.463</w:t>
            </w:r>
          </w:p>
        </w:tc>
      </w:tr>
      <w:tr w:rsidR="00FC6162" w:rsidRPr="00821A12" w:rsidTr="00FC6162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Osnovna škola Vidikovac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1.267.461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1.273.461</w:t>
            </w:r>
          </w:p>
        </w:tc>
      </w:tr>
      <w:tr w:rsidR="00FC6162" w:rsidRPr="00821A12" w:rsidTr="00FC6162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Gradska knjižnica i čitaonica Pula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3.828.805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4.128.805</w:t>
            </w:r>
          </w:p>
        </w:tc>
      </w:tr>
      <w:tr w:rsidR="00FC6162" w:rsidRPr="00821A12" w:rsidTr="00821A12">
        <w:trPr>
          <w:trHeight w:val="240"/>
          <w:jc w:val="center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Istarsko narodno kazalište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5.392.984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2.115.215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7.508.198</w:t>
            </w:r>
          </w:p>
        </w:tc>
      </w:tr>
      <w:tr w:rsidR="00FC6162" w:rsidRPr="00821A12" w:rsidTr="00FC6162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Osnovna škola Centar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956.575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960.075</w:t>
            </w:r>
          </w:p>
        </w:tc>
      </w:tr>
      <w:tr w:rsidR="00FC6162" w:rsidRPr="00821A12" w:rsidTr="00FC6162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Javna vatrogasna postrojba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12.451.183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121.171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12.572.354</w:t>
            </w:r>
          </w:p>
        </w:tc>
      </w:tr>
      <w:tr w:rsidR="00FC6162" w:rsidRPr="00821A12" w:rsidTr="00FC6162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Škola za odgoj i obrazovanje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1.250.432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1.261.409</w:t>
            </w:r>
          </w:p>
        </w:tc>
      </w:tr>
      <w:tr w:rsidR="00FC6162" w:rsidRPr="00821A12" w:rsidTr="001715D7">
        <w:trPr>
          <w:trHeight w:val="255"/>
          <w:jc w:val="center"/>
        </w:trPr>
        <w:tc>
          <w:tcPr>
            <w:tcW w:w="4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63.968.115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3.549.893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1.391.218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6162" w:rsidRPr="00821A12" w:rsidRDefault="00FC6162" w:rsidP="00FC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68.909.226</w:t>
            </w:r>
          </w:p>
        </w:tc>
      </w:tr>
    </w:tbl>
    <w:p w:rsidR="00FC6162" w:rsidRDefault="00FC6162" w:rsidP="005254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FC1" w:rsidRDefault="003A6FC1" w:rsidP="005254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DE8" w:rsidRPr="00821A12" w:rsidRDefault="00157DE8" w:rsidP="00821A1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A12">
        <w:rPr>
          <w:rFonts w:ascii="Times New Roman" w:hAnsi="Times New Roman" w:cs="Times New Roman"/>
          <w:b/>
          <w:sz w:val="24"/>
          <w:szCs w:val="24"/>
        </w:rPr>
        <w:t>BILJEŠKA br. 2</w:t>
      </w:r>
      <w:r w:rsidR="00EB2FC4">
        <w:rPr>
          <w:rFonts w:ascii="Times New Roman" w:hAnsi="Times New Roman" w:cs="Times New Roman"/>
          <w:b/>
          <w:sz w:val="24"/>
          <w:szCs w:val="24"/>
        </w:rPr>
        <w:t>4</w:t>
      </w:r>
      <w:r w:rsidRPr="00821A12">
        <w:rPr>
          <w:rFonts w:ascii="Times New Roman" w:hAnsi="Times New Roman" w:cs="Times New Roman"/>
          <w:b/>
          <w:sz w:val="24"/>
          <w:szCs w:val="24"/>
        </w:rPr>
        <w:t>.</w:t>
      </w:r>
    </w:p>
    <w:p w:rsidR="0095249B" w:rsidRPr="00526AD1" w:rsidRDefault="0095249B" w:rsidP="00821A12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157DE8" w:rsidRPr="00526AD1" w:rsidRDefault="00D86F0B" w:rsidP="00821A1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b/>
          <w:sz w:val="24"/>
          <w:szCs w:val="24"/>
        </w:rPr>
        <w:t>Naknade građanima i kućanstvima na temelju osiguranja i dr. naknade (AOP2</w:t>
      </w:r>
      <w:r w:rsidR="001B42E1" w:rsidRPr="00526AD1">
        <w:rPr>
          <w:rFonts w:ascii="Times New Roman" w:hAnsi="Times New Roman" w:cs="Times New Roman"/>
          <w:b/>
          <w:sz w:val="24"/>
          <w:szCs w:val="24"/>
        </w:rPr>
        <w:t>46</w:t>
      </w:r>
      <w:r w:rsidRPr="00526AD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21A12">
        <w:rPr>
          <w:rFonts w:ascii="Times New Roman" w:hAnsi="Times New Roman" w:cs="Times New Roman"/>
          <w:b/>
          <w:sz w:val="24"/>
          <w:szCs w:val="24"/>
        </w:rPr>
        <w:t>-</w:t>
      </w:r>
      <w:r w:rsidRPr="00526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sz w:val="24"/>
          <w:szCs w:val="24"/>
        </w:rPr>
        <w:t xml:space="preserve">iznose </w:t>
      </w:r>
      <w:r w:rsidR="00576279">
        <w:rPr>
          <w:rFonts w:ascii="Times New Roman" w:hAnsi="Times New Roman" w:cs="Times New Roman"/>
          <w:sz w:val="24"/>
          <w:szCs w:val="24"/>
        </w:rPr>
        <w:t>6.592.449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kn, a čine ih: </w:t>
      </w:r>
    </w:p>
    <w:p w:rsidR="00157DE8" w:rsidRPr="00526AD1" w:rsidRDefault="00D86F0B" w:rsidP="00821A12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 xml:space="preserve">naknade građanima i kućanstvima u novcu u iznosu od </w:t>
      </w:r>
      <w:r w:rsidR="00576279">
        <w:rPr>
          <w:rFonts w:ascii="Times New Roman" w:hAnsi="Times New Roman" w:cs="Times New Roman"/>
          <w:sz w:val="24"/>
          <w:szCs w:val="24"/>
        </w:rPr>
        <w:t>4.558.099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</w:t>
      </w:r>
      <w:r w:rsidR="00157DE8" w:rsidRPr="00526AD1">
        <w:rPr>
          <w:rFonts w:ascii="Times New Roman" w:hAnsi="Times New Roman" w:cs="Times New Roman"/>
          <w:sz w:val="24"/>
          <w:szCs w:val="24"/>
        </w:rPr>
        <w:t xml:space="preserve"> za stipendije i školarine, pomoć umirovljenicima, pomoć za podmirenje troškova stanovanja, novorođenačka potpora, novčane potpore studentima i sl.</w:t>
      </w:r>
      <w:r w:rsidR="003A6FC1">
        <w:rPr>
          <w:rFonts w:ascii="Times New Roman" w:hAnsi="Times New Roman" w:cs="Times New Roman"/>
          <w:sz w:val="24"/>
          <w:szCs w:val="24"/>
        </w:rPr>
        <w:t>,</w:t>
      </w:r>
    </w:p>
    <w:p w:rsidR="002367ED" w:rsidRPr="00526AD1" w:rsidRDefault="00D86F0B" w:rsidP="00821A12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 xml:space="preserve">naknade građanima i kućanstvima u </w:t>
      </w:r>
      <w:r w:rsidR="00D1306D" w:rsidRPr="00526AD1">
        <w:rPr>
          <w:rFonts w:ascii="Times New Roman" w:hAnsi="Times New Roman" w:cs="Times New Roman"/>
          <w:sz w:val="24"/>
          <w:szCs w:val="24"/>
        </w:rPr>
        <w:t xml:space="preserve">naravi u iznosu od </w:t>
      </w:r>
      <w:r w:rsidR="00157DE8" w:rsidRPr="00526AD1">
        <w:rPr>
          <w:rFonts w:ascii="Times New Roman" w:hAnsi="Times New Roman" w:cs="Times New Roman"/>
          <w:sz w:val="24"/>
          <w:szCs w:val="24"/>
        </w:rPr>
        <w:t>2.</w:t>
      </w:r>
      <w:r w:rsidR="00576279">
        <w:rPr>
          <w:rFonts w:ascii="Times New Roman" w:hAnsi="Times New Roman" w:cs="Times New Roman"/>
          <w:sz w:val="24"/>
          <w:szCs w:val="24"/>
        </w:rPr>
        <w:t xml:space="preserve">034.350 </w:t>
      </w:r>
      <w:r w:rsidR="00D1306D" w:rsidRPr="00526AD1">
        <w:rPr>
          <w:rFonts w:ascii="Times New Roman" w:hAnsi="Times New Roman" w:cs="Times New Roman"/>
          <w:sz w:val="24"/>
          <w:szCs w:val="24"/>
        </w:rPr>
        <w:t>kn</w:t>
      </w:r>
      <w:r w:rsidR="00157DE8" w:rsidRPr="00526AD1">
        <w:rPr>
          <w:rFonts w:ascii="Times New Roman" w:hAnsi="Times New Roman" w:cs="Times New Roman"/>
          <w:sz w:val="24"/>
          <w:szCs w:val="24"/>
        </w:rPr>
        <w:t xml:space="preserve"> za </w:t>
      </w:r>
      <w:r w:rsidR="00EE2745" w:rsidRPr="00526AD1">
        <w:rPr>
          <w:rFonts w:ascii="Times New Roman" w:hAnsi="Times New Roman" w:cs="Times New Roman"/>
          <w:sz w:val="24"/>
          <w:szCs w:val="24"/>
        </w:rPr>
        <w:t>sufinanciranje prijevoza, prehrane, sufinanciranje socijalnih programa privatnih dječjih vrtića na području Pule, nabava školskih udžbenika</w:t>
      </w:r>
      <w:r w:rsidR="00B40484">
        <w:rPr>
          <w:rFonts w:ascii="Times New Roman" w:hAnsi="Times New Roman" w:cs="Times New Roman"/>
          <w:sz w:val="24"/>
          <w:szCs w:val="24"/>
        </w:rPr>
        <w:t xml:space="preserve"> i radnih materijala</w:t>
      </w:r>
      <w:r w:rsidR="00EE2745" w:rsidRPr="00526AD1">
        <w:rPr>
          <w:rFonts w:ascii="Times New Roman" w:hAnsi="Times New Roman" w:cs="Times New Roman"/>
          <w:sz w:val="24"/>
          <w:szCs w:val="24"/>
        </w:rPr>
        <w:t>, ukop nezbrinutih osoba, financiranje preventivnih pr</w:t>
      </w:r>
      <w:r w:rsidR="003A6FC1">
        <w:rPr>
          <w:rFonts w:ascii="Times New Roman" w:hAnsi="Times New Roman" w:cs="Times New Roman"/>
          <w:sz w:val="24"/>
          <w:szCs w:val="24"/>
        </w:rPr>
        <w:t>egleda (</w:t>
      </w:r>
      <w:r w:rsidR="00EE2745" w:rsidRPr="00526AD1">
        <w:rPr>
          <w:rFonts w:ascii="Times New Roman" w:hAnsi="Times New Roman" w:cs="Times New Roman"/>
          <w:sz w:val="24"/>
          <w:szCs w:val="24"/>
        </w:rPr>
        <w:t>mamografija</w:t>
      </w:r>
      <w:r w:rsidR="003A6FC1">
        <w:rPr>
          <w:rFonts w:ascii="Times New Roman" w:hAnsi="Times New Roman" w:cs="Times New Roman"/>
          <w:sz w:val="24"/>
          <w:szCs w:val="24"/>
        </w:rPr>
        <w:t>)</w:t>
      </w:r>
      <w:r w:rsidR="00EE2745" w:rsidRPr="00526AD1">
        <w:rPr>
          <w:rFonts w:ascii="Times New Roman" w:hAnsi="Times New Roman" w:cs="Times New Roman"/>
          <w:sz w:val="24"/>
          <w:szCs w:val="24"/>
        </w:rPr>
        <w:t xml:space="preserve"> i sl.</w:t>
      </w:r>
      <w:r w:rsidR="00D1306D" w:rsidRPr="00526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48D" w:rsidRDefault="0053048D" w:rsidP="0052542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49B" w:rsidRPr="00526AD1" w:rsidRDefault="0095249B" w:rsidP="0052542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2F8" w:rsidRPr="001948C7" w:rsidRDefault="007F52F8" w:rsidP="001948C7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1948C7">
        <w:rPr>
          <w:rFonts w:ascii="Times New Roman" w:hAnsi="Times New Roman" w:cs="Times New Roman"/>
          <w:b/>
          <w:sz w:val="24"/>
          <w:szCs w:val="24"/>
        </w:rPr>
        <w:t>BILJEŠKA br. 2</w:t>
      </w:r>
      <w:r w:rsidR="00EB2FC4">
        <w:rPr>
          <w:rFonts w:ascii="Times New Roman" w:hAnsi="Times New Roman" w:cs="Times New Roman"/>
          <w:b/>
          <w:sz w:val="24"/>
          <w:szCs w:val="24"/>
        </w:rPr>
        <w:t>5</w:t>
      </w:r>
      <w:r w:rsidRPr="001948C7">
        <w:rPr>
          <w:rFonts w:ascii="Times New Roman" w:hAnsi="Times New Roman" w:cs="Times New Roman"/>
          <w:b/>
        </w:rPr>
        <w:t>.</w:t>
      </w:r>
    </w:p>
    <w:p w:rsidR="0095249B" w:rsidRPr="001948C7" w:rsidRDefault="0095249B" w:rsidP="001948C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A02CC6" w:rsidRPr="001948C7" w:rsidRDefault="00D86F0B" w:rsidP="00A02CC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48C7">
        <w:rPr>
          <w:rFonts w:ascii="Times New Roman" w:hAnsi="Times New Roman" w:cs="Times New Roman"/>
          <w:b/>
          <w:sz w:val="24"/>
          <w:szCs w:val="24"/>
        </w:rPr>
        <w:t>Ostali rashodi (AOP2</w:t>
      </w:r>
      <w:r w:rsidR="001B42E1" w:rsidRPr="001948C7">
        <w:rPr>
          <w:rFonts w:ascii="Times New Roman" w:hAnsi="Times New Roman" w:cs="Times New Roman"/>
          <w:b/>
          <w:sz w:val="24"/>
          <w:szCs w:val="24"/>
        </w:rPr>
        <w:t>57</w:t>
      </w:r>
      <w:r w:rsidRPr="001948C7">
        <w:rPr>
          <w:rFonts w:ascii="Times New Roman" w:hAnsi="Times New Roman" w:cs="Times New Roman"/>
          <w:b/>
          <w:sz w:val="24"/>
          <w:szCs w:val="24"/>
        </w:rPr>
        <w:t>)</w:t>
      </w:r>
      <w:r w:rsidRPr="001948C7">
        <w:rPr>
          <w:rFonts w:ascii="Times New Roman" w:hAnsi="Times New Roman" w:cs="Times New Roman"/>
          <w:sz w:val="24"/>
          <w:szCs w:val="24"/>
        </w:rPr>
        <w:t xml:space="preserve"> </w:t>
      </w:r>
      <w:r w:rsidR="003A7E83" w:rsidRPr="001948C7">
        <w:rPr>
          <w:rFonts w:ascii="Times New Roman" w:hAnsi="Times New Roman" w:cs="Times New Roman"/>
          <w:sz w:val="24"/>
          <w:szCs w:val="24"/>
        </w:rPr>
        <w:t>-</w:t>
      </w:r>
      <w:r w:rsidRPr="001948C7">
        <w:rPr>
          <w:rFonts w:ascii="Times New Roman" w:hAnsi="Times New Roman" w:cs="Times New Roman"/>
          <w:sz w:val="24"/>
          <w:szCs w:val="24"/>
        </w:rPr>
        <w:t xml:space="preserve"> iznose </w:t>
      </w:r>
      <w:r w:rsidR="00576279" w:rsidRPr="001948C7">
        <w:rPr>
          <w:rFonts w:ascii="Times New Roman" w:hAnsi="Times New Roman" w:cs="Times New Roman"/>
          <w:sz w:val="24"/>
          <w:szCs w:val="24"/>
        </w:rPr>
        <w:t>61.955.320</w:t>
      </w:r>
      <w:r w:rsidR="001B42E1" w:rsidRPr="001948C7">
        <w:rPr>
          <w:rFonts w:ascii="Times New Roman" w:hAnsi="Times New Roman" w:cs="Times New Roman"/>
          <w:sz w:val="24"/>
          <w:szCs w:val="24"/>
        </w:rPr>
        <w:t xml:space="preserve"> </w:t>
      </w:r>
      <w:r w:rsidRPr="001948C7">
        <w:rPr>
          <w:rFonts w:ascii="Times New Roman" w:hAnsi="Times New Roman" w:cs="Times New Roman"/>
          <w:sz w:val="24"/>
          <w:szCs w:val="24"/>
        </w:rPr>
        <w:t>kn</w:t>
      </w:r>
      <w:r w:rsidR="001B0A83" w:rsidRPr="001948C7">
        <w:rPr>
          <w:rFonts w:ascii="Times New Roman" w:hAnsi="Times New Roman" w:cs="Times New Roman"/>
          <w:sz w:val="24"/>
          <w:szCs w:val="24"/>
        </w:rPr>
        <w:t xml:space="preserve"> i za </w:t>
      </w:r>
      <w:r w:rsidR="00576279" w:rsidRPr="001948C7">
        <w:rPr>
          <w:rFonts w:ascii="Times New Roman" w:hAnsi="Times New Roman" w:cs="Times New Roman"/>
          <w:sz w:val="24"/>
          <w:szCs w:val="24"/>
        </w:rPr>
        <w:t>31,8</w:t>
      </w:r>
      <w:r w:rsidR="001B42E1" w:rsidRPr="001948C7">
        <w:rPr>
          <w:rFonts w:ascii="Times New Roman" w:hAnsi="Times New Roman" w:cs="Times New Roman"/>
          <w:sz w:val="24"/>
          <w:szCs w:val="24"/>
        </w:rPr>
        <w:t>%</w:t>
      </w:r>
      <w:r w:rsidR="001B0A83" w:rsidRPr="001948C7">
        <w:rPr>
          <w:rFonts w:ascii="Times New Roman" w:hAnsi="Times New Roman" w:cs="Times New Roman"/>
          <w:sz w:val="24"/>
          <w:szCs w:val="24"/>
        </w:rPr>
        <w:t xml:space="preserve"> su </w:t>
      </w:r>
      <w:r w:rsidR="00576279" w:rsidRPr="001948C7">
        <w:rPr>
          <w:rFonts w:ascii="Times New Roman" w:hAnsi="Times New Roman" w:cs="Times New Roman"/>
          <w:sz w:val="24"/>
          <w:szCs w:val="24"/>
        </w:rPr>
        <w:t>veći</w:t>
      </w:r>
      <w:r w:rsidR="001B0A83" w:rsidRPr="001948C7">
        <w:rPr>
          <w:rFonts w:ascii="Times New Roman" w:hAnsi="Times New Roman" w:cs="Times New Roman"/>
          <w:sz w:val="24"/>
          <w:szCs w:val="24"/>
        </w:rPr>
        <w:t xml:space="preserve"> nego u istom izvještajnom razdoblju </w:t>
      </w:r>
      <w:r w:rsidR="00685BE8" w:rsidRPr="001948C7">
        <w:rPr>
          <w:rFonts w:ascii="Times New Roman" w:hAnsi="Times New Roman" w:cs="Times New Roman"/>
          <w:sz w:val="24"/>
          <w:szCs w:val="24"/>
        </w:rPr>
        <w:t>2018.</w:t>
      </w:r>
      <w:r w:rsidR="00576279" w:rsidRPr="001948C7">
        <w:rPr>
          <w:rFonts w:ascii="Times New Roman" w:hAnsi="Times New Roman" w:cs="Times New Roman"/>
          <w:sz w:val="24"/>
          <w:szCs w:val="24"/>
        </w:rPr>
        <w:t xml:space="preserve"> godine.</w:t>
      </w:r>
      <w:r w:rsidR="001B42E1" w:rsidRPr="001948C7">
        <w:rPr>
          <w:rFonts w:ascii="Times New Roman" w:hAnsi="Times New Roman" w:cs="Times New Roman"/>
          <w:sz w:val="24"/>
          <w:szCs w:val="24"/>
        </w:rPr>
        <w:t xml:space="preserve"> </w:t>
      </w:r>
      <w:r w:rsidR="00576279" w:rsidRPr="001948C7">
        <w:rPr>
          <w:rFonts w:ascii="Times New Roman" w:hAnsi="Times New Roman" w:cs="Times New Roman"/>
          <w:sz w:val="24"/>
          <w:szCs w:val="24"/>
        </w:rPr>
        <w:t>Razlog povećanju je što su se u 2019. godini povećala izdvajanja za financiranje programa, manifestacija i aktivnosti kod neprofitnih organizacija, klubova, udruga te rashodi za glavnicu i kamate trgovačkom društvu za upravljanje sportskim objektima</w:t>
      </w:r>
      <w:r w:rsidR="00612018" w:rsidRPr="001948C7">
        <w:rPr>
          <w:rFonts w:ascii="Times New Roman" w:hAnsi="Times New Roman" w:cs="Times New Roman"/>
          <w:sz w:val="24"/>
          <w:szCs w:val="24"/>
        </w:rPr>
        <w:t xml:space="preserve"> </w:t>
      </w:r>
      <w:r w:rsidR="00612018" w:rsidRPr="00A02CC6">
        <w:rPr>
          <w:rFonts w:ascii="Times New Roman" w:hAnsi="Times New Roman" w:cs="Times New Roman"/>
          <w:sz w:val="24"/>
          <w:szCs w:val="24"/>
        </w:rPr>
        <w:t>(izgradnju gradskog bazena gdje je evidentiran rast pomoći iz razloga što u 2018.</w:t>
      </w:r>
      <w:r w:rsidR="00A02CC6" w:rsidRPr="00A02CC6">
        <w:rPr>
          <w:rFonts w:ascii="Times New Roman" w:hAnsi="Times New Roman" w:cs="Times New Roman"/>
          <w:sz w:val="24"/>
          <w:szCs w:val="24"/>
        </w:rPr>
        <w:t xml:space="preserve"> godini</w:t>
      </w:r>
      <w:r w:rsidR="00612018" w:rsidRPr="00A02CC6">
        <w:rPr>
          <w:rFonts w:ascii="Times New Roman" w:hAnsi="Times New Roman" w:cs="Times New Roman"/>
          <w:sz w:val="24"/>
          <w:szCs w:val="24"/>
        </w:rPr>
        <w:t xml:space="preserve"> </w:t>
      </w:r>
      <w:r w:rsidR="00A02CC6" w:rsidRPr="00A02CC6">
        <w:rPr>
          <w:rFonts w:ascii="Times New Roman" w:hAnsi="Times New Roman" w:cs="Times New Roman"/>
          <w:sz w:val="24"/>
          <w:szCs w:val="24"/>
        </w:rPr>
        <w:t xml:space="preserve">kredit nije bio iskorišten već je iskorišten u cijelosti tijekom prvog polugodišta 2019. godine te su i rashodi </w:t>
      </w:r>
      <w:r w:rsidR="00B071C9">
        <w:rPr>
          <w:rFonts w:ascii="Times New Roman" w:hAnsi="Times New Roman" w:cs="Times New Roman"/>
          <w:sz w:val="24"/>
          <w:szCs w:val="24"/>
        </w:rPr>
        <w:t>po toj osnovi veći</w:t>
      </w:r>
      <w:r w:rsidR="00A02CC6" w:rsidRPr="00A02CC6">
        <w:rPr>
          <w:rFonts w:ascii="Times New Roman" w:hAnsi="Times New Roman" w:cs="Times New Roman"/>
          <w:sz w:val="24"/>
          <w:szCs w:val="24"/>
        </w:rPr>
        <w:t>) i danu kapitalnu pomoć trgovačkom društvu za odvodnju i pročišćavanje voda</w:t>
      </w:r>
      <w:r w:rsidR="00A02CC6" w:rsidRPr="001948C7">
        <w:rPr>
          <w:rFonts w:ascii="Times New Roman" w:hAnsi="Times New Roman" w:cs="Times New Roman"/>
          <w:sz w:val="24"/>
          <w:szCs w:val="24"/>
        </w:rPr>
        <w:t>.</w:t>
      </w:r>
    </w:p>
    <w:p w:rsidR="00A02CC6" w:rsidRPr="001948C7" w:rsidRDefault="00A02CC6" w:rsidP="00A02C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2CC6" w:rsidRDefault="00A02CC6" w:rsidP="001948C7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52F8" w:rsidRDefault="007F52F8" w:rsidP="001948C7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1948C7">
        <w:rPr>
          <w:rFonts w:ascii="Times New Roman" w:hAnsi="Times New Roman" w:cs="Times New Roman"/>
          <w:b/>
          <w:sz w:val="24"/>
          <w:szCs w:val="24"/>
        </w:rPr>
        <w:lastRenderedPageBreak/>
        <w:t>BILJEŠKA br. 2</w:t>
      </w:r>
      <w:r w:rsidR="00EB2FC4">
        <w:rPr>
          <w:rFonts w:ascii="Times New Roman" w:hAnsi="Times New Roman" w:cs="Times New Roman"/>
          <w:b/>
          <w:sz w:val="24"/>
          <w:szCs w:val="24"/>
        </w:rPr>
        <w:t>6</w:t>
      </w:r>
      <w:r w:rsidRPr="001948C7">
        <w:rPr>
          <w:rFonts w:ascii="Times New Roman" w:hAnsi="Times New Roman" w:cs="Times New Roman"/>
          <w:b/>
        </w:rPr>
        <w:t>.</w:t>
      </w:r>
    </w:p>
    <w:p w:rsidR="00305374" w:rsidRDefault="00305374" w:rsidP="001948C7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86F0B" w:rsidRPr="00526AD1" w:rsidRDefault="007F52F8" w:rsidP="001948C7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 xml:space="preserve">Tekuće donacije iz EU sredstava (AOP261) </w:t>
      </w:r>
      <w:r w:rsidRPr="00526AD1">
        <w:rPr>
          <w:rFonts w:ascii="Times New Roman" w:hAnsi="Times New Roman" w:cs="Times New Roman"/>
          <w:b/>
          <w:sz w:val="24"/>
          <w:szCs w:val="24"/>
        </w:rPr>
        <w:t>-</w:t>
      </w:r>
      <w:r w:rsidRPr="00526AD1">
        <w:rPr>
          <w:rFonts w:ascii="Times New Roman" w:hAnsi="Times New Roman" w:cs="Times New Roman"/>
          <w:sz w:val="24"/>
          <w:szCs w:val="24"/>
        </w:rPr>
        <w:t xml:space="preserve"> iznose </w:t>
      </w:r>
      <w:r w:rsidR="00612018">
        <w:rPr>
          <w:rFonts w:ascii="Times New Roman" w:hAnsi="Times New Roman" w:cs="Times New Roman"/>
          <w:sz w:val="24"/>
          <w:szCs w:val="24"/>
        </w:rPr>
        <w:t>224.946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kn, a namijenjene su financiranju rada na projektu SOS.</w:t>
      </w:r>
    </w:p>
    <w:p w:rsidR="00E23CA1" w:rsidRDefault="00E23CA1" w:rsidP="001948C7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249B" w:rsidRPr="00526AD1" w:rsidRDefault="0095249B" w:rsidP="001948C7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52F8" w:rsidRDefault="007F52F8" w:rsidP="001948C7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1948C7">
        <w:rPr>
          <w:rFonts w:ascii="Times New Roman" w:hAnsi="Times New Roman" w:cs="Times New Roman"/>
          <w:b/>
          <w:sz w:val="24"/>
          <w:szCs w:val="24"/>
        </w:rPr>
        <w:t>BILJEŠKA br. 2</w:t>
      </w:r>
      <w:r w:rsidR="00EB2FC4">
        <w:rPr>
          <w:rFonts w:ascii="Times New Roman" w:hAnsi="Times New Roman" w:cs="Times New Roman"/>
          <w:b/>
          <w:sz w:val="24"/>
          <w:szCs w:val="24"/>
        </w:rPr>
        <w:t>7</w:t>
      </w:r>
      <w:r w:rsidRPr="001948C7">
        <w:rPr>
          <w:rFonts w:ascii="Times New Roman" w:hAnsi="Times New Roman" w:cs="Times New Roman"/>
          <w:b/>
        </w:rPr>
        <w:t>.</w:t>
      </w:r>
    </w:p>
    <w:p w:rsidR="0095249B" w:rsidRPr="00526AD1" w:rsidRDefault="0095249B" w:rsidP="001948C7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174DBB" w:rsidRDefault="00174DBB" w:rsidP="001948C7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 xml:space="preserve">Kapitalne </w:t>
      </w:r>
      <w:r w:rsidR="00BD0631" w:rsidRPr="00526AD1">
        <w:rPr>
          <w:rFonts w:ascii="Times New Roman" w:hAnsi="Times New Roman" w:cs="Times New Roman"/>
          <w:sz w:val="24"/>
          <w:szCs w:val="24"/>
        </w:rPr>
        <w:t xml:space="preserve">pomoći kreditnim i ostalim financijskim institucijama te trgovačkim društvima u javnom sektoru </w:t>
      </w:r>
      <w:r w:rsidR="002367ED" w:rsidRPr="00526AD1">
        <w:rPr>
          <w:rFonts w:ascii="Times New Roman" w:hAnsi="Times New Roman" w:cs="Times New Roman"/>
          <w:sz w:val="24"/>
          <w:szCs w:val="24"/>
        </w:rPr>
        <w:t>(AOP2</w:t>
      </w:r>
      <w:r w:rsidR="001B42E1" w:rsidRPr="00526AD1">
        <w:rPr>
          <w:rFonts w:ascii="Times New Roman" w:hAnsi="Times New Roman" w:cs="Times New Roman"/>
          <w:sz w:val="24"/>
          <w:szCs w:val="24"/>
        </w:rPr>
        <w:t>73</w:t>
      </w:r>
      <w:r w:rsidR="002367ED" w:rsidRPr="00526AD1">
        <w:rPr>
          <w:rFonts w:ascii="Times New Roman" w:hAnsi="Times New Roman" w:cs="Times New Roman"/>
          <w:sz w:val="24"/>
          <w:szCs w:val="24"/>
        </w:rPr>
        <w:t>)</w:t>
      </w:r>
      <w:r w:rsidR="00914E11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3A7E83" w:rsidRPr="00526AD1">
        <w:rPr>
          <w:rFonts w:ascii="Times New Roman" w:hAnsi="Times New Roman" w:cs="Times New Roman"/>
          <w:b/>
          <w:sz w:val="24"/>
          <w:szCs w:val="24"/>
        </w:rPr>
        <w:t>-</w:t>
      </w:r>
      <w:r w:rsidR="00BD0631" w:rsidRPr="00526AD1">
        <w:rPr>
          <w:rFonts w:ascii="Times New Roman" w:hAnsi="Times New Roman" w:cs="Times New Roman"/>
          <w:sz w:val="24"/>
          <w:szCs w:val="24"/>
        </w:rPr>
        <w:t xml:space="preserve"> o</w:t>
      </w:r>
      <w:r w:rsidRPr="00526AD1">
        <w:rPr>
          <w:rFonts w:ascii="Times New Roman" w:hAnsi="Times New Roman" w:cs="Times New Roman"/>
          <w:sz w:val="24"/>
          <w:szCs w:val="24"/>
        </w:rPr>
        <w:t xml:space="preserve">stvarene su u iznosu </w:t>
      </w:r>
      <w:r w:rsidR="00612018">
        <w:rPr>
          <w:rFonts w:ascii="Times New Roman" w:hAnsi="Times New Roman" w:cs="Times New Roman"/>
          <w:sz w:val="24"/>
          <w:szCs w:val="24"/>
        </w:rPr>
        <w:t>23.793.226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</w:t>
      </w:r>
      <w:r w:rsidR="00612018" w:rsidRPr="00612018">
        <w:rPr>
          <w:rFonts w:ascii="Times New Roman" w:hAnsi="Times New Roman" w:cs="Times New Roman"/>
          <w:sz w:val="24"/>
          <w:szCs w:val="24"/>
        </w:rPr>
        <w:t xml:space="preserve"> </w:t>
      </w:r>
      <w:r w:rsidR="00612018" w:rsidRPr="00526AD1">
        <w:rPr>
          <w:rFonts w:ascii="Times New Roman" w:hAnsi="Times New Roman" w:cs="Times New Roman"/>
          <w:sz w:val="24"/>
          <w:szCs w:val="24"/>
        </w:rPr>
        <w:t xml:space="preserve">i za </w:t>
      </w:r>
      <w:r w:rsidR="00612018">
        <w:rPr>
          <w:rFonts w:ascii="Times New Roman" w:hAnsi="Times New Roman" w:cs="Times New Roman"/>
          <w:sz w:val="24"/>
          <w:szCs w:val="24"/>
        </w:rPr>
        <w:t>45,2</w:t>
      </w:r>
      <w:r w:rsidR="00612018" w:rsidRPr="00526AD1">
        <w:rPr>
          <w:rFonts w:ascii="Times New Roman" w:hAnsi="Times New Roman" w:cs="Times New Roman"/>
          <w:sz w:val="24"/>
          <w:szCs w:val="24"/>
        </w:rPr>
        <w:t xml:space="preserve">% su </w:t>
      </w:r>
      <w:r w:rsidR="00612018">
        <w:rPr>
          <w:rFonts w:ascii="Times New Roman" w:hAnsi="Times New Roman" w:cs="Times New Roman"/>
          <w:sz w:val="24"/>
          <w:szCs w:val="24"/>
        </w:rPr>
        <w:t>veće</w:t>
      </w:r>
      <w:r w:rsidR="00612018" w:rsidRPr="00526AD1">
        <w:rPr>
          <w:rFonts w:ascii="Times New Roman" w:hAnsi="Times New Roman" w:cs="Times New Roman"/>
          <w:sz w:val="24"/>
          <w:szCs w:val="24"/>
        </w:rPr>
        <w:t xml:space="preserve"> nego u istom izvještajnom razdoblju </w:t>
      </w:r>
      <w:r w:rsidR="00612018">
        <w:rPr>
          <w:rFonts w:ascii="Times New Roman" w:hAnsi="Times New Roman" w:cs="Times New Roman"/>
          <w:sz w:val="24"/>
          <w:szCs w:val="24"/>
        </w:rPr>
        <w:t>2018. godine</w:t>
      </w:r>
      <w:r w:rsidR="00E54791" w:rsidRPr="00526AD1">
        <w:rPr>
          <w:rFonts w:ascii="Times New Roman" w:hAnsi="Times New Roman" w:cs="Times New Roman"/>
          <w:sz w:val="24"/>
          <w:szCs w:val="24"/>
        </w:rPr>
        <w:t>, a odnose se na</w:t>
      </w:r>
      <w:r w:rsidR="00E57D15">
        <w:rPr>
          <w:rFonts w:ascii="Times New Roman" w:hAnsi="Times New Roman" w:cs="Times New Roman"/>
          <w:sz w:val="24"/>
          <w:szCs w:val="24"/>
        </w:rPr>
        <w:t xml:space="preserve"> </w:t>
      </w:r>
      <w:r w:rsidR="00E54791" w:rsidRPr="00526AD1">
        <w:rPr>
          <w:rFonts w:ascii="Times New Roman" w:hAnsi="Times New Roman" w:cs="Times New Roman"/>
          <w:sz w:val="24"/>
          <w:szCs w:val="24"/>
        </w:rPr>
        <w:t xml:space="preserve">rashode za </w:t>
      </w:r>
      <w:r w:rsidR="00612018">
        <w:rPr>
          <w:rFonts w:ascii="Times New Roman" w:hAnsi="Times New Roman" w:cs="Times New Roman"/>
          <w:sz w:val="24"/>
          <w:szCs w:val="24"/>
        </w:rPr>
        <w:t>projektiranje i iz</w:t>
      </w:r>
      <w:r w:rsidR="00E54791" w:rsidRPr="00526AD1">
        <w:rPr>
          <w:rFonts w:ascii="Times New Roman" w:hAnsi="Times New Roman" w:cs="Times New Roman"/>
          <w:sz w:val="24"/>
          <w:szCs w:val="24"/>
        </w:rPr>
        <w:t>gra</w:t>
      </w:r>
      <w:r w:rsidR="00612018">
        <w:rPr>
          <w:rFonts w:ascii="Times New Roman" w:hAnsi="Times New Roman" w:cs="Times New Roman"/>
          <w:sz w:val="24"/>
          <w:szCs w:val="24"/>
        </w:rPr>
        <w:t>d</w:t>
      </w:r>
      <w:r w:rsidR="00E54791" w:rsidRPr="00526AD1">
        <w:rPr>
          <w:rFonts w:ascii="Times New Roman" w:hAnsi="Times New Roman" w:cs="Times New Roman"/>
          <w:sz w:val="24"/>
          <w:szCs w:val="24"/>
        </w:rPr>
        <w:t>nj</w:t>
      </w:r>
      <w:r w:rsidR="00612018">
        <w:rPr>
          <w:rFonts w:ascii="Times New Roman" w:hAnsi="Times New Roman" w:cs="Times New Roman"/>
          <w:sz w:val="24"/>
          <w:szCs w:val="24"/>
        </w:rPr>
        <w:t>u</w:t>
      </w:r>
      <w:r w:rsidR="00E54791" w:rsidRPr="00526AD1">
        <w:rPr>
          <w:rFonts w:ascii="Times New Roman" w:hAnsi="Times New Roman" w:cs="Times New Roman"/>
          <w:sz w:val="24"/>
          <w:szCs w:val="24"/>
        </w:rPr>
        <w:t xml:space="preserve"> vodnih građevi</w:t>
      </w:r>
      <w:r w:rsidR="00612018">
        <w:rPr>
          <w:rFonts w:ascii="Times New Roman" w:hAnsi="Times New Roman" w:cs="Times New Roman"/>
          <w:sz w:val="24"/>
          <w:szCs w:val="24"/>
        </w:rPr>
        <w:t xml:space="preserve">na, izgradnju </w:t>
      </w:r>
      <w:r w:rsidR="00E57D15">
        <w:rPr>
          <w:rFonts w:ascii="Times New Roman" w:hAnsi="Times New Roman" w:cs="Times New Roman"/>
          <w:sz w:val="24"/>
          <w:szCs w:val="24"/>
        </w:rPr>
        <w:t>odvodnje</w:t>
      </w:r>
      <w:r w:rsidR="00612018">
        <w:rPr>
          <w:rFonts w:ascii="Times New Roman" w:hAnsi="Times New Roman" w:cs="Times New Roman"/>
          <w:sz w:val="24"/>
          <w:szCs w:val="24"/>
        </w:rPr>
        <w:t xml:space="preserve"> i pročišćavanja otpadnih voda</w:t>
      </w:r>
      <w:r w:rsidR="00E54791" w:rsidRPr="00526AD1">
        <w:rPr>
          <w:rFonts w:ascii="Times New Roman" w:hAnsi="Times New Roman" w:cs="Times New Roman"/>
          <w:sz w:val="24"/>
          <w:szCs w:val="24"/>
        </w:rPr>
        <w:t>,</w:t>
      </w:r>
      <w:r w:rsidR="00E57D15">
        <w:rPr>
          <w:rFonts w:ascii="Times New Roman" w:hAnsi="Times New Roman" w:cs="Times New Roman"/>
          <w:sz w:val="24"/>
          <w:szCs w:val="24"/>
        </w:rPr>
        <w:t xml:space="preserve"> </w:t>
      </w:r>
      <w:r w:rsidR="00612018">
        <w:rPr>
          <w:rFonts w:ascii="Times New Roman" w:hAnsi="Times New Roman" w:cs="Times New Roman"/>
          <w:sz w:val="24"/>
          <w:szCs w:val="24"/>
        </w:rPr>
        <w:t>izgradnju zapadne tribine stadiona Aldo Drosina te pomoć za izgradnju bazena.</w:t>
      </w:r>
    </w:p>
    <w:p w:rsidR="00853D5A" w:rsidRDefault="00853D5A" w:rsidP="0095249B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</w:p>
    <w:p w:rsidR="00853D5A" w:rsidRDefault="00853D5A" w:rsidP="0095249B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</w:p>
    <w:p w:rsidR="009D17E2" w:rsidRPr="00526AD1" w:rsidRDefault="00E95A49" w:rsidP="0095249B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  <w:r w:rsidRPr="001948C7">
        <w:rPr>
          <w:rFonts w:ascii="Times New Roman" w:hAnsi="Times New Roman" w:cs="Times New Roman"/>
          <w:b/>
        </w:rPr>
        <w:t>BILJEŠKA br. 2</w:t>
      </w:r>
      <w:r w:rsidR="00EB2FC4">
        <w:rPr>
          <w:rFonts w:ascii="Times New Roman" w:hAnsi="Times New Roman" w:cs="Times New Roman"/>
          <w:b/>
        </w:rPr>
        <w:t>8</w:t>
      </w:r>
      <w:r w:rsidR="009D17E2" w:rsidRPr="001948C7">
        <w:rPr>
          <w:rFonts w:ascii="Times New Roman" w:hAnsi="Times New Roman" w:cs="Times New Roman"/>
          <w:b/>
        </w:rPr>
        <w:t>.</w:t>
      </w:r>
    </w:p>
    <w:p w:rsidR="003E0CAA" w:rsidRDefault="00171C18" w:rsidP="001E12E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D1">
        <w:rPr>
          <w:rFonts w:ascii="Times New Roman" w:hAnsi="Times New Roman" w:cs="Times New Roman"/>
          <w:b/>
          <w:sz w:val="24"/>
          <w:szCs w:val="24"/>
        </w:rPr>
        <w:t>Prihodi od prodaje nefinancijske imovine</w:t>
      </w:r>
    </w:p>
    <w:p w:rsidR="0095249B" w:rsidRPr="00526AD1" w:rsidRDefault="0095249B" w:rsidP="001E12E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8" w:type="dxa"/>
        <w:tblInd w:w="96" w:type="dxa"/>
        <w:tblLayout w:type="fixed"/>
        <w:tblLook w:val="04A0"/>
      </w:tblPr>
      <w:tblGrid>
        <w:gridCol w:w="863"/>
        <w:gridCol w:w="4111"/>
        <w:gridCol w:w="568"/>
        <w:gridCol w:w="1274"/>
        <w:gridCol w:w="1134"/>
        <w:gridCol w:w="709"/>
        <w:gridCol w:w="1099"/>
      </w:tblGrid>
      <w:tr w:rsidR="001715D7" w:rsidRPr="00526AD1" w:rsidTr="001715D7">
        <w:trPr>
          <w:trHeight w:val="782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D17E2" w:rsidRPr="00F12CD4" w:rsidRDefault="002367ED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Razred/</w:t>
            </w:r>
            <w:r w:rsidR="009D17E2" w:rsidRPr="00F12C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Skupina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17E2" w:rsidRPr="00F12CD4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17E2" w:rsidRPr="00F12CD4" w:rsidRDefault="009D17E2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D17E2" w:rsidRPr="00F12CD4" w:rsidRDefault="009D17E2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Ostvareno u izvještajnom razdoblju prethodne godine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D17E2" w:rsidRPr="00F12CD4" w:rsidRDefault="009D17E2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Ostvareno u izvještajnom razdoblju tekuće godine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D17E2" w:rsidRPr="00F12CD4" w:rsidRDefault="009D17E2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  <w:r w:rsidRPr="00F12C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br/>
              <w:t>(5/4)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17E2" w:rsidRPr="00F12CD4" w:rsidRDefault="009D17E2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Povećanje / Smanjenje</w:t>
            </w:r>
          </w:p>
        </w:tc>
      </w:tr>
      <w:tr w:rsidR="009D17E2" w:rsidRPr="00526AD1" w:rsidTr="001715D7">
        <w:trPr>
          <w:trHeight w:val="140"/>
        </w:trPr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9D17E2" w:rsidRPr="00F12CD4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D17E2" w:rsidRPr="00F12CD4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D17E2" w:rsidRPr="00F12CD4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D17E2" w:rsidRPr="00F12CD4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9D17E2" w:rsidRPr="00F12CD4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9D17E2" w:rsidRPr="00F12CD4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17E2" w:rsidRPr="00F12CD4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="003A7E83" w:rsidRPr="00F12CD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-</w:t>
            </w:r>
            <w:r w:rsidRPr="00F12CD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</w:tr>
      <w:tr w:rsidR="00E95A49" w:rsidRPr="00526AD1" w:rsidTr="001715D7">
        <w:trPr>
          <w:trHeight w:val="41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9" w:rsidRPr="00526AD1" w:rsidRDefault="00E95A49" w:rsidP="001948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9" w:rsidRPr="00526AD1" w:rsidRDefault="00E95A49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Prihodi od prodaje neproizvedene dugotrajne imovine 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9" w:rsidRPr="00853D5A" w:rsidRDefault="00E95A49" w:rsidP="001B4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290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A49" w:rsidRPr="00526AD1" w:rsidRDefault="00F12CD4" w:rsidP="007473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15.982.908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A49" w:rsidRPr="00526AD1" w:rsidRDefault="00F12CD4" w:rsidP="00305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29.612.294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A49" w:rsidRPr="00526AD1" w:rsidRDefault="00F12CD4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185,3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A49" w:rsidRPr="00526AD1" w:rsidRDefault="00F12CD4" w:rsidP="00305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13.629.386</w:t>
            </w:r>
          </w:p>
        </w:tc>
      </w:tr>
      <w:tr w:rsidR="00E95A49" w:rsidRPr="00526AD1" w:rsidTr="001715D7">
        <w:trPr>
          <w:trHeight w:val="409"/>
        </w:trPr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9" w:rsidRPr="00526AD1" w:rsidRDefault="00E95A49" w:rsidP="001948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9" w:rsidRPr="00526AD1" w:rsidRDefault="00E95A49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Prihodi od prodaje proizvedene dugotrajne imovine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9" w:rsidRPr="00853D5A" w:rsidRDefault="00E95A49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302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A49" w:rsidRPr="00526AD1" w:rsidRDefault="00F12CD4" w:rsidP="007473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5.114.762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A49" w:rsidRPr="00526AD1" w:rsidRDefault="00F12CD4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1.969.553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A49" w:rsidRPr="00526AD1" w:rsidRDefault="00F12CD4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38,5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A49" w:rsidRPr="00526AD1" w:rsidRDefault="00F12CD4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-3.145.209</w:t>
            </w:r>
          </w:p>
        </w:tc>
      </w:tr>
      <w:tr w:rsidR="00E95A49" w:rsidRPr="00526AD1" w:rsidTr="001715D7">
        <w:trPr>
          <w:trHeight w:val="525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5A49" w:rsidRPr="00526AD1" w:rsidRDefault="00E95A49" w:rsidP="001948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5A49" w:rsidRPr="00526AD1" w:rsidRDefault="00E95A49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5A49" w:rsidRPr="00526AD1" w:rsidRDefault="00E95A49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289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95A49" w:rsidRPr="00526AD1" w:rsidRDefault="00F12CD4" w:rsidP="007473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21.097.670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95A49" w:rsidRPr="00526AD1" w:rsidRDefault="00F12CD4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31.581.847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95A49" w:rsidRPr="00526AD1" w:rsidRDefault="00F12CD4" w:rsidP="00F12C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149,7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95A49" w:rsidRPr="00526AD1" w:rsidRDefault="00F12CD4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10.484.177</w:t>
            </w:r>
          </w:p>
        </w:tc>
      </w:tr>
    </w:tbl>
    <w:p w:rsidR="009D17E2" w:rsidRPr="00526AD1" w:rsidRDefault="009D17E2" w:rsidP="001E12E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DBB" w:rsidRDefault="003E0CAA" w:rsidP="0052542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PRIHODI OD PRODAJE NEFINANCIJSKE IMOVINE</w:t>
      </w:r>
      <w:r w:rsidR="001B42E1" w:rsidRPr="00526AD1">
        <w:rPr>
          <w:rFonts w:ascii="Times New Roman" w:hAnsi="Times New Roman" w:cs="Times New Roman"/>
          <w:sz w:val="24"/>
          <w:szCs w:val="24"/>
        </w:rPr>
        <w:t xml:space="preserve"> (AOP289</w:t>
      </w:r>
      <w:r w:rsidR="009D17E2" w:rsidRPr="00526AD1">
        <w:rPr>
          <w:rFonts w:ascii="Times New Roman" w:hAnsi="Times New Roman" w:cs="Times New Roman"/>
          <w:sz w:val="24"/>
          <w:szCs w:val="24"/>
        </w:rPr>
        <w:t>)</w:t>
      </w:r>
      <w:r w:rsidRPr="00526AD1">
        <w:rPr>
          <w:rFonts w:ascii="Times New Roman" w:hAnsi="Times New Roman" w:cs="Times New Roman"/>
          <w:sz w:val="24"/>
          <w:szCs w:val="24"/>
        </w:rPr>
        <w:t xml:space="preserve"> iznose </w:t>
      </w:r>
      <w:r w:rsidR="00F12CD4">
        <w:rPr>
          <w:rFonts w:ascii="Times New Roman" w:hAnsi="Times New Roman" w:cs="Times New Roman"/>
          <w:sz w:val="24"/>
          <w:szCs w:val="24"/>
        </w:rPr>
        <w:t>31.581.847</w:t>
      </w:r>
      <w:r w:rsidR="00515457" w:rsidRPr="00526AD1">
        <w:rPr>
          <w:rFonts w:ascii="Times New Roman" w:hAnsi="Times New Roman" w:cs="Times New Roman"/>
          <w:sz w:val="24"/>
          <w:szCs w:val="24"/>
        </w:rPr>
        <w:t xml:space="preserve"> kn i </w:t>
      </w:r>
      <w:r w:rsidR="001B0A83" w:rsidRPr="00526AD1">
        <w:rPr>
          <w:rFonts w:ascii="Times New Roman" w:hAnsi="Times New Roman" w:cs="Times New Roman"/>
          <w:sz w:val="24"/>
          <w:szCs w:val="24"/>
        </w:rPr>
        <w:t xml:space="preserve">za </w:t>
      </w:r>
      <w:r w:rsidR="00304998">
        <w:rPr>
          <w:rFonts w:ascii="Times New Roman" w:hAnsi="Times New Roman" w:cs="Times New Roman"/>
          <w:sz w:val="24"/>
          <w:szCs w:val="24"/>
        </w:rPr>
        <w:t xml:space="preserve">10.484.177 kn ili </w:t>
      </w:r>
      <w:r w:rsidR="00F12CD4">
        <w:rPr>
          <w:rFonts w:ascii="Times New Roman" w:hAnsi="Times New Roman" w:cs="Times New Roman"/>
          <w:sz w:val="24"/>
          <w:szCs w:val="24"/>
        </w:rPr>
        <w:t>49,7</w:t>
      </w:r>
      <w:r w:rsidR="00515457" w:rsidRPr="00526AD1">
        <w:rPr>
          <w:rFonts w:ascii="Times New Roman" w:hAnsi="Times New Roman" w:cs="Times New Roman"/>
          <w:sz w:val="24"/>
          <w:szCs w:val="24"/>
        </w:rPr>
        <w:t xml:space="preserve">% </w:t>
      </w:r>
      <w:r w:rsidR="00914E11" w:rsidRPr="00526AD1">
        <w:rPr>
          <w:rFonts w:ascii="Times New Roman" w:hAnsi="Times New Roman" w:cs="Times New Roman"/>
          <w:sz w:val="24"/>
          <w:szCs w:val="24"/>
        </w:rPr>
        <w:t>su</w:t>
      </w:r>
      <w:r w:rsidR="00F12CD4">
        <w:rPr>
          <w:rFonts w:ascii="Times New Roman" w:hAnsi="Times New Roman" w:cs="Times New Roman"/>
          <w:sz w:val="24"/>
          <w:szCs w:val="24"/>
        </w:rPr>
        <w:t xml:space="preserve"> veći</w:t>
      </w:r>
      <w:r w:rsidR="001B0A83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515457" w:rsidRPr="00526AD1">
        <w:rPr>
          <w:rFonts w:ascii="Times New Roman" w:hAnsi="Times New Roman" w:cs="Times New Roman"/>
          <w:sz w:val="24"/>
          <w:szCs w:val="24"/>
        </w:rPr>
        <w:t xml:space="preserve">u odnosu na isto razdoblje u </w:t>
      </w:r>
      <w:r w:rsidR="00685BE8">
        <w:rPr>
          <w:rFonts w:ascii="Times New Roman" w:hAnsi="Times New Roman" w:cs="Times New Roman"/>
          <w:sz w:val="24"/>
          <w:szCs w:val="24"/>
        </w:rPr>
        <w:t>2018.</w:t>
      </w:r>
      <w:r w:rsidR="00515457" w:rsidRPr="00526AD1">
        <w:rPr>
          <w:rFonts w:ascii="Times New Roman" w:hAnsi="Times New Roman" w:cs="Times New Roman"/>
          <w:sz w:val="24"/>
          <w:szCs w:val="24"/>
        </w:rPr>
        <w:t xml:space="preserve"> godini.</w:t>
      </w:r>
      <w:r w:rsidR="001B0A83" w:rsidRPr="00526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03D" w:rsidRDefault="001D103D" w:rsidP="001948C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03D" w:rsidRPr="00526AD1" w:rsidRDefault="001D103D" w:rsidP="001948C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5A49" w:rsidRDefault="00E95A49" w:rsidP="001948C7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1948C7">
        <w:rPr>
          <w:rFonts w:ascii="Times New Roman" w:hAnsi="Times New Roman" w:cs="Times New Roman"/>
          <w:b/>
          <w:sz w:val="24"/>
          <w:szCs w:val="24"/>
        </w:rPr>
        <w:t>BILJEŠKA br. 2</w:t>
      </w:r>
      <w:r w:rsidR="00426D9F" w:rsidRPr="001948C7">
        <w:rPr>
          <w:rFonts w:ascii="Times New Roman" w:hAnsi="Times New Roman" w:cs="Times New Roman"/>
          <w:b/>
          <w:sz w:val="24"/>
          <w:szCs w:val="24"/>
        </w:rPr>
        <w:t>9</w:t>
      </w:r>
      <w:r w:rsidRPr="001948C7">
        <w:rPr>
          <w:rFonts w:ascii="Times New Roman" w:hAnsi="Times New Roman" w:cs="Times New Roman"/>
          <w:b/>
        </w:rPr>
        <w:t>.</w:t>
      </w:r>
    </w:p>
    <w:p w:rsidR="00303020" w:rsidRPr="00526AD1" w:rsidRDefault="00303020" w:rsidP="001948C7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F546B9" w:rsidRPr="00526AD1" w:rsidRDefault="009D17E2" w:rsidP="001948C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Zemljište</w:t>
      </w:r>
      <w:r w:rsidR="00174DBB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sz w:val="24"/>
          <w:szCs w:val="24"/>
        </w:rPr>
        <w:t>(AOP2</w:t>
      </w:r>
      <w:r w:rsidR="001B42E1" w:rsidRPr="00526AD1">
        <w:rPr>
          <w:rFonts w:ascii="Times New Roman" w:hAnsi="Times New Roman" w:cs="Times New Roman"/>
          <w:sz w:val="24"/>
          <w:szCs w:val="24"/>
        </w:rPr>
        <w:t>9</w:t>
      </w:r>
      <w:r w:rsidR="00914E11" w:rsidRPr="00526AD1">
        <w:rPr>
          <w:rFonts w:ascii="Times New Roman" w:hAnsi="Times New Roman" w:cs="Times New Roman"/>
          <w:sz w:val="24"/>
          <w:szCs w:val="24"/>
        </w:rPr>
        <w:t>2</w:t>
      </w:r>
      <w:r w:rsidRPr="00526AD1">
        <w:rPr>
          <w:rFonts w:ascii="Times New Roman" w:hAnsi="Times New Roman" w:cs="Times New Roman"/>
          <w:sz w:val="24"/>
          <w:szCs w:val="24"/>
        </w:rPr>
        <w:t xml:space="preserve">) </w:t>
      </w:r>
      <w:r w:rsidR="003A7E83" w:rsidRPr="00526AD1">
        <w:rPr>
          <w:rFonts w:ascii="Times New Roman" w:hAnsi="Times New Roman" w:cs="Times New Roman"/>
          <w:sz w:val="24"/>
          <w:szCs w:val="24"/>
        </w:rPr>
        <w:t>-</w:t>
      </w:r>
      <w:r w:rsidR="00174DBB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AE37F0" w:rsidRPr="00526AD1">
        <w:rPr>
          <w:rFonts w:ascii="Times New Roman" w:hAnsi="Times New Roman" w:cs="Times New Roman"/>
          <w:sz w:val="24"/>
          <w:szCs w:val="24"/>
        </w:rPr>
        <w:t xml:space="preserve">ostvareno je </w:t>
      </w:r>
      <w:r w:rsidR="00304998">
        <w:rPr>
          <w:rFonts w:ascii="Times New Roman" w:hAnsi="Times New Roman" w:cs="Times New Roman"/>
          <w:sz w:val="24"/>
          <w:szCs w:val="24"/>
        </w:rPr>
        <w:t>29.612.294</w:t>
      </w:r>
      <w:r w:rsidR="00AE37F0" w:rsidRPr="00526AD1">
        <w:rPr>
          <w:rFonts w:ascii="Times New Roman" w:hAnsi="Times New Roman" w:cs="Times New Roman"/>
          <w:sz w:val="24"/>
          <w:szCs w:val="24"/>
        </w:rPr>
        <w:t xml:space="preserve"> kn odnosno za </w:t>
      </w:r>
      <w:r w:rsidR="00304998">
        <w:rPr>
          <w:rFonts w:ascii="Times New Roman" w:hAnsi="Times New Roman" w:cs="Times New Roman"/>
          <w:sz w:val="24"/>
          <w:szCs w:val="24"/>
        </w:rPr>
        <w:t>13.629.386</w:t>
      </w:r>
      <w:r w:rsidR="00AE37F0" w:rsidRPr="00526AD1">
        <w:rPr>
          <w:rFonts w:ascii="Times New Roman" w:hAnsi="Times New Roman" w:cs="Times New Roman"/>
          <w:sz w:val="24"/>
          <w:szCs w:val="24"/>
        </w:rPr>
        <w:t xml:space="preserve"> kn ili </w:t>
      </w:r>
      <w:r w:rsidR="00304998">
        <w:rPr>
          <w:rFonts w:ascii="Times New Roman" w:hAnsi="Times New Roman" w:cs="Times New Roman"/>
          <w:sz w:val="24"/>
          <w:szCs w:val="24"/>
        </w:rPr>
        <w:t>85,3</w:t>
      </w:r>
      <w:r w:rsidR="00AE37F0" w:rsidRPr="00526AD1">
        <w:rPr>
          <w:rFonts w:ascii="Times New Roman" w:hAnsi="Times New Roman" w:cs="Times New Roman"/>
          <w:sz w:val="24"/>
          <w:szCs w:val="24"/>
        </w:rPr>
        <w:t xml:space="preserve">% </w:t>
      </w:r>
      <w:r w:rsidR="00304998">
        <w:rPr>
          <w:rFonts w:ascii="Times New Roman" w:hAnsi="Times New Roman" w:cs="Times New Roman"/>
          <w:sz w:val="24"/>
          <w:szCs w:val="24"/>
        </w:rPr>
        <w:t>više</w:t>
      </w:r>
      <w:r w:rsidR="00AE37F0" w:rsidRPr="00526AD1">
        <w:rPr>
          <w:rFonts w:ascii="Times New Roman" w:hAnsi="Times New Roman" w:cs="Times New Roman"/>
          <w:sz w:val="24"/>
          <w:szCs w:val="24"/>
        </w:rPr>
        <w:t xml:space="preserve"> nego </w:t>
      </w:r>
      <w:r w:rsidR="00685BE8">
        <w:rPr>
          <w:rFonts w:ascii="Times New Roman" w:hAnsi="Times New Roman" w:cs="Times New Roman"/>
          <w:sz w:val="24"/>
          <w:szCs w:val="24"/>
        </w:rPr>
        <w:t>2018.</w:t>
      </w:r>
      <w:r w:rsidR="00AE37F0" w:rsidRPr="00526AD1">
        <w:rPr>
          <w:rFonts w:ascii="Times New Roman" w:hAnsi="Times New Roman" w:cs="Times New Roman"/>
          <w:sz w:val="24"/>
          <w:szCs w:val="24"/>
        </w:rPr>
        <w:t xml:space="preserve"> godine </w:t>
      </w:r>
      <w:r w:rsidR="00304998" w:rsidRPr="00703C9A">
        <w:rPr>
          <w:rFonts w:ascii="Times New Roman" w:hAnsi="Times New Roman" w:cs="Times New Roman"/>
          <w:sz w:val="24"/>
          <w:szCs w:val="24"/>
        </w:rPr>
        <w:t xml:space="preserve">zbog većeg interesa za kupnjom zemljišta. Prihod od prodaje zemljišta čini </w:t>
      </w:r>
      <w:r w:rsidR="00304998">
        <w:rPr>
          <w:rFonts w:ascii="Times New Roman" w:hAnsi="Times New Roman" w:cs="Times New Roman"/>
          <w:sz w:val="24"/>
          <w:szCs w:val="24"/>
        </w:rPr>
        <w:t>93,8</w:t>
      </w:r>
      <w:r w:rsidR="00304998" w:rsidRPr="00703C9A">
        <w:rPr>
          <w:rFonts w:ascii="Times New Roman" w:hAnsi="Times New Roman" w:cs="Times New Roman"/>
          <w:sz w:val="24"/>
          <w:szCs w:val="24"/>
        </w:rPr>
        <w:t>% ukupno ostvarenih prihoda od prodaje nefinancijske imovine</w:t>
      </w:r>
    </w:p>
    <w:p w:rsidR="00303020" w:rsidRDefault="00303020" w:rsidP="001948C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49B" w:rsidRDefault="0095249B" w:rsidP="001948C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A49" w:rsidRPr="00526AD1" w:rsidRDefault="00E95A49" w:rsidP="001948C7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1948C7">
        <w:rPr>
          <w:rFonts w:ascii="Times New Roman" w:hAnsi="Times New Roman" w:cs="Times New Roman"/>
          <w:b/>
          <w:sz w:val="24"/>
          <w:szCs w:val="24"/>
        </w:rPr>
        <w:t xml:space="preserve">BILJEŠKA br. </w:t>
      </w:r>
      <w:r w:rsidR="00426D9F" w:rsidRPr="001948C7">
        <w:rPr>
          <w:rFonts w:ascii="Times New Roman" w:hAnsi="Times New Roman" w:cs="Times New Roman"/>
          <w:b/>
          <w:sz w:val="24"/>
          <w:szCs w:val="24"/>
        </w:rPr>
        <w:t>30</w:t>
      </w:r>
      <w:r w:rsidRPr="001948C7">
        <w:rPr>
          <w:rFonts w:ascii="Times New Roman" w:hAnsi="Times New Roman" w:cs="Times New Roman"/>
          <w:b/>
        </w:rPr>
        <w:t>.</w:t>
      </w:r>
    </w:p>
    <w:p w:rsidR="00F546B9" w:rsidRPr="00526AD1" w:rsidRDefault="00F546B9" w:rsidP="001948C7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304998" w:rsidRPr="00304998" w:rsidRDefault="00E95A49" w:rsidP="001948C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P</w:t>
      </w:r>
      <w:r w:rsidR="00174DBB" w:rsidRPr="00526AD1">
        <w:rPr>
          <w:rFonts w:ascii="Times New Roman" w:hAnsi="Times New Roman" w:cs="Times New Roman"/>
          <w:sz w:val="24"/>
          <w:szCs w:val="24"/>
        </w:rPr>
        <w:t>rihod od prodaje stambenih objekata</w:t>
      </w:r>
      <w:r w:rsidR="001D103D">
        <w:rPr>
          <w:rFonts w:ascii="Times New Roman" w:hAnsi="Times New Roman" w:cs="Times New Roman"/>
          <w:sz w:val="24"/>
          <w:szCs w:val="24"/>
        </w:rPr>
        <w:t xml:space="preserve"> (AOP304)</w:t>
      </w:r>
      <w:r w:rsidR="001948C7">
        <w:rPr>
          <w:rFonts w:ascii="Times New Roman" w:hAnsi="Times New Roman" w:cs="Times New Roman"/>
          <w:sz w:val="24"/>
          <w:szCs w:val="24"/>
        </w:rPr>
        <w:t xml:space="preserve"> -</w:t>
      </w:r>
      <w:r w:rsidR="00174DBB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6A5A9B" w:rsidRPr="00526AD1">
        <w:rPr>
          <w:rFonts w:ascii="Times New Roman" w:hAnsi="Times New Roman" w:cs="Times New Roman"/>
          <w:sz w:val="24"/>
          <w:szCs w:val="24"/>
        </w:rPr>
        <w:t>ostvaren u iznosu od</w:t>
      </w:r>
      <w:r w:rsidR="00174DBB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304998">
        <w:rPr>
          <w:rFonts w:ascii="Times New Roman" w:hAnsi="Times New Roman" w:cs="Times New Roman"/>
          <w:sz w:val="24"/>
          <w:szCs w:val="24"/>
        </w:rPr>
        <w:t>1.754.076</w:t>
      </w:r>
      <w:r w:rsidR="00174DBB" w:rsidRPr="00526AD1">
        <w:rPr>
          <w:rFonts w:ascii="Times New Roman" w:hAnsi="Times New Roman" w:cs="Times New Roman"/>
          <w:sz w:val="24"/>
          <w:szCs w:val="24"/>
        </w:rPr>
        <w:t xml:space="preserve"> kn </w:t>
      </w:r>
      <w:r w:rsidR="009D17E2" w:rsidRPr="00526AD1">
        <w:rPr>
          <w:rFonts w:ascii="Times New Roman" w:hAnsi="Times New Roman" w:cs="Times New Roman"/>
          <w:sz w:val="24"/>
          <w:szCs w:val="24"/>
        </w:rPr>
        <w:t>ili</w:t>
      </w:r>
      <w:r w:rsidR="00174DBB" w:rsidRPr="00526AD1">
        <w:rPr>
          <w:rFonts w:ascii="Times New Roman" w:hAnsi="Times New Roman" w:cs="Times New Roman"/>
          <w:sz w:val="24"/>
          <w:szCs w:val="24"/>
        </w:rPr>
        <w:t xml:space="preserve"> za </w:t>
      </w:r>
      <w:r w:rsidR="00304998">
        <w:rPr>
          <w:rFonts w:ascii="Times New Roman" w:hAnsi="Times New Roman" w:cs="Times New Roman"/>
          <w:sz w:val="24"/>
          <w:szCs w:val="24"/>
        </w:rPr>
        <w:t>44,0</w:t>
      </w:r>
      <w:r w:rsidR="00174DBB" w:rsidRPr="00526AD1">
        <w:rPr>
          <w:rFonts w:ascii="Times New Roman" w:hAnsi="Times New Roman" w:cs="Times New Roman"/>
          <w:sz w:val="24"/>
          <w:szCs w:val="24"/>
        </w:rPr>
        <w:t xml:space="preserve">% </w:t>
      </w:r>
      <w:r w:rsidR="00304998">
        <w:rPr>
          <w:rFonts w:ascii="Times New Roman" w:hAnsi="Times New Roman" w:cs="Times New Roman"/>
          <w:sz w:val="24"/>
          <w:szCs w:val="24"/>
        </w:rPr>
        <w:t>manje</w:t>
      </w:r>
      <w:r w:rsidR="00174DBB" w:rsidRPr="00526AD1">
        <w:rPr>
          <w:rFonts w:ascii="Times New Roman" w:hAnsi="Times New Roman" w:cs="Times New Roman"/>
          <w:sz w:val="24"/>
          <w:szCs w:val="24"/>
        </w:rPr>
        <w:t xml:space="preserve"> nego </w:t>
      </w:r>
      <w:r w:rsidR="00685BE8">
        <w:rPr>
          <w:rFonts w:ascii="Times New Roman" w:hAnsi="Times New Roman" w:cs="Times New Roman"/>
          <w:sz w:val="24"/>
          <w:szCs w:val="24"/>
        </w:rPr>
        <w:t>2018.</w:t>
      </w:r>
      <w:r w:rsidR="00174DBB" w:rsidRPr="00526AD1">
        <w:rPr>
          <w:rFonts w:ascii="Times New Roman" w:hAnsi="Times New Roman" w:cs="Times New Roman"/>
          <w:sz w:val="24"/>
          <w:szCs w:val="24"/>
        </w:rPr>
        <w:t xml:space="preserve"> godine, dok su </w:t>
      </w:r>
      <w:r w:rsidR="00CA2D78" w:rsidRPr="00526AD1">
        <w:rPr>
          <w:rFonts w:ascii="Times New Roman" w:hAnsi="Times New Roman" w:cs="Times New Roman"/>
          <w:sz w:val="24"/>
          <w:szCs w:val="24"/>
        </w:rPr>
        <w:t xml:space="preserve">prihodi od prodaje </w:t>
      </w:r>
      <w:r w:rsidR="00174DBB" w:rsidRPr="00526AD1">
        <w:rPr>
          <w:rFonts w:ascii="Times New Roman" w:hAnsi="Times New Roman" w:cs="Times New Roman"/>
          <w:sz w:val="24"/>
          <w:szCs w:val="24"/>
        </w:rPr>
        <w:t>poslovni</w:t>
      </w:r>
      <w:r w:rsidR="00CA2D78" w:rsidRPr="00526AD1">
        <w:rPr>
          <w:rFonts w:ascii="Times New Roman" w:hAnsi="Times New Roman" w:cs="Times New Roman"/>
          <w:sz w:val="24"/>
          <w:szCs w:val="24"/>
        </w:rPr>
        <w:t>h</w:t>
      </w:r>
      <w:r w:rsidR="00174DBB" w:rsidRPr="00526AD1">
        <w:rPr>
          <w:rFonts w:ascii="Times New Roman" w:hAnsi="Times New Roman" w:cs="Times New Roman"/>
          <w:sz w:val="24"/>
          <w:szCs w:val="24"/>
        </w:rPr>
        <w:t xml:space="preserve"> objek</w:t>
      </w:r>
      <w:r w:rsidR="00CA2D78" w:rsidRPr="00526AD1">
        <w:rPr>
          <w:rFonts w:ascii="Times New Roman" w:hAnsi="Times New Roman" w:cs="Times New Roman"/>
          <w:sz w:val="24"/>
          <w:szCs w:val="24"/>
        </w:rPr>
        <w:t>ata</w:t>
      </w:r>
      <w:r w:rsidR="001D103D">
        <w:rPr>
          <w:rFonts w:ascii="Times New Roman" w:hAnsi="Times New Roman" w:cs="Times New Roman"/>
          <w:sz w:val="24"/>
          <w:szCs w:val="24"/>
        </w:rPr>
        <w:t xml:space="preserve"> (AOP305)</w:t>
      </w:r>
      <w:r w:rsidR="00CA2D78" w:rsidRPr="00526AD1">
        <w:rPr>
          <w:rFonts w:ascii="Times New Roman" w:hAnsi="Times New Roman" w:cs="Times New Roman"/>
          <w:sz w:val="24"/>
          <w:szCs w:val="24"/>
        </w:rPr>
        <w:t xml:space="preserve"> realizirani</w:t>
      </w:r>
      <w:r w:rsidR="00174DBB" w:rsidRPr="00526AD1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04998">
        <w:rPr>
          <w:rFonts w:ascii="Times New Roman" w:hAnsi="Times New Roman" w:cs="Times New Roman"/>
          <w:sz w:val="24"/>
          <w:szCs w:val="24"/>
        </w:rPr>
        <w:t>215.477</w:t>
      </w:r>
      <w:r w:rsidR="00174DBB" w:rsidRPr="00526AD1">
        <w:rPr>
          <w:rFonts w:ascii="Times New Roman" w:hAnsi="Times New Roman" w:cs="Times New Roman"/>
          <w:sz w:val="24"/>
          <w:szCs w:val="24"/>
        </w:rPr>
        <w:t xml:space="preserve"> kn, </w:t>
      </w:r>
      <w:r w:rsidR="009D17E2" w:rsidRPr="00526AD1">
        <w:rPr>
          <w:rFonts w:ascii="Times New Roman" w:hAnsi="Times New Roman" w:cs="Times New Roman"/>
          <w:sz w:val="24"/>
          <w:szCs w:val="24"/>
        </w:rPr>
        <w:t>odnosno</w:t>
      </w:r>
      <w:r w:rsidR="00174DBB" w:rsidRPr="00526AD1">
        <w:rPr>
          <w:rFonts w:ascii="Times New Roman" w:hAnsi="Times New Roman" w:cs="Times New Roman"/>
          <w:sz w:val="24"/>
          <w:szCs w:val="24"/>
        </w:rPr>
        <w:t xml:space="preserve"> za </w:t>
      </w:r>
      <w:r w:rsidR="00304998">
        <w:rPr>
          <w:rFonts w:ascii="Times New Roman" w:hAnsi="Times New Roman" w:cs="Times New Roman"/>
          <w:sz w:val="24"/>
          <w:szCs w:val="24"/>
        </w:rPr>
        <w:t>89,1</w:t>
      </w:r>
      <w:r w:rsidR="00174DBB" w:rsidRPr="00526AD1">
        <w:rPr>
          <w:rFonts w:ascii="Times New Roman" w:hAnsi="Times New Roman" w:cs="Times New Roman"/>
          <w:sz w:val="24"/>
          <w:szCs w:val="24"/>
        </w:rPr>
        <w:t xml:space="preserve">% </w:t>
      </w:r>
      <w:r w:rsidRPr="00526AD1">
        <w:rPr>
          <w:rFonts w:ascii="Times New Roman" w:hAnsi="Times New Roman" w:cs="Times New Roman"/>
          <w:sz w:val="24"/>
          <w:szCs w:val="24"/>
        </w:rPr>
        <w:t xml:space="preserve">manje </w:t>
      </w:r>
      <w:r w:rsidR="00174DBB" w:rsidRPr="00526AD1">
        <w:rPr>
          <w:rFonts w:ascii="Times New Roman" w:hAnsi="Times New Roman" w:cs="Times New Roman"/>
          <w:sz w:val="24"/>
          <w:szCs w:val="24"/>
        </w:rPr>
        <w:t xml:space="preserve">nego </w:t>
      </w:r>
      <w:r w:rsidR="00685BE8">
        <w:rPr>
          <w:rFonts w:ascii="Times New Roman" w:hAnsi="Times New Roman" w:cs="Times New Roman"/>
          <w:sz w:val="24"/>
          <w:szCs w:val="24"/>
        </w:rPr>
        <w:t>2018.</w:t>
      </w:r>
      <w:r w:rsidR="00174DBB" w:rsidRPr="00526AD1">
        <w:rPr>
          <w:rFonts w:ascii="Times New Roman" w:hAnsi="Times New Roman" w:cs="Times New Roman"/>
          <w:sz w:val="24"/>
          <w:szCs w:val="24"/>
        </w:rPr>
        <w:t xml:space="preserve"> godine</w:t>
      </w:r>
      <w:r w:rsidR="006A5A9B" w:rsidRPr="00526AD1">
        <w:rPr>
          <w:rFonts w:ascii="Times New Roman" w:hAnsi="Times New Roman" w:cs="Times New Roman"/>
          <w:sz w:val="24"/>
          <w:szCs w:val="24"/>
        </w:rPr>
        <w:t xml:space="preserve">, a odnose se na uplate od strane </w:t>
      </w:r>
      <w:r w:rsidR="006A5A9B" w:rsidRPr="00526AD1">
        <w:rPr>
          <w:rFonts w:ascii="Times New Roman" w:hAnsi="Times New Roman" w:cs="Times New Roman"/>
          <w:sz w:val="24"/>
          <w:szCs w:val="24"/>
        </w:rPr>
        <w:lastRenderedPageBreak/>
        <w:t xml:space="preserve">fizičkih i pravnih osoba </w:t>
      </w:r>
      <w:r w:rsidR="00515457" w:rsidRPr="00526AD1">
        <w:rPr>
          <w:rFonts w:ascii="Times New Roman" w:hAnsi="Times New Roman" w:cs="Times New Roman"/>
          <w:sz w:val="24"/>
          <w:szCs w:val="24"/>
        </w:rPr>
        <w:t>temeljem</w:t>
      </w:r>
      <w:r w:rsidR="006A5A9B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515457" w:rsidRPr="00526AD1">
        <w:rPr>
          <w:rFonts w:ascii="Times New Roman" w:hAnsi="Times New Roman" w:cs="Times New Roman"/>
          <w:sz w:val="24"/>
          <w:szCs w:val="24"/>
        </w:rPr>
        <w:t>u</w:t>
      </w:r>
      <w:r w:rsidR="006A5A9B" w:rsidRPr="00526AD1">
        <w:rPr>
          <w:rFonts w:ascii="Times New Roman" w:hAnsi="Times New Roman" w:cs="Times New Roman"/>
          <w:sz w:val="24"/>
          <w:szCs w:val="24"/>
        </w:rPr>
        <w:t>govor</w:t>
      </w:r>
      <w:r w:rsidR="00515457" w:rsidRPr="00526AD1">
        <w:rPr>
          <w:rFonts w:ascii="Times New Roman" w:hAnsi="Times New Roman" w:cs="Times New Roman"/>
          <w:sz w:val="24"/>
          <w:szCs w:val="24"/>
        </w:rPr>
        <w:t>a</w:t>
      </w:r>
      <w:r w:rsidR="006A5A9B" w:rsidRPr="00526AD1">
        <w:rPr>
          <w:rFonts w:ascii="Times New Roman" w:hAnsi="Times New Roman" w:cs="Times New Roman"/>
          <w:sz w:val="24"/>
          <w:szCs w:val="24"/>
        </w:rPr>
        <w:t xml:space="preserve"> o kupoprodaji poslovnog </w:t>
      </w:r>
      <w:r w:rsidR="006A5A9B" w:rsidRPr="001948C7">
        <w:rPr>
          <w:rFonts w:ascii="Times New Roman" w:hAnsi="Times New Roman" w:cs="Times New Roman"/>
          <w:sz w:val="24"/>
          <w:szCs w:val="24"/>
        </w:rPr>
        <w:t>prostora</w:t>
      </w:r>
      <w:r w:rsidR="001948C7">
        <w:rPr>
          <w:rFonts w:ascii="Times New Roman" w:hAnsi="Times New Roman" w:cs="Times New Roman"/>
          <w:sz w:val="24"/>
          <w:szCs w:val="24"/>
        </w:rPr>
        <w:t xml:space="preserve"> te</w:t>
      </w:r>
      <w:r w:rsidR="006A5A9B" w:rsidRPr="001948C7">
        <w:rPr>
          <w:rFonts w:ascii="Times New Roman" w:hAnsi="Times New Roman" w:cs="Times New Roman"/>
          <w:sz w:val="24"/>
          <w:szCs w:val="24"/>
        </w:rPr>
        <w:t xml:space="preserve"> otkupi garaža</w:t>
      </w:r>
      <w:r w:rsidR="001948C7">
        <w:rPr>
          <w:rFonts w:ascii="Times New Roman" w:hAnsi="Times New Roman" w:cs="Times New Roman"/>
          <w:sz w:val="24"/>
          <w:szCs w:val="24"/>
        </w:rPr>
        <w:t>.</w:t>
      </w:r>
      <w:r w:rsidR="006A5A9B" w:rsidRPr="003049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4998" w:rsidRPr="00304998">
        <w:rPr>
          <w:rFonts w:ascii="Times New Roman" w:hAnsi="Times New Roman" w:cs="Times New Roman"/>
          <w:sz w:val="24"/>
          <w:szCs w:val="24"/>
        </w:rPr>
        <w:t xml:space="preserve">Smanjenje od </w:t>
      </w:r>
      <w:r w:rsidR="00FC10C3">
        <w:rPr>
          <w:rFonts w:ascii="Times New Roman" w:hAnsi="Times New Roman" w:cs="Times New Roman"/>
          <w:sz w:val="24"/>
          <w:szCs w:val="24"/>
        </w:rPr>
        <w:t>1.768.550</w:t>
      </w:r>
      <w:r w:rsidR="00304998" w:rsidRPr="00304998">
        <w:rPr>
          <w:rFonts w:ascii="Times New Roman" w:hAnsi="Times New Roman" w:cs="Times New Roman"/>
          <w:sz w:val="24"/>
          <w:szCs w:val="24"/>
        </w:rPr>
        <w:t xml:space="preserve"> kn</w:t>
      </w:r>
      <w:r w:rsidR="00B40484">
        <w:rPr>
          <w:rFonts w:ascii="Times New Roman" w:hAnsi="Times New Roman" w:cs="Times New Roman"/>
          <w:sz w:val="24"/>
          <w:szCs w:val="24"/>
        </w:rPr>
        <w:t xml:space="preserve">, a rezultat je izostale prodaje </w:t>
      </w:r>
      <w:r w:rsidR="00FC10C3">
        <w:rPr>
          <w:rFonts w:ascii="Times New Roman" w:hAnsi="Times New Roman" w:cs="Times New Roman"/>
          <w:sz w:val="24"/>
          <w:szCs w:val="24"/>
        </w:rPr>
        <w:t xml:space="preserve">stambenih i </w:t>
      </w:r>
      <w:r w:rsidR="00B40484">
        <w:rPr>
          <w:rFonts w:ascii="Times New Roman" w:hAnsi="Times New Roman" w:cs="Times New Roman"/>
          <w:sz w:val="24"/>
          <w:szCs w:val="24"/>
        </w:rPr>
        <w:t>poslovnih objekata.</w:t>
      </w:r>
    </w:p>
    <w:p w:rsidR="00F546B9" w:rsidRPr="00526AD1" w:rsidRDefault="00F546B9" w:rsidP="00F546B9">
      <w:pPr>
        <w:pStyle w:val="Style20"/>
        <w:widowControl/>
        <w:spacing w:line="240" w:lineRule="auto"/>
        <w:rPr>
          <w:rFonts w:ascii="Times New Roman" w:hAnsi="Times New Roman" w:cs="Times New Roman"/>
          <w:b/>
        </w:rPr>
      </w:pPr>
    </w:p>
    <w:p w:rsidR="00BD46CE" w:rsidRDefault="00BD46C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D17E2" w:rsidRDefault="00426D9F" w:rsidP="00F546B9">
      <w:pPr>
        <w:pStyle w:val="Style20"/>
        <w:widowControl/>
        <w:spacing w:line="240" w:lineRule="auto"/>
        <w:rPr>
          <w:rFonts w:ascii="Times New Roman" w:hAnsi="Times New Roman" w:cs="Times New Roman"/>
        </w:rPr>
      </w:pPr>
      <w:r w:rsidRPr="00BD46CE">
        <w:rPr>
          <w:rFonts w:ascii="Times New Roman" w:hAnsi="Times New Roman" w:cs="Times New Roman"/>
          <w:b/>
        </w:rPr>
        <w:t>BILJEŠKA br. 31</w:t>
      </w:r>
      <w:r w:rsidR="009D17E2" w:rsidRPr="00BD46CE">
        <w:rPr>
          <w:rFonts w:ascii="Times New Roman" w:hAnsi="Times New Roman" w:cs="Times New Roman"/>
          <w:b/>
        </w:rPr>
        <w:t>.</w:t>
      </w:r>
      <w:r w:rsidR="009D17E2" w:rsidRPr="00526AD1">
        <w:rPr>
          <w:rFonts w:ascii="Times New Roman" w:hAnsi="Times New Roman" w:cs="Times New Roman"/>
        </w:rPr>
        <w:t xml:space="preserve"> </w:t>
      </w:r>
    </w:p>
    <w:p w:rsidR="00303020" w:rsidRPr="00526AD1" w:rsidRDefault="00303020" w:rsidP="00F546B9">
      <w:pPr>
        <w:pStyle w:val="Style20"/>
        <w:widowControl/>
        <w:spacing w:line="240" w:lineRule="auto"/>
        <w:rPr>
          <w:rFonts w:ascii="Times New Roman" w:hAnsi="Times New Roman" w:cs="Times New Roman"/>
        </w:rPr>
      </w:pPr>
    </w:p>
    <w:p w:rsidR="009D17E2" w:rsidRDefault="009D17E2" w:rsidP="00303020">
      <w:pPr>
        <w:pStyle w:val="Style20"/>
        <w:widowControl/>
        <w:spacing w:line="240" w:lineRule="auto"/>
        <w:contextualSpacing/>
        <w:rPr>
          <w:rFonts w:ascii="Times New Roman" w:hAnsi="Times New Roman" w:cs="Times New Roman"/>
          <w:b/>
        </w:rPr>
      </w:pPr>
      <w:r w:rsidRPr="00526AD1">
        <w:rPr>
          <w:rFonts w:ascii="Times New Roman" w:hAnsi="Times New Roman" w:cs="Times New Roman"/>
          <w:b/>
        </w:rPr>
        <w:t>Rashodi za nabavu nefinancijske imovine</w:t>
      </w:r>
    </w:p>
    <w:p w:rsidR="0095249B" w:rsidRPr="00526AD1" w:rsidRDefault="0095249B" w:rsidP="00303020">
      <w:pPr>
        <w:pStyle w:val="Style20"/>
        <w:widowControl/>
        <w:spacing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793" w:type="dxa"/>
        <w:jc w:val="center"/>
        <w:tblInd w:w="96" w:type="dxa"/>
        <w:tblLayout w:type="fixed"/>
        <w:tblLook w:val="04A0"/>
      </w:tblPr>
      <w:tblGrid>
        <w:gridCol w:w="863"/>
        <w:gridCol w:w="4252"/>
        <w:gridCol w:w="567"/>
        <w:gridCol w:w="1134"/>
        <w:gridCol w:w="1134"/>
        <w:gridCol w:w="709"/>
        <w:gridCol w:w="1134"/>
      </w:tblGrid>
      <w:tr w:rsidR="009D17E2" w:rsidRPr="00303020" w:rsidTr="00BD46CE">
        <w:trPr>
          <w:trHeight w:val="973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D17E2" w:rsidRPr="00303020" w:rsidRDefault="009D17E2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Razred/ Skupina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17E2" w:rsidRPr="00303020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17E2" w:rsidRPr="00303020" w:rsidRDefault="009D17E2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D17E2" w:rsidRPr="00303020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Ostvareno u izvještajnom razdoblju prethodne godine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D17E2" w:rsidRPr="00303020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Ostvareno u izvještajnom razdoblju tekuće godine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D17E2" w:rsidRPr="00303020" w:rsidRDefault="009D17E2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  <w:r w:rsidRPr="003030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br/>
              <w:t>(5/4)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17E2" w:rsidRPr="00303020" w:rsidRDefault="009D17E2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Povećanje / Smanjenje</w:t>
            </w:r>
          </w:p>
        </w:tc>
      </w:tr>
      <w:tr w:rsidR="009D17E2" w:rsidRPr="00303020" w:rsidTr="00BD46CE">
        <w:trPr>
          <w:trHeight w:val="1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9D17E2" w:rsidRPr="00BD46CE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D46C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D17E2" w:rsidRPr="00BD46CE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D46C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D17E2" w:rsidRPr="00BD46CE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D46C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D17E2" w:rsidRPr="00BD46CE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D46C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9D17E2" w:rsidRPr="00BD46CE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D46C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9D17E2" w:rsidRPr="00BD46CE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D46C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17E2" w:rsidRPr="00BD46CE" w:rsidRDefault="009D17E2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D46C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="003A7E83" w:rsidRPr="00BD46C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-</w:t>
            </w:r>
            <w:r w:rsidRPr="00BD46C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</w:tr>
      <w:tr w:rsidR="00F546B9" w:rsidRPr="00303020" w:rsidTr="00BD46CE">
        <w:trPr>
          <w:trHeight w:val="366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B9" w:rsidRPr="00303020" w:rsidRDefault="00F546B9" w:rsidP="00BD4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B9" w:rsidRPr="00303020" w:rsidRDefault="00F546B9" w:rsidP="00BD4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nabavu neproizvedene dug</w:t>
            </w:r>
            <w:r w:rsidR="00BD46C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otrajne </w:t>
            </w:r>
            <w:r w:rsidRPr="003030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imovine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B9" w:rsidRPr="00853D5A" w:rsidRDefault="00F546B9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B9" w:rsidRPr="00303020" w:rsidRDefault="00ED311D" w:rsidP="00F40A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4.891.821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B9" w:rsidRPr="00303020" w:rsidRDefault="00ED311D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3.409.304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B9" w:rsidRPr="00303020" w:rsidRDefault="00ED311D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69,7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6B9" w:rsidRPr="00303020" w:rsidRDefault="00ED311D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-1.482.517</w:t>
            </w:r>
          </w:p>
        </w:tc>
      </w:tr>
      <w:tr w:rsidR="00F546B9" w:rsidRPr="00303020" w:rsidTr="00BD46CE">
        <w:trPr>
          <w:trHeight w:val="285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B9" w:rsidRPr="00303020" w:rsidRDefault="00F546B9" w:rsidP="00BD4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B9" w:rsidRPr="00303020" w:rsidRDefault="00F546B9" w:rsidP="00BD4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nabavu proizvedene dug</w:t>
            </w:r>
            <w:r w:rsidR="00BD46C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otrajne </w:t>
            </w:r>
            <w:r w:rsidRPr="003030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imovine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B9" w:rsidRPr="00853D5A" w:rsidRDefault="00F546B9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B9" w:rsidRPr="00303020" w:rsidRDefault="00ED311D" w:rsidP="00F40A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41.346.374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B9" w:rsidRPr="00303020" w:rsidRDefault="00ED311D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25.501.013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B9" w:rsidRPr="00303020" w:rsidRDefault="00ED311D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6B9" w:rsidRPr="00303020" w:rsidRDefault="00ED311D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-15.845.361</w:t>
            </w:r>
          </w:p>
        </w:tc>
      </w:tr>
      <w:tr w:rsidR="00F546B9" w:rsidRPr="00303020" w:rsidTr="00BD46CE">
        <w:trPr>
          <w:trHeight w:val="248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B9" w:rsidRPr="00303020" w:rsidRDefault="00F546B9" w:rsidP="00BD4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B9" w:rsidRPr="00303020" w:rsidRDefault="00F546B9" w:rsidP="00BD4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dodatna ulaganja na nefinan</w:t>
            </w:r>
            <w:r w:rsidR="00BD46C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cijske </w:t>
            </w:r>
            <w:r w:rsidRPr="003030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imovini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B9" w:rsidRPr="00853D5A" w:rsidRDefault="00F546B9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B9" w:rsidRPr="00303020" w:rsidRDefault="00ED311D" w:rsidP="00F40A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5.740.044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B9" w:rsidRPr="00303020" w:rsidRDefault="00ED311D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6.724.326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B9" w:rsidRPr="00303020" w:rsidRDefault="00ED311D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6B9" w:rsidRPr="00303020" w:rsidRDefault="00ED311D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984.282</w:t>
            </w:r>
          </w:p>
        </w:tc>
      </w:tr>
      <w:tr w:rsidR="00F546B9" w:rsidRPr="00303020" w:rsidTr="00BD46CE">
        <w:trPr>
          <w:trHeight w:val="525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546B9" w:rsidRPr="00303020" w:rsidRDefault="00F546B9" w:rsidP="00BD4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546B9" w:rsidRPr="00303020" w:rsidRDefault="00F546B9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546B9" w:rsidRPr="00303020" w:rsidRDefault="00F546B9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546B9" w:rsidRPr="00303020" w:rsidRDefault="00ED311D" w:rsidP="00F40A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51.978.239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546B9" w:rsidRPr="00303020" w:rsidRDefault="00ED311D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35.634.643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546B9" w:rsidRPr="00303020" w:rsidRDefault="00ED311D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546B9" w:rsidRPr="00303020" w:rsidRDefault="00ED311D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-16.343.596</w:t>
            </w:r>
          </w:p>
        </w:tc>
      </w:tr>
    </w:tbl>
    <w:p w:rsidR="0060111E" w:rsidRPr="00526AD1" w:rsidRDefault="0060111E" w:rsidP="005F132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B9" w:rsidRPr="00526AD1" w:rsidRDefault="00174DBB" w:rsidP="0052542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RASHODI ZA NABAVU NEFINANCIJSKE IMOVINE</w:t>
      </w:r>
      <w:r w:rsidR="000E4453" w:rsidRPr="00526AD1">
        <w:rPr>
          <w:rFonts w:ascii="Times New Roman" w:hAnsi="Times New Roman" w:cs="Times New Roman"/>
          <w:sz w:val="24"/>
          <w:szCs w:val="24"/>
        </w:rPr>
        <w:t xml:space="preserve"> (AOP3</w:t>
      </w:r>
      <w:r w:rsidR="001B42E1" w:rsidRPr="00526AD1">
        <w:rPr>
          <w:rFonts w:ascii="Times New Roman" w:hAnsi="Times New Roman" w:cs="Times New Roman"/>
          <w:sz w:val="24"/>
          <w:szCs w:val="24"/>
        </w:rPr>
        <w:t>41</w:t>
      </w:r>
      <w:r w:rsidR="000E4453" w:rsidRPr="00526AD1">
        <w:rPr>
          <w:rFonts w:ascii="Times New Roman" w:hAnsi="Times New Roman" w:cs="Times New Roman"/>
          <w:sz w:val="24"/>
          <w:szCs w:val="24"/>
        </w:rPr>
        <w:t xml:space="preserve">) </w:t>
      </w:r>
      <w:r w:rsidR="003A7E83" w:rsidRPr="00526AD1">
        <w:rPr>
          <w:rFonts w:ascii="Times New Roman" w:hAnsi="Times New Roman" w:cs="Times New Roman"/>
          <w:sz w:val="24"/>
          <w:szCs w:val="24"/>
        </w:rPr>
        <w:t>-</w:t>
      </w:r>
      <w:r w:rsidR="001B42E1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0E4453" w:rsidRPr="00526AD1">
        <w:rPr>
          <w:rFonts w:ascii="Times New Roman" w:hAnsi="Times New Roman" w:cs="Times New Roman"/>
          <w:sz w:val="24"/>
          <w:szCs w:val="24"/>
        </w:rPr>
        <w:t>iznose</w:t>
      </w:r>
      <w:r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ED311D">
        <w:rPr>
          <w:rFonts w:ascii="Times New Roman" w:hAnsi="Times New Roman" w:cs="Times New Roman"/>
          <w:sz w:val="24"/>
          <w:szCs w:val="24"/>
        </w:rPr>
        <w:t>35.634.643</w:t>
      </w:r>
      <w:r w:rsidR="001B42E1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9D17E2" w:rsidRPr="00526AD1">
        <w:rPr>
          <w:rFonts w:ascii="Times New Roman" w:hAnsi="Times New Roman" w:cs="Times New Roman"/>
          <w:sz w:val="24"/>
          <w:szCs w:val="24"/>
        </w:rPr>
        <w:t>kn</w:t>
      </w:r>
      <w:r w:rsidR="000E4453" w:rsidRPr="00526AD1">
        <w:rPr>
          <w:rFonts w:ascii="Times New Roman" w:hAnsi="Times New Roman" w:cs="Times New Roman"/>
          <w:sz w:val="24"/>
          <w:szCs w:val="24"/>
        </w:rPr>
        <w:t xml:space="preserve"> i ostvareni su za </w:t>
      </w:r>
      <w:r w:rsidR="00ED311D">
        <w:rPr>
          <w:rFonts w:ascii="Times New Roman" w:hAnsi="Times New Roman" w:cs="Times New Roman"/>
          <w:sz w:val="24"/>
          <w:szCs w:val="24"/>
        </w:rPr>
        <w:t>31,4</w:t>
      </w:r>
      <w:r w:rsidR="000E4453" w:rsidRPr="00526AD1">
        <w:rPr>
          <w:rFonts w:ascii="Times New Roman" w:hAnsi="Times New Roman" w:cs="Times New Roman"/>
          <w:sz w:val="24"/>
          <w:szCs w:val="24"/>
        </w:rPr>
        <w:t xml:space="preserve">% </w:t>
      </w:r>
      <w:r w:rsidR="00F546B9" w:rsidRPr="00526AD1">
        <w:rPr>
          <w:rFonts w:ascii="Times New Roman" w:hAnsi="Times New Roman" w:cs="Times New Roman"/>
          <w:sz w:val="24"/>
          <w:szCs w:val="24"/>
        </w:rPr>
        <w:t>manje</w:t>
      </w:r>
      <w:r w:rsidR="000E4453" w:rsidRPr="00526AD1">
        <w:rPr>
          <w:rFonts w:ascii="Times New Roman" w:hAnsi="Times New Roman" w:cs="Times New Roman"/>
          <w:sz w:val="24"/>
          <w:szCs w:val="24"/>
        </w:rPr>
        <w:t xml:space="preserve"> nego u </w:t>
      </w:r>
      <w:r w:rsidR="00685BE8">
        <w:rPr>
          <w:rFonts w:ascii="Times New Roman" w:hAnsi="Times New Roman" w:cs="Times New Roman"/>
          <w:sz w:val="24"/>
          <w:szCs w:val="24"/>
        </w:rPr>
        <w:t>2018.</w:t>
      </w:r>
      <w:r w:rsidR="000E4453" w:rsidRPr="00526AD1">
        <w:rPr>
          <w:rFonts w:ascii="Times New Roman" w:hAnsi="Times New Roman" w:cs="Times New Roman"/>
          <w:sz w:val="24"/>
          <w:szCs w:val="24"/>
        </w:rPr>
        <w:t xml:space="preserve"> godini u istom izvještajnom razdoblju odnosno utrošeno je </w:t>
      </w:r>
      <w:r w:rsidR="00ED311D">
        <w:rPr>
          <w:rFonts w:ascii="Times New Roman" w:hAnsi="Times New Roman" w:cs="Times New Roman"/>
          <w:sz w:val="24"/>
          <w:szCs w:val="24"/>
        </w:rPr>
        <w:t>16.343.596</w:t>
      </w:r>
      <w:r w:rsidR="000E4453" w:rsidRPr="00526AD1">
        <w:rPr>
          <w:rFonts w:ascii="Times New Roman" w:hAnsi="Times New Roman" w:cs="Times New Roman"/>
          <w:sz w:val="24"/>
          <w:szCs w:val="24"/>
        </w:rPr>
        <w:t xml:space="preserve"> kn </w:t>
      </w:r>
      <w:r w:rsidR="00F546B9" w:rsidRPr="00526AD1">
        <w:rPr>
          <w:rFonts w:ascii="Times New Roman" w:hAnsi="Times New Roman" w:cs="Times New Roman"/>
          <w:sz w:val="24"/>
          <w:szCs w:val="24"/>
        </w:rPr>
        <w:t xml:space="preserve">manje </w:t>
      </w:r>
      <w:r w:rsidR="000E4453" w:rsidRPr="00526AD1">
        <w:rPr>
          <w:rFonts w:ascii="Times New Roman" w:hAnsi="Times New Roman" w:cs="Times New Roman"/>
          <w:sz w:val="24"/>
          <w:szCs w:val="24"/>
        </w:rPr>
        <w:t xml:space="preserve">nego </w:t>
      </w:r>
      <w:r w:rsidR="00685BE8">
        <w:rPr>
          <w:rFonts w:ascii="Times New Roman" w:hAnsi="Times New Roman" w:cs="Times New Roman"/>
          <w:sz w:val="24"/>
          <w:szCs w:val="24"/>
        </w:rPr>
        <w:t>2018.</w:t>
      </w:r>
      <w:r w:rsidR="000E4453" w:rsidRPr="00526AD1">
        <w:rPr>
          <w:rFonts w:ascii="Times New Roman" w:hAnsi="Times New Roman" w:cs="Times New Roman"/>
          <w:sz w:val="24"/>
          <w:szCs w:val="24"/>
        </w:rPr>
        <w:t xml:space="preserve"> godine.</w:t>
      </w:r>
      <w:r w:rsidR="006A5A9B" w:rsidRPr="00526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6B9" w:rsidRDefault="00F546B9" w:rsidP="0052542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249B" w:rsidRPr="00526AD1" w:rsidRDefault="0095249B" w:rsidP="00BD46C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B9" w:rsidRDefault="00426D9F" w:rsidP="00BD46C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BD46CE">
        <w:rPr>
          <w:rFonts w:ascii="Times New Roman" w:hAnsi="Times New Roman" w:cs="Times New Roman"/>
          <w:b/>
        </w:rPr>
        <w:t>BILJEŠKA br. 32</w:t>
      </w:r>
      <w:r w:rsidR="00F546B9" w:rsidRPr="00BD46CE">
        <w:rPr>
          <w:rFonts w:ascii="Times New Roman" w:hAnsi="Times New Roman" w:cs="Times New Roman"/>
          <w:b/>
        </w:rPr>
        <w:t>.</w:t>
      </w:r>
      <w:r w:rsidR="00F546B9" w:rsidRPr="00526AD1">
        <w:rPr>
          <w:rFonts w:ascii="Times New Roman" w:hAnsi="Times New Roman" w:cs="Times New Roman"/>
        </w:rPr>
        <w:t xml:space="preserve"> </w:t>
      </w:r>
    </w:p>
    <w:p w:rsidR="0095249B" w:rsidRPr="00526AD1" w:rsidRDefault="0095249B" w:rsidP="00BD46C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:rsidR="002D2E26" w:rsidRPr="001715D7" w:rsidRDefault="00F546B9" w:rsidP="00BD46C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Rashodi</w:t>
      </w:r>
      <w:r w:rsidR="006A5A9B" w:rsidRPr="00526AD1">
        <w:rPr>
          <w:rFonts w:ascii="Times New Roman" w:hAnsi="Times New Roman" w:cs="Times New Roman"/>
          <w:sz w:val="24"/>
          <w:szCs w:val="24"/>
        </w:rPr>
        <w:t xml:space="preserve"> za nabavu </w:t>
      </w:r>
      <w:r w:rsidRPr="00526AD1">
        <w:rPr>
          <w:rFonts w:ascii="Times New Roman" w:hAnsi="Times New Roman" w:cs="Times New Roman"/>
          <w:sz w:val="24"/>
          <w:szCs w:val="24"/>
        </w:rPr>
        <w:t>ne</w:t>
      </w:r>
      <w:r w:rsidR="006A5A9B" w:rsidRPr="00526AD1">
        <w:rPr>
          <w:rFonts w:ascii="Times New Roman" w:hAnsi="Times New Roman" w:cs="Times New Roman"/>
          <w:sz w:val="24"/>
          <w:szCs w:val="24"/>
        </w:rPr>
        <w:t>proizvedene dugotrajne imovine</w:t>
      </w:r>
      <w:r w:rsidR="00E23CA1" w:rsidRPr="00526AD1">
        <w:rPr>
          <w:rFonts w:ascii="Times New Roman" w:hAnsi="Times New Roman" w:cs="Times New Roman"/>
          <w:sz w:val="24"/>
          <w:szCs w:val="24"/>
        </w:rPr>
        <w:t xml:space="preserve"> (AOP</w:t>
      </w:r>
      <w:r w:rsidR="001B42E1" w:rsidRPr="00526AD1">
        <w:rPr>
          <w:rFonts w:ascii="Times New Roman" w:hAnsi="Times New Roman" w:cs="Times New Roman"/>
          <w:sz w:val="24"/>
          <w:szCs w:val="24"/>
        </w:rPr>
        <w:t>3</w:t>
      </w:r>
      <w:r w:rsidRPr="00526AD1">
        <w:rPr>
          <w:rFonts w:ascii="Times New Roman" w:hAnsi="Times New Roman" w:cs="Times New Roman"/>
          <w:sz w:val="24"/>
          <w:szCs w:val="24"/>
        </w:rPr>
        <w:t>42</w:t>
      </w:r>
      <w:r w:rsidR="002D2E26">
        <w:rPr>
          <w:rFonts w:ascii="Times New Roman" w:hAnsi="Times New Roman" w:cs="Times New Roman"/>
          <w:sz w:val="24"/>
          <w:szCs w:val="24"/>
        </w:rPr>
        <w:t xml:space="preserve">) - </w:t>
      </w:r>
      <w:r w:rsidRPr="00526AD1">
        <w:rPr>
          <w:rFonts w:ascii="Times New Roman" w:hAnsi="Times New Roman" w:cs="Times New Roman"/>
          <w:sz w:val="24"/>
          <w:szCs w:val="24"/>
        </w:rPr>
        <w:t xml:space="preserve">iznose </w:t>
      </w:r>
      <w:r w:rsidR="001715D7">
        <w:rPr>
          <w:rFonts w:ascii="Times New Roman" w:hAnsi="Times New Roman" w:cs="Times New Roman"/>
          <w:sz w:val="24"/>
          <w:szCs w:val="24"/>
        </w:rPr>
        <w:t>3.409.304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kn, a</w:t>
      </w:r>
      <w:r w:rsidR="002D2E26">
        <w:rPr>
          <w:rFonts w:ascii="Times New Roman" w:hAnsi="Times New Roman" w:cs="Times New Roman"/>
          <w:sz w:val="24"/>
          <w:szCs w:val="24"/>
        </w:rPr>
        <w:t xml:space="preserve"> odnose se na rashod za kupnju</w:t>
      </w:r>
      <w:r w:rsidR="001715D7">
        <w:rPr>
          <w:rFonts w:ascii="Times New Roman" w:hAnsi="Times New Roman" w:cs="Times New Roman"/>
          <w:sz w:val="24"/>
          <w:szCs w:val="24"/>
        </w:rPr>
        <w:t xml:space="preserve"> </w:t>
      </w:r>
      <w:r w:rsidR="001715D7" w:rsidRPr="00BD46CE">
        <w:rPr>
          <w:rFonts w:ascii="Times New Roman" w:hAnsi="Times New Roman" w:cs="Times New Roman"/>
          <w:sz w:val="24"/>
          <w:szCs w:val="24"/>
        </w:rPr>
        <w:t>zemljišta</w:t>
      </w:r>
      <w:r w:rsidRPr="00BD46CE">
        <w:rPr>
          <w:rFonts w:ascii="Times New Roman" w:hAnsi="Times New Roman" w:cs="Times New Roman"/>
          <w:sz w:val="24"/>
          <w:szCs w:val="24"/>
        </w:rPr>
        <w:t xml:space="preserve"> </w:t>
      </w:r>
      <w:r w:rsidR="001715D7" w:rsidRPr="00BD46CE">
        <w:rPr>
          <w:rFonts w:ascii="Times New Roman" w:hAnsi="Times New Roman" w:cs="Times New Roman"/>
          <w:sz w:val="24"/>
          <w:szCs w:val="24"/>
        </w:rPr>
        <w:t xml:space="preserve">za potrebe gradnje za što je </w:t>
      </w:r>
      <w:r w:rsidR="002D2E26" w:rsidRPr="00BD46CE">
        <w:rPr>
          <w:rFonts w:ascii="Times New Roman" w:hAnsi="Times New Roman" w:cs="Times New Roman"/>
          <w:sz w:val="24"/>
          <w:szCs w:val="24"/>
        </w:rPr>
        <w:t xml:space="preserve">utrošeno </w:t>
      </w:r>
      <w:r w:rsidR="001715D7" w:rsidRPr="00BD46CE">
        <w:rPr>
          <w:rFonts w:ascii="Times New Roman" w:hAnsi="Times New Roman" w:cs="Times New Roman"/>
          <w:sz w:val="24"/>
          <w:szCs w:val="24"/>
        </w:rPr>
        <w:t>1.482.517</w:t>
      </w:r>
      <w:r w:rsidRPr="00BD46CE">
        <w:rPr>
          <w:rFonts w:ascii="Times New Roman" w:hAnsi="Times New Roman" w:cs="Times New Roman"/>
          <w:sz w:val="24"/>
          <w:szCs w:val="24"/>
        </w:rPr>
        <w:t xml:space="preserve"> kn</w:t>
      </w:r>
      <w:r w:rsidR="002D2E26" w:rsidRPr="00BD46CE">
        <w:rPr>
          <w:rFonts w:ascii="Times New Roman" w:hAnsi="Times New Roman" w:cs="Times New Roman"/>
          <w:sz w:val="24"/>
          <w:szCs w:val="24"/>
        </w:rPr>
        <w:t xml:space="preserve"> </w:t>
      </w:r>
      <w:r w:rsidR="001715D7" w:rsidRPr="00BD46CE">
        <w:rPr>
          <w:rFonts w:ascii="Times New Roman" w:hAnsi="Times New Roman" w:cs="Times New Roman"/>
          <w:sz w:val="24"/>
          <w:szCs w:val="24"/>
        </w:rPr>
        <w:t>manje</w:t>
      </w:r>
      <w:r w:rsidR="002D2E26" w:rsidRPr="00BD46CE">
        <w:rPr>
          <w:rFonts w:ascii="Times New Roman" w:hAnsi="Times New Roman" w:cs="Times New Roman"/>
          <w:sz w:val="24"/>
          <w:szCs w:val="24"/>
        </w:rPr>
        <w:t xml:space="preserve"> nego u </w:t>
      </w:r>
      <w:r w:rsidR="00685BE8" w:rsidRPr="00BD46CE">
        <w:rPr>
          <w:rFonts w:ascii="Times New Roman" w:hAnsi="Times New Roman" w:cs="Times New Roman"/>
          <w:sz w:val="24"/>
          <w:szCs w:val="24"/>
        </w:rPr>
        <w:t>2018.</w:t>
      </w:r>
      <w:r w:rsidR="002D2E26" w:rsidRPr="00BD46CE">
        <w:rPr>
          <w:rFonts w:ascii="Times New Roman" w:hAnsi="Times New Roman" w:cs="Times New Roman"/>
          <w:sz w:val="24"/>
          <w:szCs w:val="24"/>
        </w:rPr>
        <w:t xml:space="preserve"> godini</w:t>
      </w:r>
      <w:r w:rsidR="00BD46CE" w:rsidRPr="00BD46CE">
        <w:rPr>
          <w:rFonts w:ascii="Times New Roman" w:hAnsi="Times New Roman" w:cs="Times New Roman"/>
          <w:sz w:val="24"/>
          <w:szCs w:val="24"/>
        </w:rPr>
        <w:t>, a čine 9,6% ukupnih rashoda za nabavu nefinancijske imovine.</w:t>
      </w:r>
    </w:p>
    <w:p w:rsidR="00221600" w:rsidRPr="001715D7" w:rsidRDefault="00221600" w:rsidP="00BD46CE">
      <w:pPr>
        <w:spacing w:after="0"/>
        <w:ind w:left="360"/>
        <w:contextualSpacing/>
        <w:jc w:val="both"/>
        <w:rPr>
          <w:rFonts w:ascii="Times New Roman" w:hAnsi="Times New Roman" w:cs="Times New Roman"/>
          <w:b/>
        </w:rPr>
      </w:pPr>
    </w:p>
    <w:p w:rsidR="0095249B" w:rsidRPr="00526AD1" w:rsidRDefault="0095249B" w:rsidP="00BD46CE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F546B9" w:rsidRDefault="00F546B9" w:rsidP="00BD46C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6CE">
        <w:rPr>
          <w:rFonts w:ascii="Times New Roman" w:hAnsi="Times New Roman" w:cs="Times New Roman"/>
          <w:b/>
          <w:sz w:val="24"/>
          <w:szCs w:val="24"/>
        </w:rPr>
        <w:t xml:space="preserve">BILJEŠKA br. </w:t>
      </w:r>
      <w:r w:rsidR="00426D9F" w:rsidRPr="00BD46CE">
        <w:rPr>
          <w:rFonts w:ascii="Times New Roman" w:hAnsi="Times New Roman" w:cs="Times New Roman"/>
          <w:b/>
          <w:sz w:val="24"/>
          <w:szCs w:val="24"/>
        </w:rPr>
        <w:t>33</w:t>
      </w:r>
      <w:r w:rsidRPr="00BD46CE">
        <w:rPr>
          <w:rFonts w:ascii="Times New Roman" w:hAnsi="Times New Roman" w:cs="Times New Roman"/>
          <w:b/>
          <w:sz w:val="24"/>
          <w:szCs w:val="24"/>
        </w:rPr>
        <w:t>.</w:t>
      </w:r>
      <w:r w:rsidRPr="00526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49B" w:rsidRPr="00526AD1" w:rsidRDefault="0095249B" w:rsidP="00BD46C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2E26" w:rsidRDefault="00F546B9" w:rsidP="00BD46C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526AD1">
        <w:rPr>
          <w:rFonts w:ascii="Times New Roman" w:hAnsi="Times New Roman" w:cs="Times New Roman"/>
        </w:rPr>
        <w:t>Rashodi za nabavu proizvedene dugotrajne imovine (AOP354)</w:t>
      </w:r>
      <w:r w:rsidR="002D2E26">
        <w:rPr>
          <w:rFonts w:ascii="Times New Roman" w:hAnsi="Times New Roman" w:cs="Times New Roman"/>
        </w:rPr>
        <w:t xml:space="preserve"> -</w:t>
      </w:r>
      <w:r w:rsidRPr="00526AD1">
        <w:rPr>
          <w:rFonts w:ascii="Times New Roman" w:hAnsi="Times New Roman" w:cs="Times New Roman"/>
        </w:rPr>
        <w:t xml:space="preserve"> ostvareni su u iznosu od </w:t>
      </w:r>
      <w:r w:rsidR="001715D7">
        <w:rPr>
          <w:rFonts w:ascii="Times New Roman" w:hAnsi="Times New Roman" w:cs="Times New Roman"/>
        </w:rPr>
        <w:t>25.501.013</w:t>
      </w:r>
      <w:r w:rsidRPr="00526AD1">
        <w:rPr>
          <w:rFonts w:ascii="Times New Roman" w:hAnsi="Times New Roman" w:cs="Times New Roman"/>
        </w:rPr>
        <w:t xml:space="preserve"> kn i čine </w:t>
      </w:r>
      <w:r w:rsidR="001715D7">
        <w:rPr>
          <w:rFonts w:ascii="Times New Roman" w:hAnsi="Times New Roman" w:cs="Times New Roman"/>
        </w:rPr>
        <w:t>71,6</w:t>
      </w:r>
      <w:r w:rsidRPr="00526AD1">
        <w:rPr>
          <w:rFonts w:ascii="Times New Roman" w:hAnsi="Times New Roman" w:cs="Times New Roman"/>
        </w:rPr>
        <w:t xml:space="preserve">% ukupnih rashoda za nabavu nefinancijske imovine. </w:t>
      </w:r>
    </w:p>
    <w:p w:rsidR="00392A71" w:rsidRDefault="00392A71" w:rsidP="00BD46C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:rsidR="00F546B9" w:rsidRPr="00526AD1" w:rsidRDefault="00F546B9" w:rsidP="00BD46C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526AD1">
        <w:rPr>
          <w:rFonts w:ascii="Times New Roman" w:hAnsi="Times New Roman" w:cs="Times New Roman"/>
        </w:rPr>
        <w:t>Smanjenje rashoda zabilježeno je kod odjeljka:</w:t>
      </w:r>
    </w:p>
    <w:p w:rsidR="00F546B9" w:rsidRDefault="00F546B9" w:rsidP="00BD46CE">
      <w:pPr>
        <w:pStyle w:val="Style20"/>
        <w:widowControl/>
        <w:numPr>
          <w:ilvl w:val="0"/>
          <w:numId w:val="16"/>
        </w:numPr>
        <w:spacing w:line="276" w:lineRule="auto"/>
        <w:contextualSpacing/>
        <w:rPr>
          <w:rFonts w:ascii="Times New Roman" w:hAnsi="Times New Roman" w:cs="Times New Roman"/>
        </w:rPr>
      </w:pPr>
      <w:r w:rsidRPr="00526AD1">
        <w:rPr>
          <w:rFonts w:ascii="Times New Roman" w:hAnsi="Times New Roman" w:cs="Times New Roman"/>
        </w:rPr>
        <w:t xml:space="preserve">Ceste, željeznice i ostali prometni objekti (AOP358) - ostvareni su u iznosu od </w:t>
      </w:r>
      <w:r w:rsidR="001715D7">
        <w:rPr>
          <w:rFonts w:ascii="Times New Roman" w:hAnsi="Times New Roman" w:cs="Times New Roman"/>
        </w:rPr>
        <w:t>14.276.790</w:t>
      </w:r>
      <w:r w:rsidRPr="00526AD1">
        <w:rPr>
          <w:rFonts w:ascii="Times New Roman" w:hAnsi="Times New Roman" w:cs="Times New Roman"/>
        </w:rPr>
        <w:t xml:space="preserve"> kn odnosno za </w:t>
      </w:r>
      <w:r w:rsidR="001715D7">
        <w:rPr>
          <w:rFonts w:ascii="Times New Roman" w:hAnsi="Times New Roman" w:cs="Times New Roman"/>
        </w:rPr>
        <w:t>17.579.615</w:t>
      </w:r>
      <w:r w:rsidRPr="00526AD1">
        <w:rPr>
          <w:rFonts w:ascii="Times New Roman" w:hAnsi="Times New Roman" w:cs="Times New Roman"/>
        </w:rPr>
        <w:t xml:space="preserve"> kn manje je utrošeno nego u </w:t>
      </w:r>
      <w:r w:rsidR="00685BE8">
        <w:rPr>
          <w:rFonts w:ascii="Times New Roman" w:hAnsi="Times New Roman" w:cs="Times New Roman"/>
        </w:rPr>
        <w:t>2018.</w:t>
      </w:r>
      <w:r w:rsidRPr="00526AD1">
        <w:rPr>
          <w:rFonts w:ascii="Times New Roman" w:hAnsi="Times New Roman" w:cs="Times New Roman"/>
        </w:rPr>
        <w:t xml:space="preserve"> godini. Najveći dio navedenih rashoda ostvaren je temeljem Programa gradnje </w:t>
      </w:r>
      <w:r w:rsidR="00426D9F" w:rsidRPr="00526AD1">
        <w:rPr>
          <w:rFonts w:ascii="Times New Roman" w:hAnsi="Times New Roman" w:cs="Times New Roman"/>
        </w:rPr>
        <w:t>komunalne infrastrukture;</w:t>
      </w:r>
      <w:r w:rsidRPr="00526AD1">
        <w:rPr>
          <w:rFonts w:ascii="Times New Roman" w:hAnsi="Times New Roman" w:cs="Times New Roman"/>
        </w:rPr>
        <w:t xml:space="preserve"> </w:t>
      </w:r>
    </w:p>
    <w:p w:rsidR="001715D7" w:rsidRPr="00526AD1" w:rsidRDefault="001715D7" w:rsidP="00BD46CE">
      <w:pPr>
        <w:pStyle w:val="Style20"/>
        <w:widowControl/>
        <w:numPr>
          <w:ilvl w:val="0"/>
          <w:numId w:val="16"/>
        </w:numPr>
        <w:spacing w:line="276" w:lineRule="auto"/>
        <w:contextualSpacing/>
        <w:rPr>
          <w:rFonts w:ascii="Times New Roman" w:hAnsi="Times New Roman" w:cs="Times New Roman"/>
        </w:rPr>
      </w:pPr>
      <w:r w:rsidRPr="00526AD1">
        <w:rPr>
          <w:rFonts w:ascii="Times New Roman" w:hAnsi="Times New Roman" w:cs="Times New Roman"/>
        </w:rPr>
        <w:t>Uredska oprema i namještaj (AOP361)</w:t>
      </w:r>
      <w:r>
        <w:rPr>
          <w:rFonts w:ascii="Times New Roman" w:hAnsi="Times New Roman" w:cs="Times New Roman"/>
        </w:rPr>
        <w:t xml:space="preserve"> </w:t>
      </w:r>
      <w:r w:rsidRPr="00526AD1">
        <w:rPr>
          <w:rFonts w:ascii="Times New Roman" w:hAnsi="Times New Roman" w:cs="Times New Roman"/>
        </w:rPr>
        <w:t xml:space="preserve">- iznosi </w:t>
      </w:r>
      <w:r>
        <w:rPr>
          <w:rFonts w:ascii="Times New Roman" w:hAnsi="Times New Roman" w:cs="Times New Roman"/>
        </w:rPr>
        <w:t>247.519</w:t>
      </w:r>
      <w:r w:rsidRPr="00526AD1">
        <w:rPr>
          <w:rFonts w:ascii="Times New Roman" w:hAnsi="Times New Roman" w:cs="Times New Roman"/>
        </w:rPr>
        <w:t xml:space="preserve"> kn dok je u Bruto bilanci Grada iskazan je iznos od </w:t>
      </w:r>
      <w:r>
        <w:rPr>
          <w:rFonts w:ascii="Times New Roman" w:hAnsi="Times New Roman" w:cs="Times New Roman"/>
        </w:rPr>
        <w:t>263.462</w:t>
      </w:r>
      <w:r w:rsidRPr="00526AD1">
        <w:rPr>
          <w:rFonts w:ascii="Times New Roman" w:hAnsi="Times New Roman" w:cs="Times New Roman"/>
        </w:rPr>
        <w:t xml:space="preserve"> kn. Razliku od </w:t>
      </w:r>
      <w:r>
        <w:rPr>
          <w:rFonts w:ascii="Times New Roman" w:hAnsi="Times New Roman" w:cs="Times New Roman"/>
        </w:rPr>
        <w:t>15.94</w:t>
      </w:r>
      <w:r w:rsidR="00C32A17">
        <w:rPr>
          <w:rFonts w:ascii="Times New Roman" w:hAnsi="Times New Roman" w:cs="Times New Roman"/>
        </w:rPr>
        <w:t>3</w:t>
      </w:r>
      <w:r w:rsidRPr="00526AD1">
        <w:rPr>
          <w:rFonts w:ascii="Times New Roman" w:hAnsi="Times New Roman" w:cs="Times New Roman"/>
        </w:rPr>
        <w:t xml:space="preserve"> kn čine dva računa proračunskog korisnika koj</w:t>
      </w:r>
      <w:r>
        <w:rPr>
          <w:rFonts w:ascii="Times New Roman" w:hAnsi="Times New Roman" w:cs="Times New Roman"/>
        </w:rPr>
        <w:t>a</w:t>
      </w:r>
      <w:r w:rsidRPr="00526AD1">
        <w:rPr>
          <w:rFonts w:ascii="Times New Roman" w:hAnsi="Times New Roman" w:cs="Times New Roman"/>
        </w:rPr>
        <w:t xml:space="preserve"> su plaćen</w:t>
      </w:r>
      <w:r>
        <w:rPr>
          <w:rFonts w:ascii="Times New Roman" w:hAnsi="Times New Roman" w:cs="Times New Roman"/>
        </w:rPr>
        <w:t>a</w:t>
      </w:r>
      <w:r w:rsidRPr="00526AD1">
        <w:rPr>
          <w:rFonts w:ascii="Times New Roman" w:hAnsi="Times New Roman" w:cs="Times New Roman"/>
        </w:rPr>
        <w:t xml:space="preserve"> iz sredstava decentralizacije, a u izvještaju </w:t>
      </w:r>
      <w:r>
        <w:rPr>
          <w:rFonts w:ascii="Times New Roman" w:hAnsi="Times New Roman" w:cs="Times New Roman"/>
        </w:rPr>
        <w:t xml:space="preserve">su </w:t>
      </w:r>
      <w:r w:rsidRPr="00526AD1">
        <w:rPr>
          <w:rFonts w:ascii="Times New Roman" w:hAnsi="Times New Roman" w:cs="Times New Roman"/>
        </w:rPr>
        <w:t>iskazan</w:t>
      </w:r>
      <w:r w:rsidR="00C32A17">
        <w:rPr>
          <w:rFonts w:ascii="Times New Roman" w:hAnsi="Times New Roman" w:cs="Times New Roman"/>
        </w:rPr>
        <w:t>a u podatku 367-</w:t>
      </w:r>
      <w:r w:rsidRPr="00526AD1">
        <w:rPr>
          <w:rFonts w:ascii="Times New Roman" w:hAnsi="Times New Roman" w:cs="Times New Roman"/>
        </w:rPr>
        <w:t xml:space="preserve">Prijenosi proračunskim korisnicima iz nadležnog proračuna za financiranje redovne </w:t>
      </w:r>
      <w:r w:rsidRPr="00526AD1">
        <w:rPr>
          <w:rFonts w:ascii="Times New Roman" w:hAnsi="Times New Roman" w:cs="Times New Roman"/>
        </w:rPr>
        <w:lastRenderedPageBreak/>
        <w:t>djelatnosti. Računi su izdani na ime proračunskog korisnika.</w:t>
      </w:r>
      <w:r>
        <w:rPr>
          <w:rFonts w:ascii="Times New Roman" w:hAnsi="Times New Roman" w:cs="Times New Roman"/>
        </w:rPr>
        <w:t xml:space="preserve"> Evidentiran pad ove vrste rashoda rezultat je smanjene potrebe za uredskim namještajem.</w:t>
      </w:r>
    </w:p>
    <w:p w:rsidR="001715D7" w:rsidRPr="001715D7" w:rsidRDefault="001715D7" w:rsidP="00BD46C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1715D7">
        <w:rPr>
          <w:rFonts w:ascii="Times New Roman" w:hAnsi="Times New Roman" w:cs="Times New Roman"/>
          <w:sz w:val="24"/>
          <w:szCs w:val="24"/>
        </w:rPr>
        <w:t>Umjetnička, literarna i znanstvena djela (AOP385) - iznose 528.113 kn i za 26,8% ili 193.363 kn ostvareno je manje nego u 2018. godini u istom ra</w:t>
      </w:r>
      <w:r>
        <w:rPr>
          <w:rFonts w:ascii="Times New Roman" w:hAnsi="Times New Roman" w:cs="Times New Roman"/>
          <w:sz w:val="24"/>
          <w:szCs w:val="24"/>
        </w:rPr>
        <w:t>zdoblju izvještavanja, a smanjenje rashoda se odnosi</w:t>
      </w:r>
      <w:r w:rsidRPr="001715D7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rashod za </w:t>
      </w:r>
      <w:r w:rsidRPr="001715D7">
        <w:rPr>
          <w:rFonts w:ascii="Times New Roman" w:hAnsi="Times New Roman" w:cs="Times New Roman"/>
          <w:sz w:val="24"/>
          <w:szCs w:val="24"/>
        </w:rPr>
        <w:t>dokumente prostorn</w:t>
      </w:r>
      <w:r>
        <w:rPr>
          <w:rFonts w:ascii="Times New Roman" w:hAnsi="Times New Roman" w:cs="Times New Roman"/>
          <w:sz w:val="24"/>
          <w:szCs w:val="24"/>
        </w:rPr>
        <w:t>og uređenja (prostorni planovi) te</w:t>
      </w:r>
      <w:r w:rsidRPr="001715D7">
        <w:rPr>
          <w:rFonts w:ascii="Times New Roman" w:hAnsi="Times New Roman" w:cs="Times New Roman"/>
          <w:sz w:val="24"/>
          <w:szCs w:val="24"/>
        </w:rPr>
        <w:t xml:space="preserve"> stavljanje izvan snage PUP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1715D7">
        <w:rPr>
          <w:rFonts w:ascii="Times New Roman" w:hAnsi="Times New Roman" w:cs="Times New Roman"/>
          <w:sz w:val="24"/>
          <w:szCs w:val="24"/>
        </w:rPr>
        <w:t xml:space="preserve"> Stari Grad i s tim u vezi izmjene i dopune PPUG i GUP</w:t>
      </w:r>
      <w:r>
        <w:rPr>
          <w:rFonts w:ascii="Times New Roman" w:hAnsi="Times New Roman" w:cs="Times New Roman"/>
          <w:sz w:val="24"/>
          <w:szCs w:val="24"/>
        </w:rPr>
        <w:t>-a.</w:t>
      </w:r>
    </w:p>
    <w:p w:rsidR="001715D7" w:rsidRDefault="001715D7" w:rsidP="00BD46CE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1715D7" w:rsidRDefault="001715D7" w:rsidP="00BD46C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526AD1">
        <w:rPr>
          <w:rFonts w:ascii="Times New Roman" w:hAnsi="Times New Roman" w:cs="Times New Roman"/>
        </w:rPr>
        <w:t>Najznačajnije povećanje rashoda zabilježeno je kod odjeljka</w:t>
      </w:r>
      <w:r>
        <w:rPr>
          <w:rFonts w:ascii="Times New Roman" w:hAnsi="Times New Roman" w:cs="Times New Roman"/>
        </w:rPr>
        <w:t>:</w:t>
      </w:r>
    </w:p>
    <w:p w:rsidR="001715D7" w:rsidRPr="001715D7" w:rsidRDefault="001715D7" w:rsidP="00BD46CE">
      <w:pPr>
        <w:pStyle w:val="Style20"/>
        <w:widowControl/>
        <w:numPr>
          <w:ilvl w:val="0"/>
          <w:numId w:val="17"/>
        </w:numPr>
        <w:spacing w:line="276" w:lineRule="auto"/>
        <w:contextualSpacing/>
        <w:rPr>
          <w:rFonts w:ascii="Times New Roman" w:hAnsi="Times New Roman" w:cs="Times New Roman"/>
        </w:rPr>
      </w:pPr>
      <w:r w:rsidRPr="001715D7">
        <w:rPr>
          <w:rFonts w:ascii="Times New Roman" w:hAnsi="Times New Roman" w:cs="Times New Roman"/>
        </w:rPr>
        <w:t xml:space="preserve">Stambeni </w:t>
      </w:r>
      <w:r w:rsidR="00C32A17">
        <w:rPr>
          <w:rFonts w:ascii="Times New Roman" w:hAnsi="Times New Roman" w:cs="Times New Roman"/>
        </w:rPr>
        <w:t>objekti (AOP356) -</w:t>
      </w:r>
      <w:r w:rsidRPr="001715D7">
        <w:rPr>
          <w:rFonts w:ascii="Times New Roman" w:hAnsi="Times New Roman" w:cs="Times New Roman"/>
        </w:rPr>
        <w:t xml:space="preserve"> iznose 1.313.602 kn i za 64,9% ili 516.951 kn više nego u istom izvještajnom razdoblju 2018. godine, zbog kupnje dva stambena objekta.</w:t>
      </w:r>
    </w:p>
    <w:p w:rsidR="001715D7" w:rsidRDefault="001715D7" w:rsidP="00BD46CE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F0">
        <w:rPr>
          <w:rFonts w:ascii="Times New Roman" w:hAnsi="Times New Roman" w:cs="Times New Roman"/>
          <w:sz w:val="24"/>
          <w:szCs w:val="24"/>
        </w:rPr>
        <w:t xml:space="preserve">Ostali građevinski objekti (AOP359) - iznose </w:t>
      </w:r>
      <w:r w:rsidR="00C32A17">
        <w:rPr>
          <w:rFonts w:ascii="Times New Roman" w:hAnsi="Times New Roman" w:cs="Times New Roman"/>
          <w:sz w:val="24"/>
          <w:szCs w:val="24"/>
        </w:rPr>
        <w:t xml:space="preserve">4.866.601 </w:t>
      </w:r>
      <w:r w:rsidRPr="005F30F0">
        <w:rPr>
          <w:rFonts w:ascii="Times New Roman" w:hAnsi="Times New Roman" w:cs="Times New Roman"/>
          <w:sz w:val="24"/>
          <w:szCs w:val="24"/>
        </w:rPr>
        <w:t xml:space="preserve">kn što je za </w:t>
      </w:r>
      <w:r>
        <w:rPr>
          <w:rFonts w:ascii="Times New Roman" w:hAnsi="Times New Roman" w:cs="Times New Roman"/>
          <w:sz w:val="24"/>
          <w:szCs w:val="24"/>
        </w:rPr>
        <w:t>24,9</w:t>
      </w:r>
      <w:r w:rsidRPr="005F30F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više </w:t>
      </w:r>
      <w:r w:rsidRPr="005F30F0">
        <w:rPr>
          <w:rFonts w:ascii="Times New Roman" w:hAnsi="Times New Roman" w:cs="Times New Roman"/>
          <w:sz w:val="24"/>
          <w:szCs w:val="24"/>
        </w:rPr>
        <w:t>nego u i</w:t>
      </w:r>
      <w:r>
        <w:rPr>
          <w:rFonts w:ascii="Times New Roman" w:hAnsi="Times New Roman" w:cs="Times New Roman"/>
          <w:sz w:val="24"/>
          <w:szCs w:val="24"/>
        </w:rPr>
        <w:t>stom izvještajnom razdoblju 2018</w:t>
      </w:r>
      <w:r w:rsidRPr="005F30F0">
        <w:rPr>
          <w:rFonts w:ascii="Times New Roman" w:hAnsi="Times New Roman" w:cs="Times New Roman"/>
          <w:sz w:val="24"/>
          <w:szCs w:val="24"/>
        </w:rPr>
        <w:t xml:space="preserve">. godine, </w:t>
      </w:r>
      <w:r>
        <w:rPr>
          <w:rFonts w:ascii="Times New Roman" w:hAnsi="Times New Roman" w:cs="Times New Roman"/>
          <w:sz w:val="24"/>
          <w:szCs w:val="24"/>
        </w:rPr>
        <w:t>zbog povećane izgradnje od čega je najznačajniji udio uređenje plaže Hidrobaza,</w:t>
      </w:r>
      <w:r w:rsidR="004F735E">
        <w:rPr>
          <w:rFonts w:ascii="Times New Roman" w:hAnsi="Times New Roman" w:cs="Times New Roman"/>
          <w:sz w:val="24"/>
          <w:szCs w:val="24"/>
        </w:rPr>
        <w:t xml:space="preserve"> postavljanje javne rasvjete,</w:t>
      </w:r>
      <w:r>
        <w:rPr>
          <w:rFonts w:ascii="Times New Roman" w:hAnsi="Times New Roman" w:cs="Times New Roman"/>
          <w:sz w:val="24"/>
          <w:szCs w:val="24"/>
        </w:rPr>
        <w:t xml:space="preserve"> izgradnja EEK mreže odnosno elektroničke kabelske kanalizacije te </w:t>
      </w:r>
      <w:r w:rsidR="00B40484">
        <w:rPr>
          <w:rFonts w:ascii="Times New Roman" w:hAnsi="Times New Roman" w:cs="Times New Roman"/>
          <w:sz w:val="24"/>
          <w:szCs w:val="24"/>
        </w:rPr>
        <w:t xml:space="preserve">obnova </w:t>
      </w:r>
      <w:r>
        <w:rPr>
          <w:rFonts w:ascii="Times New Roman" w:hAnsi="Times New Roman" w:cs="Times New Roman"/>
          <w:sz w:val="24"/>
          <w:szCs w:val="24"/>
        </w:rPr>
        <w:t>kupališta Stoja.</w:t>
      </w:r>
    </w:p>
    <w:p w:rsidR="004F735E" w:rsidRPr="004F735E" w:rsidRDefault="004F735E" w:rsidP="00BD46CE">
      <w:pPr>
        <w:pStyle w:val="Style20"/>
        <w:widowControl/>
        <w:numPr>
          <w:ilvl w:val="0"/>
          <w:numId w:val="17"/>
        </w:numPr>
        <w:spacing w:line="276" w:lineRule="auto"/>
        <w:contextualSpacing/>
        <w:rPr>
          <w:rFonts w:ascii="Times New Roman" w:hAnsi="Times New Roman" w:cs="Times New Roman"/>
        </w:rPr>
      </w:pPr>
      <w:r w:rsidRPr="00526AD1">
        <w:rPr>
          <w:rFonts w:ascii="Times New Roman" w:hAnsi="Times New Roman" w:cs="Times New Roman"/>
        </w:rPr>
        <w:t xml:space="preserve">Komunikacijska oprema (AOP362) - ostvarena je u iznosu od </w:t>
      </w:r>
      <w:r>
        <w:rPr>
          <w:rFonts w:ascii="Times New Roman" w:hAnsi="Times New Roman" w:cs="Times New Roman"/>
        </w:rPr>
        <w:t>172.640</w:t>
      </w:r>
      <w:r w:rsidRPr="00526AD1">
        <w:rPr>
          <w:rFonts w:ascii="Times New Roman" w:hAnsi="Times New Roman" w:cs="Times New Roman"/>
        </w:rPr>
        <w:t xml:space="preserve"> kn</w:t>
      </w:r>
      <w:r>
        <w:rPr>
          <w:rFonts w:ascii="Times New Roman" w:hAnsi="Times New Roman" w:cs="Times New Roman"/>
        </w:rPr>
        <w:t xml:space="preserve"> i za 146.195 kn ili 552,8% </w:t>
      </w:r>
      <w:r w:rsidRPr="001715D7">
        <w:rPr>
          <w:rFonts w:ascii="Times New Roman" w:hAnsi="Times New Roman" w:cs="Times New Roman"/>
        </w:rPr>
        <w:t>više nego u istom izvještajnom razdoblju 2018. godine,</w:t>
      </w:r>
      <w:r w:rsidRPr="00526AD1">
        <w:rPr>
          <w:rFonts w:ascii="Times New Roman" w:hAnsi="Times New Roman" w:cs="Times New Roman"/>
        </w:rPr>
        <w:t xml:space="preserve"> a čini rashod za </w:t>
      </w:r>
      <w:r w:rsidR="00B40484">
        <w:rPr>
          <w:rFonts w:ascii="Times New Roman" w:hAnsi="Times New Roman" w:cs="Times New Roman"/>
        </w:rPr>
        <w:t xml:space="preserve">realizaciju </w:t>
      </w:r>
      <w:r>
        <w:rPr>
          <w:rFonts w:ascii="Times New Roman" w:hAnsi="Times New Roman" w:cs="Times New Roman"/>
        </w:rPr>
        <w:t xml:space="preserve">projekta </w:t>
      </w:r>
      <w:r w:rsidRPr="004F735E">
        <w:rPr>
          <w:rFonts w:ascii="Times New Roman" w:hAnsi="Times New Roman" w:cs="Times New Roman"/>
        </w:rPr>
        <w:t>WIFI4EU kojim se proširila mreža besplatnog gradskog interneta</w:t>
      </w:r>
      <w:r w:rsidR="00B40484">
        <w:rPr>
          <w:rFonts w:ascii="Times New Roman" w:hAnsi="Times New Roman" w:cs="Times New Roman"/>
        </w:rPr>
        <w:t xml:space="preserve"> za što su dobivena sredstva EU u iznosu od 111.359 kn</w:t>
      </w:r>
      <w:r w:rsidRPr="004F735E">
        <w:rPr>
          <w:rFonts w:ascii="Times New Roman" w:hAnsi="Times New Roman" w:cs="Times New Roman"/>
        </w:rPr>
        <w:t>.</w:t>
      </w:r>
    </w:p>
    <w:p w:rsidR="004F735E" w:rsidRPr="004F735E" w:rsidRDefault="004F735E" w:rsidP="00BD46CE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35E">
        <w:rPr>
          <w:rFonts w:ascii="Times New Roman" w:hAnsi="Times New Roman" w:cs="Times New Roman"/>
          <w:sz w:val="24"/>
          <w:szCs w:val="24"/>
        </w:rPr>
        <w:t xml:space="preserve">Oprema za održavanje i zaštitu (AOP363) - iznose </w:t>
      </w:r>
      <w:r>
        <w:rPr>
          <w:rFonts w:ascii="Times New Roman" w:hAnsi="Times New Roman" w:cs="Times New Roman"/>
          <w:sz w:val="24"/>
          <w:szCs w:val="24"/>
        </w:rPr>
        <w:t>155.352</w:t>
      </w:r>
      <w:r w:rsidRPr="004F735E">
        <w:rPr>
          <w:rFonts w:ascii="Times New Roman" w:hAnsi="Times New Roman" w:cs="Times New Roman"/>
          <w:sz w:val="24"/>
          <w:szCs w:val="24"/>
        </w:rPr>
        <w:t xml:space="preserve"> kn i </w:t>
      </w:r>
      <w:r>
        <w:rPr>
          <w:rFonts w:ascii="Times New Roman" w:hAnsi="Times New Roman" w:cs="Times New Roman"/>
          <w:sz w:val="24"/>
          <w:szCs w:val="24"/>
        </w:rPr>
        <w:t>za 59.893 kn ili 62,7</w:t>
      </w:r>
      <w:r w:rsidRPr="004F735E">
        <w:rPr>
          <w:rFonts w:ascii="Times New Roman" w:hAnsi="Times New Roman" w:cs="Times New Roman"/>
          <w:sz w:val="24"/>
          <w:szCs w:val="24"/>
        </w:rPr>
        <w:t>% su rashodi</w:t>
      </w:r>
      <w:r>
        <w:rPr>
          <w:rFonts w:ascii="Times New Roman" w:hAnsi="Times New Roman" w:cs="Times New Roman"/>
          <w:sz w:val="24"/>
          <w:szCs w:val="24"/>
        </w:rPr>
        <w:t xml:space="preserve"> veći</w:t>
      </w:r>
      <w:r w:rsidRPr="004F735E">
        <w:rPr>
          <w:rFonts w:ascii="Times New Roman" w:hAnsi="Times New Roman" w:cs="Times New Roman"/>
          <w:sz w:val="24"/>
          <w:szCs w:val="24"/>
        </w:rPr>
        <w:t xml:space="preserve"> nego 2018. godine u istom izvještajnom razdoblju, a čini ih oprema za grijanje, ventilaciju i hlađenje u iznosu od </w:t>
      </w:r>
      <w:r>
        <w:rPr>
          <w:rFonts w:ascii="Times New Roman" w:hAnsi="Times New Roman" w:cs="Times New Roman"/>
          <w:sz w:val="24"/>
          <w:szCs w:val="24"/>
        </w:rPr>
        <w:t>42.68</w:t>
      </w:r>
      <w:r w:rsidR="00C32A17">
        <w:rPr>
          <w:rFonts w:ascii="Times New Roman" w:hAnsi="Times New Roman" w:cs="Times New Roman"/>
          <w:sz w:val="24"/>
          <w:szCs w:val="24"/>
        </w:rPr>
        <w:t>7</w:t>
      </w:r>
      <w:r w:rsidRPr="004F735E">
        <w:rPr>
          <w:rFonts w:ascii="Times New Roman" w:hAnsi="Times New Roman" w:cs="Times New Roman"/>
          <w:sz w:val="24"/>
          <w:szCs w:val="24"/>
        </w:rPr>
        <w:t xml:space="preserve"> kn, oprema za civilnu zaštitu u iznosu od </w:t>
      </w:r>
      <w:r>
        <w:rPr>
          <w:rFonts w:ascii="Times New Roman" w:hAnsi="Times New Roman" w:cs="Times New Roman"/>
          <w:sz w:val="24"/>
          <w:szCs w:val="24"/>
        </w:rPr>
        <w:t>48.745</w:t>
      </w:r>
      <w:r w:rsidRPr="004F735E">
        <w:rPr>
          <w:rFonts w:ascii="Times New Roman" w:hAnsi="Times New Roman" w:cs="Times New Roman"/>
          <w:sz w:val="24"/>
          <w:szCs w:val="24"/>
        </w:rPr>
        <w:t xml:space="preserve"> kn i ostala oprema za održavanje i zaštitu u iznosu </w:t>
      </w:r>
      <w:r>
        <w:rPr>
          <w:rFonts w:ascii="Times New Roman" w:hAnsi="Times New Roman" w:cs="Times New Roman"/>
          <w:sz w:val="24"/>
          <w:szCs w:val="24"/>
        </w:rPr>
        <w:t>63.920</w:t>
      </w:r>
      <w:r w:rsidRPr="004F735E">
        <w:rPr>
          <w:rFonts w:ascii="Times New Roman" w:hAnsi="Times New Roman" w:cs="Times New Roman"/>
          <w:sz w:val="24"/>
          <w:szCs w:val="24"/>
        </w:rPr>
        <w:t xml:space="preserve"> kn; U Bruto bilanci Grada iskazan je iznos od </w:t>
      </w:r>
      <w:r>
        <w:rPr>
          <w:rFonts w:ascii="Times New Roman" w:hAnsi="Times New Roman" w:cs="Times New Roman"/>
          <w:sz w:val="24"/>
          <w:szCs w:val="24"/>
        </w:rPr>
        <w:t>231.985</w:t>
      </w:r>
      <w:r w:rsidRPr="004F735E">
        <w:rPr>
          <w:rFonts w:ascii="Times New Roman" w:hAnsi="Times New Roman" w:cs="Times New Roman"/>
          <w:sz w:val="24"/>
          <w:szCs w:val="24"/>
        </w:rPr>
        <w:t xml:space="preserve"> kn. Razliku od </w:t>
      </w:r>
      <w:r>
        <w:rPr>
          <w:rFonts w:ascii="Times New Roman" w:hAnsi="Times New Roman" w:cs="Times New Roman"/>
          <w:sz w:val="24"/>
          <w:szCs w:val="24"/>
        </w:rPr>
        <w:t>76.633</w:t>
      </w:r>
      <w:r w:rsidRPr="004F735E">
        <w:rPr>
          <w:rFonts w:ascii="Times New Roman" w:hAnsi="Times New Roman" w:cs="Times New Roman"/>
          <w:sz w:val="24"/>
          <w:szCs w:val="24"/>
        </w:rPr>
        <w:t xml:space="preserve"> kn čin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F735E">
        <w:rPr>
          <w:rFonts w:ascii="Times New Roman" w:hAnsi="Times New Roman" w:cs="Times New Roman"/>
          <w:sz w:val="24"/>
          <w:szCs w:val="24"/>
        </w:rPr>
        <w:t xml:space="preserve"> račun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F735E">
        <w:rPr>
          <w:rFonts w:ascii="Times New Roman" w:hAnsi="Times New Roman" w:cs="Times New Roman"/>
          <w:sz w:val="24"/>
          <w:szCs w:val="24"/>
        </w:rPr>
        <w:t xml:space="preserve"> proračunskog korisnika koji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4F735E">
        <w:rPr>
          <w:rFonts w:ascii="Times New Roman" w:hAnsi="Times New Roman" w:cs="Times New Roman"/>
          <w:sz w:val="24"/>
          <w:szCs w:val="24"/>
        </w:rPr>
        <w:t xml:space="preserve"> plaćen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F735E">
        <w:rPr>
          <w:rFonts w:ascii="Times New Roman" w:hAnsi="Times New Roman" w:cs="Times New Roman"/>
          <w:sz w:val="24"/>
          <w:szCs w:val="24"/>
        </w:rPr>
        <w:t xml:space="preserve"> iz sredstava decentralizacije, a koji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4F735E">
        <w:rPr>
          <w:rFonts w:ascii="Times New Roman" w:hAnsi="Times New Roman" w:cs="Times New Roman"/>
          <w:sz w:val="24"/>
          <w:szCs w:val="24"/>
        </w:rPr>
        <w:t xml:space="preserve"> u izvještaju iskazan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F735E">
        <w:rPr>
          <w:rFonts w:ascii="Times New Roman" w:hAnsi="Times New Roman" w:cs="Times New Roman"/>
          <w:sz w:val="24"/>
          <w:szCs w:val="24"/>
        </w:rPr>
        <w:t xml:space="preserve"> u podatku 367 - Prijenosi proračunskim korisnicima iz nadležnog proračuna za financiranje redovne djelatnosti. Račun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F7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4F735E">
        <w:rPr>
          <w:rFonts w:ascii="Times New Roman" w:hAnsi="Times New Roman" w:cs="Times New Roman"/>
          <w:sz w:val="24"/>
          <w:szCs w:val="24"/>
        </w:rPr>
        <w:t xml:space="preserve"> izdan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F735E">
        <w:rPr>
          <w:rFonts w:ascii="Times New Roman" w:hAnsi="Times New Roman" w:cs="Times New Roman"/>
          <w:sz w:val="24"/>
          <w:szCs w:val="24"/>
        </w:rPr>
        <w:t xml:space="preserve"> na ime proračunskog korisnika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5D7" w:rsidRPr="004F735E" w:rsidRDefault="001715D7" w:rsidP="00BD46CE">
      <w:pPr>
        <w:pStyle w:val="Style20"/>
        <w:widowControl/>
        <w:numPr>
          <w:ilvl w:val="0"/>
          <w:numId w:val="16"/>
        </w:numPr>
        <w:spacing w:line="276" w:lineRule="auto"/>
        <w:contextualSpacing/>
        <w:rPr>
          <w:rFonts w:ascii="Times New Roman" w:hAnsi="Times New Roman" w:cs="Times New Roman"/>
        </w:rPr>
      </w:pPr>
      <w:r w:rsidRPr="004F735E">
        <w:rPr>
          <w:rFonts w:ascii="Times New Roman" w:hAnsi="Times New Roman" w:cs="Times New Roman"/>
        </w:rPr>
        <w:t>Ostala nematerijalna proizvedena imovina (AOP386)</w:t>
      </w:r>
      <w:r w:rsidR="004F735E" w:rsidRPr="004F735E">
        <w:rPr>
          <w:rFonts w:ascii="Times New Roman" w:hAnsi="Times New Roman" w:cs="Times New Roman"/>
        </w:rPr>
        <w:t xml:space="preserve"> iznose </w:t>
      </w:r>
      <w:r w:rsidR="004F735E">
        <w:rPr>
          <w:rFonts w:ascii="Times New Roman" w:hAnsi="Times New Roman" w:cs="Times New Roman"/>
        </w:rPr>
        <w:t>1.894.217</w:t>
      </w:r>
      <w:r w:rsidR="004F735E" w:rsidRPr="004F735E">
        <w:rPr>
          <w:rFonts w:ascii="Times New Roman" w:hAnsi="Times New Roman" w:cs="Times New Roman"/>
        </w:rPr>
        <w:t xml:space="preserve"> kn i </w:t>
      </w:r>
      <w:r w:rsidR="004F735E">
        <w:rPr>
          <w:rFonts w:ascii="Times New Roman" w:hAnsi="Times New Roman" w:cs="Times New Roman"/>
        </w:rPr>
        <w:t>za 292.599 kn ili 18,3</w:t>
      </w:r>
      <w:r w:rsidR="004F735E" w:rsidRPr="004F735E">
        <w:rPr>
          <w:rFonts w:ascii="Times New Roman" w:hAnsi="Times New Roman" w:cs="Times New Roman"/>
        </w:rPr>
        <w:t>% su rashodi</w:t>
      </w:r>
      <w:r w:rsidR="004F735E">
        <w:rPr>
          <w:rFonts w:ascii="Times New Roman" w:hAnsi="Times New Roman" w:cs="Times New Roman"/>
        </w:rPr>
        <w:t xml:space="preserve"> veći</w:t>
      </w:r>
      <w:r w:rsidR="004F735E" w:rsidRPr="004F735E">
        <w:rPr>
          <w:rFonts w:ascii="Times New Roman" w:hAnsi="Times New Roman" w:cs="Times New Roman"/>
        </w:rPr>
        <w:t xml:space="preserve"> nego 2018. godine u istom izvještajnom razdoblju</w:t>
      </w:r>
      <w:r w:rsidR="004F735E">
        <w:rPr>
          <w:rFonts w:ascii="Times New Roman" w:hAnsi="Times New Roman" w:cs="Times New Roman"/>
        </w:rPr>
        <w:t>, a odnose se</w:t>
      </w:r>
      <w:r w:rsidRPr="004F735E">
        <w:rPr>
          <w:rFonts w:ascii="Times New Roman" w:hAnsi="Times New Roman" w:cs="Times New Roman"/>
        </w:rPr>
        <w:t xml:space="preserve"> na</w:t>
      </w:r>
      <w:r w:rsidR="004F735E">
        <w:rPr>
          <w:rFonts w:ascii="Times New Roman" w:hAnsi="Times New Roman" w:cs="Times New Roman"/>
        </w:rPr>
        <w:t xml:space="preserve"> rashode za</w:t>
      </w:r>
      <w:r w:rsidRPr="004F735E">
        <w:rPr>
          <w:rFonts w:ascii="Times New Roman" w:hAnsi="Times New Roman" w:cs="Times New Roman"/>
        </w:rPr>
        <w:t xml:space="preserve"> projekte, idejna rješenja, elaborate, geodetske usluge, troškovnike i dr.</w:t>
      </w:r>
    </w:p>
    <w:p w:rsidR="006E6931" w:rsidRDefault="006E6931" w:rsidP="00BD46C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:rsidR="001529B9" w:rsidRDefault="001529B9" w:rsidP="00BD46C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:rsidR="001529B9" w:rsidRDefault="001529B9" w:rsidP="00BD46C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36B">
        <w:rPr>
          <w:rFonts w:ascii="Times New Roman" w:hAnsi="Times New Roman" w:cs="Times New Roman"/>
          <w:b/>
          <w:sz w:val="24"/>
          <w:szCs w:val="24"/>
        </w:rPr>
        <w:t>BILJEŠKA br. 34.</w:t>
      </w:r>
      <w:r w:rsidRPr="00526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D37" w:rsidRPr="00526AD1" w:rsidRDefault="00B46D37" w:rsidP="00BD46C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:rsidR="006E6931" w:rsidRDefault="00F546B9" w:rsidP="00BD46C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526AD1">
        <w:rPr>
          <w:rFonts w:ascii="Times New Roman" w:hAnsi="Times New Roman" w:cs="Times New Roman"/>
        </w:rPr>
        <w:t>Uređaji, strojevi i oprema za ostale namjene (AOP367) - rashodi su ostvareni u iznosu od 1.9</w:t>
      </w:r>
      <w:r w:rsidR="001529B9">
        <w:rPr>
          <w:rFonts w:ascii="Times New Roman" w:hAnsi="Times New Roman" w:cs="Times New Roman"/>
        </w:rPr>
        <w:t xml:space="preserve">23.679 kn. </w:t>
      </w:r>
      <w:r w:rsidR="006E6931" w:rsidRPr="00526AD1">
        <w:rPr>
          <w:rFonts w:ascii="Times New Roman" w:hAnsi="Times New Roman" w:cs="Times New Roman"/>
        </w:rPr>
        <w:t>U Bruto bilanci Grada iskazan je iznos od 1.</w:t>
      </w:r>
      <w:r w:rsidR="001529B9">
        <w:rPr>
          <w:rFonts w:ascii="Times New Roman" w:hAnsi="Times New Roman" w:cs="Times New Roman"/>
        </w:rPr>
        <w:t>960.579</w:t>
      </w:r>
      <w:r w:rsidR="006E6931" w:rsidRPr="00526AD1">
        <w:rPr>
          <w:rFonts w:ascii="Times New Roman" w:hAnsi="Times New Roman" w:cs="Times New Roman"/>
        </w:rPr>
        <w:t xml:space="preserve"> kn. Razliku od </w:t>
      </w:r>
      <w:r w:rsidR="001529B9">
        <w:rPr>
          <w:rFonts w:ascii="Times New Roman" w:hAnsi="Times New Roman" w:cs="Times New Roman"/>
        </w:rPr>
        <w:t>36.900</w:t>
      </w:r>
      <w:r w:rsidR="006E6931" w:rsidRPr="00526AD1">
        <w:rPr>
          <w:rFonts w:ascii="Times New Roman" w:hAnsi="Times New Roman" w:cs="Times New Roman"/>
        </w:rPr>
        <w:t xml:space="preserve"> kn čini račun proračunskog korisnika koji je plaćen iz sredstava decentralizacije, a koji je u iz</w:t>
      </w:r>
      <w:r w:rsidR="00C32A17">
        <w:rPr>
          <w:rFonts w:ascii="Times New Roman" w:hAnsi="Times New Roman" w:cs="Times New Roman"/>
        </w:rPr>
        <w:t>vještaju iskazan u podatku 367-</w:t>
      </w:r>
      <w:r w:rsidR="006E6931" w:rsidRPr="00526AD1">
        <w:rPr>
          <w:rFonts w:ascii="Times New Roman" w:hAnsi="Times New Roman" w:cs="Times New Roman"/>
        </w:rPr>
        <w:t>Prijenosi proračunskim korisnicima iz nadležnog proračuna za financiranje redovne djelatnosti. Račun je izdan na ime proračunskog korisnika.</w:t>
      </w:r>
    </w:p>
    <w:p w:rsidR="006E6931" w:rsidRDefault="006E6931" w:rsidP="00BD46C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1529B9" w:rsidRPr="00526AD1" w:rsidRDefault="001529B9" w:rsidP="00BD46C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853D5A" w:rsidRDefault="00853D5A" w:rsidP="00BD46C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853D5A" w:rsidRDefault="00853D5A" w:rsidP="00BD46C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6E6931" w:rsidRDefault="006E6931" w:rsidP="00BD46C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F1736B">
        <w:rPr>
          <w:rFonts w:ascii="Times New Roman" w:hAnsi="Times New Roman" w:cs="Times New Roman"/>
          <w:b/>
        </w:rPr>
        <w:lastRenderedPageBreak/>
        <w:t>BILJEŠKA br. 3</w:t>
      </w:r>
      <w:r w:rsidR="00F616CF" w:rsidRPr="00F1736B">
        <w:rPr>
          <w:rFonts w:ascii="Times New Roman" w:hAnsi="Times New Roman" w:cs="Times New Roman"/>
          <w:b/>
        </w:rPr>
        <w:t>5</w:t>
      </w:r>
      <w:r w:rsidRPr="00F1736B">
        <w:rPr>
          <w:rFonts w:ascii="Times New Roman" w:hAnsi="Times New Roman" w:cs="Times New Roman"/>
          <w:b/>
        </w:rPr>
        <w:t>.</w:t>
      </w:r>
    </w:p>
    <w:p w:rsidR="003100E4" w:rsidRPr="00526AD1" w:rsidRDefault="003100E4" w:rsidP="00BD46C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:rsidR="003100E4" w:rsidRDefault="00221600" w:rsidP="00BD46C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 xml:space="preserve">Rashodi za dodatna ulaganja na </w:t>
      </w:r>
      <w:r w:rsidR="003100E4">
        <w:rPr>
          <w:rFonts w:ascii="Times New Roman" w:hAnsi="Times New Roman" w:cs="Times New Roman"/>
          <w:sz w:val="24"/>
          <w:szCs w:val="24"/>
        </w:rPr>
        <w:t xml:space="preserve">nefinancijskoj imovini (AOP393) - </w:t>
      </w:r>
      <w:r w:rsidRPr="00526AD1">
        <w:rPr>
          <w:rFonts w:ascii="Times New Roman" w:hAnsi="Times New Roman" w:cs="Times New Roman"/>
          <w:sz w:val="24"/>
          <w:szCs w:val="24"/>
        </w:rPr>
        <w:t xml:space="preserve">iznose </w:t>
      </w:r>
      <w:r w:rsidR="001529B9">
        <w:rPr>
          <w:rFonts w:ascii="Times New Roman" w:hAnsi="Times New Roman" w:cs="Times New Roman"/>
          <w:sz w:val="24"/>
          <w:szCs w:val="24"/>
        </w:rPr>
        <w:t>6.724.326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 i ostvareni su za </w:t>
      </w:r>
      <w:r w:rsidR="001529B9">
        <w:rPr>
          <w:rFonts w:ascii="Times New Roman" w:hAnsi="Times New Roman" w:cs="Times New Roman"/>
          <w:sz w:val="24"/>
          <w:szCs w:val="24"/>
        </w:rPr>
        <w:t>17,1</w:t>
      </w:r>
      <w:r w:rsidRPr="00526AD1">
        <w:rPr>
          <w:rFonts w:ascii="Times New Roman" w:hAnsi="Times New Roman" w:cs="Times New Roman"/>
          <w:sz w:val="24"/>
          <w:szCs w:val="24"/>
        </w:rPr>
        <w:t xml:space="preserve">% više nego u </w:t>
      </w:r>
      <w:r w:rsidR="00685BE8">
        <w:rPr>
          <w:rFonts w:ascii="Times New Roman" w:hAnsi="Times New Roman" w:cs="Times New Roman"/>
          <w:sz w:val="24"/>
          <w:szCs w:val="24"/>
        </w:rPr>
        <w:t>2018.</w:t>
      </w:r>
      <w:r w:rsidRPr="00526AD1">
        <w:rPr>
          <w:rFonts w:ascii="Times New Roman" w:hAnsi="Times New Roman" w:cs="Times New Roman"/>
          <w:sz w:val="24"/>
          <w:szCs w:val="24"/>
        </w:rPr>
        <w:t xml:space="preserve"> godini </w:t>
      </w:r>
      <w:r w:rsidR="00F1736B">
        <w:rPr>
          <w:rFonts w:ascii="Times New Roman" w:hAnsi="Times New Roman" w:cs="Times New Roman"/>
          <w:sz w:val="24"/>
          <w:szCs w:val="24"/>
        </w:rPr>
        <w:t>u istom razdoblju izvještavanja, čine 18,8%</w:t>
      </w:r>
      <w:r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F1736B" w:rsidRPr="00BD46CE">
        <w:rPr>
          <w:rFonts w:ascii="Times New Roman" w:hAnsi="Times New Roman" w:cs="Times New Roman"/>
          <w:sz w:val="24"/>
          <w:szCs w:val="24"/>
        </w:rPr>
        <w:t>ukupnih rashoda za nabavu nefinancijske imovine.</w:t>
      </w:r>
    </w:p>
    <w:p w:rsidR="00A23AED" w:rsidRPr="003100E4" w:rsidRDefault="00221600" w:rsidP="00BD46C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 xml:space="preserve">Od navedenog iznosa, </w:t>
      </w:r>
      <w:r w:rsidR="001529B9">
        <w:rPr>
          <w:rFonts w:ascii="Times New Roman" w:hAnsi="Times New Roman" w:cs="Times New Roman"/>
          <w:sz w:val="24"/>
          <w:szCs w:val="24"/>
        </w:rPr>
        <w:t xml:space="preserve">dodatna ulaganja na građevinskim objektima iznose 3.850.000 kn i odnose se na rashode za energetsku obnovu zgrade Dječjeg kreativnog centra, a dodatna ulaganja za ostalu nefinancijsku imovinu iznose 2.847.326 </w:t>
      </w:r>
      <w:r w:rsidR="00B071C9">
        <w:rPr>
          <w:rFonts w:ascii="Times New Roman" w:hAnsi="Times New Roman" w:cs="Times New Roman"/>
          <w:sz w:val="24"/>
          <w:szCs w:val="24"/>
        </w:rPr>
        <w:t>kn</w:t>
      </w:r>
      <w:r w:rsidR="001529B9">
        <w:rPr>
          <w:rFonts w:ascii="Times New Roman" w:hAnsi="Times New Roman" w:cs="Times New Roman"/>
          <w:sz w:val="24"/>
          <w:szCs w:val="24"/>
        </w:rPr>
        <w:t xml:space="preserve"> od čega se iznos od 2.484.222 kn odnosi na izvedene radove zamjene vanjske stolarije, bravarije i sanacije fasade jedne osnovne škole. </w:t>
      </w:r>
      <w:r w:rsidR="00A23AED">
        <w:rPr>
          <w:rFonts w:ascii="Times New Roman" w:hAnsi="Times New Roman" w:cs="Times New Roman"/>
          <w:sz w:val="24"/>
          <w:szCs w:val="24"/>
        </w:rPr>
        <w:t>Preostali iznos utrošio se na manja ul</w:t>
      </w:r>
      <w:r w:rsidR="001529B9">
        <w:rPr>
          <w:rFonts w:ascii="Times New Roman" w:hAnsi="Times New Roman" w:cs="Times New Roman"/>
          <w:sz w:val="24"/>
          <w:szCs w:val="24"/>
        </w:rPr>
        <w:t>aganja u nefinancijskoj imovini od kojih su značajnije vrijednosti vezane za  sanaciju sanitarnog čvora te radove i usluge izvršene za ugradnju lifta i dr.</w:t>
      </w:r>
    </w:p>
    <w:p w:rsidR="003100E4" w:rsidRDefault="003100E4" w:rsidP="00310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0E4" w:rsidRPr="00526AD1" w:rsidRDefault="003100E4" w:rsidP="00310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40E" w:rsidRDefault="00B9440E" w:rsidP="003100E4">
      <w:pPr>
        <w:pStyle w:val="Style20"/>
        <w:widowControl/>
        <w:spacing w:line="240" w:lineRule="auto"/>
        <w:rPr>
          <w:rFonts w:ascii="Times New Roman" w:hAnsi="Times New Roman" w:cs="Times New Roman"/>
        </w:rPr>
      </w:pPr>
      <w:r w:rsidRPr="00F1736B">
        <w:rPr>
          <w:rFonts w:ascii="Times New Roman" w:hAnsi="Times New Roman" w:cs="Times New Roman"/>
          <w:b/>
        </w:rPr>
        <w:t xml:space="preserve">BILJEŠKA br. </w:t>
      </w:r>
      <w:r w:rsidR="005A0A2A" w:rsidRPr="00F1736B">
        <w:rPr>
          <w:rFonts w:ascii="Times New Roman" w:hAnsi="Times New Roman" w:cs="Times New Roman"/>
          <w:b/>
        </w:rPr>
        <w:t>3</w:t>
      </w:r>
      <w:r w:rsidR="00F616CF" w:rsidRPr="00F1736B">
        <w:rPr>
          <w:rFonts w:ascii="Times New Roman" w:hAnsi="Times New Roman" w:cs="Times New Roman"/>
          <w:b/>
        </w:rPr>
        <w:t>6</w:t>
      </w:r>
      <w:r w:rsidRPr="00F1736B">
        <w:rPr>
          <w:rFonts w:ascii="Times New Roman" w:hAnsi="Times New Roman" w:cs="Times New Roman"/>
          <w:b/>
        </w:rPr>
        <w:t>.</w:t>
      </w:r>
      <w:r w:rsidRPr="00526AD1">
        <w:rPr>
          <w:rFonts w:ascii="Times New Roman" w:hAnsi="Times New Roman" w:cs="Times New Roman"/>
        </w:rPr>
        <w:t xml:space="preserve"> </w:t>
      </w:r>
    </w:p>
    <w:p w:rsidR="0095249B" w:rsidRPr="00526AD1" w:rsidRDefault="0095249B" w:rsidP="003100E4">
      <w:pPr>
        <w:pStyle w:val="Style20"/>
        <w:widowControl/>
        <w:spacing w:line="240" w:lineRule="auto"/>
        <w:rPr>
          <w:rFonts w:ascii="Times New Roman" w:hAnsi="Times New Roman" w:cs="Times New Roman"/>
        </w:rPr>
      </w:pPr>
    </w:p>
    <w:p w:rsidR="00174DBB" w:rsidRDefault="00171C18" w:rsidP="003030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D1">
        <w:rPr>
          <w:rFonts w:ascii="Times New Roman" w:hAnsi="Times New Roman" w:cs="Times New Roman"/>
          <w:b/>
          <w:sz w:val="24"/>
          <w:szCs w:val="24"/>
        </w:rPr>
        <w:t>Primici od financijske imovine i zaduživanja</w:t>
      </w:r>
    </w:p>
    <w:p w:rsidR="0095249B" w:rsidRPr="00526AD1" w:rsidRDefault="0095249B" w:rsidP="003030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1" w:type="dxa"/>
        <w:tblInd w:w="96" w:type="dxa"/>
        <w:tblLook w:val="04A0"/>
      </w:tblPr>
      <w:tblGrid>
        <w:gridCol w:w="874"/>
        <w:gridCol w:w="3533"/>
        <w:gridCol w:w="567"/>
        <w:gridCol w:w="1559"/>
        <w:gridCol w:w="1276"/>
        <w:gridCol w:w="708"/>
        <w:gridCol w:w="1134"/>
      </w:tblGrid>
      <w:tr w:rsidR="006253F9" w:rsidRPr="00526AD1" w:rsidTr="005A0C69">
        <w:trPr>
          <w:trHeight w:val="872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253F9" w:rsidRPr="00303020" w:rsidRDefault="006253F9" w:rsidP="00737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Razred / Skupina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53F9" w:rsidRPr="00303020" w:rsidRDefault="006253F9" w:rsidP="00737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53F9" w:rsidRPr="00303020" w:rsidRDefault="006253F9" w:rsidP="00737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253F9" w:rsidRPr="00303020" w:rsidRDefault="006253F9" w:rsidP="00737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Ostvareno u izvještajnom razdoblju prethodne godine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253F9" w:rsidRPr="00303020" w:rsidRDefault="006253F9" w:rsidP="00737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Ostvareno u izvještajnom razdoblju tekuće godine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253F9" w:rsidRPr="00303020" w:rsidRDefault="006253F9" w:rsidP="00737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  <w:r w:rsidRPr="003030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br/>
              <w:t>(5/4)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53F9" w:rsidRPr="00303020" w:rsidRDefault="006253F9" w:rsidP="00737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030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Povećanje / Smanjenje</w:t>
            </w:r>
          </w:p>
        </w:tc>
      </w:tr>
      <w:tr w:rsidR="006253F9" w:rsidRPr="00526AD1" w:rsidTr="005A0C69">
        <w:trPr>
          <w:trHeight w:val="181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253F9" w:rsidRPr="00526AD1" w:rsidRDefault="006253F9" w:rsidP="00737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253F9" w:rsidRPr="00526AD1" w:rsidRDefault="006253F9" w:rsidP="00737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253F9" w:rsidRPr="00526AD1" w:rsidRDefault="006253F9" w:rsidP="00737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253F9" w:rsidRPr="00526AD1" w:rsidRDefault="006253F9" w:rsidP="00737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253F9" w:rsidRPr="00526AD1" w:rsidRDefault="006253F9" w:rsidP="00737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253F9" w:rsidRPr="00526AD1" w:rsidRDefault="006253F9" w:rsidP="00737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53F9" w:rsidRPr="00526AD1" w:rsidRDefault="006253F9" w:rsidP="00737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  <w:r w:rsidR="003A7E83"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</w:t>
            </w:r>
            <w:r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</w:tr>
      <w:tr w:rsidR="006253F9" w:rsidRPr="00526AD1" w:rsidTr="00303020">
        <w:trPr>
          <w:trHeight w:val="415"/>
        </w:trPr>
        <w:tc>
          <w:tcPr>
            <w:tcW w:w="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9" w:rsidRPr="00526AD1" w:rsidRDefault="006253F9" w:rsidP="00F17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</w:t>
            </w:r>
            <w:r w:rsidR="005A0A2A"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9" w:rsidRPr="00526AD1" w:rsidRDefault="006253F9" w:rsidP="005A0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Primici </w:t>
            </w:r>
            <w:r w:rsidR="005A0A2A"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 prodaje dionica i udjela u glavnici</w:t>
            </w:r>
            <w:r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9" w:rsidRPr="00853D5A" w:rsidRDefault="006253F9" w:rsidP="005A0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4</w:t>
            </w:r>
            <w:r w:rsidR="005A0A2A" w:rsidRPr="00853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9" w:rsidRPr="00526AD1" w:rsidRDefault="005A0C69" w:rsidP="00737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528.144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9" w:rsidRPr="00526AD1" w:rsidRDefault="005A0C69" w:rsidP="00737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9" w:rsidRPr="00526AD1" w:rsidRDefault="003A7E83" w:rsidP="00737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3F9" w:rsidRPr="00526AD1" w:rsidRDefault="005A0C69" w:rsidP="00737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  <w:r w:rsidR="005A0A2A" w:rsidRPr="00526A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528.144</w:t>
            </w:r>
          </w:p>
        </w:tc>
      </w:tr>
      <w:tr w:rsidR="006253F9" w:rsidRPr="00526AD1" w:rsidTr="005A0C69">
        <w:trPr>
          <w:trHeight w:val="397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53F9" w:rsidRPr="00526AD1" w:rsidRDefault="006253F9" w:rsidP="00F17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53F9" w:rsidRPr="00526AD1" w:rsidRDefault="006253F9" w:rsidP="00625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253F9" w:rsidRPr="00526AD1" w:rsidRDefault="006253F9" w:rsidP="00890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253F9" w:rsidRPr="00526AD1" w:rsidRDefault="005A0C69" w:rsidP="00737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528.144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253F9" w:rsidRPr="00526AD1" w:rsidRDefault="005A0C69" w:rsidP="00737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253F9" w:rsidRPr="00526AD1" w:rsidRDefault="005A0C69" w:rsidP="00737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253F9" w:rsidRPr="00526AD1" w:rsidRDefault="005A0C69" w:rsidP="00737D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-528.144</w:t>
            </w:r>
          </w:p>
        </w:tc>
      </w:tr>
    </w:tbl>
    <w:p w:rsidR="005A0A2A" w:rsidRPr="00526AD1" w:rsidRDefault="005A0A2A" w:rsidP="005A0C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2E1" w:rsidRPr="00526AD1" w:rsidRDefault="00174DBB" w:rsidP="005A0C6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 xml:space="preserve">PRIMICI OD FINANCIJSKE IMOVINE I ZADUŽIVANJA </w:t>
      </w:r>
      <w:r w:rsidR="00B9440E" w:rsidRPr="00526AD1">
        <w:rPr>
          <w:rFonts w:ascii="Times New Roman" w:hAnsi="Times New Roman" w:cs="Times New Roman"/>
          <w:sz w:val="24"/>
          <w:szCs w:val="24"/>
        </w:rPr>
        <w:t>(AOP4</w:t>
      </w:r>
      <w:r w:rsidR="001B42E1" w:rsidRPr="00526AD1">
        <w:rPr>
          <w:rFonts w:ascii="Times New Roman" w:hAnsi="Times New Roman" w:cs="Times New Roman"/>
          <w:sz w:val="24"/>
          <w:szCs w:val="24"/>
        </w:rPr>
        <w:t>10</w:t>
      </w:r>
      <w:r w:rsidR="00B9440E" w:rsidRPr="00526AD1">
        <w:rPr>
          <w:rFonts w:ascii="Times New Roman" w:hAnsi="Times New Roman" w:cs="Times New Roman"/>
          <w:sz w:val="24"/>
          <w:szCs w:val="24"/>
        </w:rPr>
        <w:t xml:space="preserve">) </w:t>
      </w:r>
      <w:r w:rsidR="005A0C69">
        <w:rPr>
          <w:rFonts w:ascii="Times New Roman" w:hAnsi="Times New Roman" w:cs="Times New Roman"/>
          <w:sz w:val="24"/>
          <w:szCs w:val="24"/>
        </w:rPr>
        <w:t xml:space="preserve"> - iznose 0 odnosno u 2019. godni nisu ostvareni.</w:t>
      </w:r>
      <w:r w:rsidR="001B42E1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B9440E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1B42E1" w:rsidRPr="00526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C69" w:rsidRDefault="005A0C69" w:rsidP="005A0C69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5A0C69" w:rsidRDefault="005A0C69" w:rsidP="005A0C69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171C18" w:rsidRPr="00526AD1" w:rsidRDefault="00171C18" w:rsidP="005A0C69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D1426A">
        <w:rPr>
          <w:rFonts w:ascii="Times New Roman" w:hAnsi="Times New Roman" w:cs="Times New Roman"/>
          <w:b/>
        </w:rPr>
        <w:t xml:space="preserve">BILJEŠKA br. </w:t>
      </w:r>
      <w:r w:rsidR="00884BBB" w:rsidRPr="00D1426A">
        <w:rPr>
          <w:rFonts w:ascii="Times New Roman" w:hAnsi="Times New Roman" w:cs="Times New Roman"/>
          <w:b/>
        </w:rPr>
        <w:t>3</w:t>
      </w:r>
      <w:r w:rsidR="00F616CF" w:rsidRPr="00D1426A">
        <w:rPr>
          <w:rFonts w:ascii="Times New Roman" w:hAnsi="Times New Roman" w:cs="Times New Roman"/>
          <w:b/>
        </w:rPr>
        <w:t>7</w:t>
      </w:r>
      <w:r w:rsidRPr="00D1426A">
        <w:rPr>
          <w:rFonts w:ascii="Times New Roman" w:hAnsi="Times New Roman" w:cs="Times New Roman"/>
          <w:b/>
        </w:rPr>
        <w:t>.</w:t>
      </w:r>
    </w:p>
    <w:p w:rsidR="005A0C69" w:rsidRDefault="005A0C69" w:rsidP="000D3B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C18" w:rsidRDefault="0068272D" w:rsidP="000D3B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D1">
        <w:rPr>
          <w:rFonts w:ascii="Times New Roman" w:hAnsi="Times New Roman" w:cs="Times New Roman"/>
          <w:b/>
          <w:sz w:val="24"/>
          <w:szCs w:val="24"/>
        </w:rPr>
        <w:t>Izdaci za financijsku imovinu</w:t>
      </w:r>
      <w:r w:rsidR="00171C18" w:rsidRPr="00526AD1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526AD1">
        <w:rPr>
          <w:rFonts w:ascii="Times New Roman" w:hAnsi="Times New Roman" w:cs="Times New Roman"/>
          <w:b/>
          <w:sz w:val="24"/>
          <w:szCs w:val="24"/>
        </w:rPr>
        <w:t>otplate zajmova</w:t>
      </w:r>
    </w:p>
    <w:p w:rsidR="00525422" w:rsidRPr="00526AD1" w:rsidRDefault="00525422" w:rsidP="000D3B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1" w:type="dxa"/>
        <w:tblInd w:w="96" w:type="dxa"/>
        <w:tblLayout w:type="fixed"/>
        <w:tblLook w:val="04A0"/>
      </w:tblPr>
      <w:tblGrid>
        <w:gridCol w:w="874"/>
        <w:gridCol w:w="3533"/>
        <w:gridCol w:w="567"/>
        <w:gridCol w:w="1537"/>
        <w:gridCol w:w="1298"/>
        <w:gridCol w:w="708"/>
        <w:gridCol w:w="1134"/>
      </w:tblGrid>
      <w:tr w:rsidR="0053048D" w:rsidRPr="00526AD1" w:rsidTr="005A0C69">
        <w:trPr>
          <w:trHeight w:val="727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9440E" w:rsidRPr="005A0C69" w:rsidRDefault="00B9440E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0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Razred / Skupina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9440E" w:rsidRPr="005A0C69" w:rsidRDefault="00B9440E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0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9440E" w:rsidRPr="005A0C69" w:rsidRDefault="00B9440E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0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9440E" w:rsidRPr="005A0C69" w:rsidRDefault="00B9440E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0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Ostvareno u izvještajnom razdoblju prethodne godine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9440E" w:rsidRPr="005A0C69" w:rsidRDefault="00B9440E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0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Ostvareno u izvještajnom razdoblju tekuće godine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9440E" w:rsidRPr="005A0C69" w:rsidRDefault="00B9440E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0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  <w:r w:rsidRPr="005A0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br/>
              <w:t>(5/4)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440E" w:rsidRPr="005A0C69" w:rsidRDefault="00B9440E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0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Povećanje / Smanjenje</w:t>
            </w:r>
          </w:p>
        </w:tc>
      </w:tr>
      <w:tr w:rsidR="0053048D" w:rsidRPr="00526AD1" w:rsidTr="005A0C69">
        <w:trPr>
          <w:trHeight w:val="181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9440E" w:rsidRPr="00526AD1" w:rsidRDefault="00B9440E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9440E" w:rsidRPr="00526AD1" w:rsidRDefault="00B9440E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9440E" w:rsidRPr="00526AD1" w:rsidRDefault="00B9440E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9440E" w:rsidRPr="00526AD1" w:rsidRDefault="00B9440E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9440E" w:rsidRPr="00526AD1" w:rsidRDefault="00B9440E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9440E" w:rsidRPr="00526AD1" w:rsidRDefault="00B9440E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9440E" w:rsidRPr="00526AD1" w:rsidRDefault="00B9440E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  <w:r w:rsidR="003A7E83"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</w:t>
            </w:r>
            <w:r w:rsidRPr="00526AD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</w:tr>
      <w:tr w:rsidR="00884BBB" w:rsidRPr="00526AD1" w:rsidTr="005A0C69">
        <w:trPr>
          <w:trHeight w:val="415"/>
        </w:trPr>
        <w:tc>
          <w:tcPr>
            <w:tcW w:w="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BB" w:rsidRPr="00526AD1" w:rsidRDefault="00884BBB" w:rsidP="00F17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BB" w:rsidRPr="00526AD1" w:rsidRDefault="00884BBB" w:rsidP="00625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Izdaci za dionice i udjele u glavnici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BB" w:rsidRPr="00853D5A" w:rsidRDefault="00884BBB" w:rsidP="00890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570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BB" w:rsidRPr="00526AD1" w:rsidRDefault="005A0C69" w:rsidP="00F25B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BB" w:rsidRPr="00526AD1" w:rsidRDefault="005A0C69" w:rsidP="00884B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BB" w:rsidRPr="00526AD1" w:rsidRDefault="005A0C69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BBB" w:rsidRPr="00526AD1" w:rsidRDefault="005A0C69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10.200</w:t>
            </w:r>
          </w:p>
        </w:tc>
      </w:tr>
      <w:tr w:rsidR="00884BBB" w:rsidRPr="00526AD1" w:rsidTr="005A0C69">
        <w:trPr>
          <w:trHeight w:val="415"/>
        </w:trPr>
        <w:tc>
          <w:tcPr>
            <w:tcW w:w="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BB" w:rsidRPr="00526AD1" w:rsidRDefault="00884BBB" w:rsidP="00F17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BB" w:rsidRPr="00526AD1" w:rsidRDefault="00884BBB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Izdaci za otplatu glavnice primljenih kredita i zajmova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BB" w:rsidRPr="00853D5A" w:rsidRDefault="00884BBB" w:rsidP="00890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583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BB" w:rsidRPr="00526AD1" w:rsidRDefault="005A0C69" w:rsidP="00F25B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6.367.632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BB" w:rsidRPr="00526AD1" w:rsidRDefault="005A0C69" w:rsidP="002820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</w:t>
            </w:r>
            <w:r w:rsidR="002820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368.689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BB" w:rsidRPr="00526AD1" w:rsidRDefault="005A0C69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BBB" w:rsidRPr="00526AD1" w:rsidRDefault="002820E0" w:rsidP="00A23AE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1.057</w:t>
            </w:r>
          </w:p>
        </w:tc>
      </w:tr>
      <w:tr w:rsidR="00884BBB" w:rsidRPr="00526AD1" w:rsidTr="005A0C69">
        <w:trPr>
          <w:trHeight w:val="397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4BBB" w:rsidRPr="00526AD1" w:rsidRDefault="00884BBB" w:rsidP="00F17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4BBB" w:rsidRPr="00526AD1" w:rsidRDefault="00884BBB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4BBB" w:rsidRPr="00526AD1" w:rsidRDefault="00884BBB" w:rsidP="00890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84BBB" w:rsidRPr="00526AD1" w:rsidRDefault="005A0C69" w:rsidP="00F25B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6.367.632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84BBB" w:rsidRPr="00526AD1" w:rsidRDefault="005A0C69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6.378.889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84BBB" w:rsidRPr="00526AD1" w:rsidRDefault="005A0C69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84BBB" w:rsidRPr="00526AD1" w:rsidRDefault="002820E0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11.257</w:t>
            </w:r>
          </w:p>
        </w:tc>
      </w:tr>
    </w:tbl>
    <w:p w:rsidR="00171C18" w:rsidRPr="00526AD1" w:rsidRDefault="00171C18" w:rsidP="001E12E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DBB" w:rsidRDefault="00174DBB" w:rsidP="0052542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 xml:space="preserve">IZDACI ZA FINANCIJSKU IMOVINU I OTPLATU ZAJMOVA </w:t>
      </w:r>
      <w:r w:rsidR="00B9440E" w:rsidRPr="00526AD1">
        <w:rPr>
          <w:rFonts w:ascii="Times New Roman" w:hAnsi="Times New Roman" w:cs="Times New Roman"/>
          <w:sz w:val="24"/>
          <w:szCs w:val="24"/>
        </w:rPr>
        <w:t>(AOP51</w:t>
      </w:r>
      <w:r w:rsidR="006253F9" w:rsidRPr="00526AD1">
        <w:rPr>
          <w:rFonts w:ascii="Times New Roman" w:hAnsi="Times New Roman" w:cs="Times New Roman"/>
          <w:sz w:val="24"/>
          <w:szCs w:val="24"/>
        </w:rPr>
        <w:t>8</w:t>
      </w:r>
      <w:r w:rsidR="00B9440E" w:rsidRPr="00526AD1">
        <w:rPr>
          <w:rFonts w:ascii="Times New Roman" w:hAnsi="Times New Roman" w:cs="Times New Roman"/>
          <w:sz w:val="24"/>
          <w:szCs w:val="24"/>
        </w:rPr>
        <w:t xml:space="preserve">) </w:t>
      </w:r>
      <w:r w:rsidR="003A7E83" w:rsidRPr="00526AD1">
        <w:rPr>
          <w:rFonts w:ascii="Times New Roman" w:hAnsi="Times New Roman" w:cs="Times New Roman"/>
          <w:sz w:val="24"/>
          <w:szCs w:val="24"/>
        </w:rPr>
        <w:t>-</w:t>
      </w:r>
      <w:r w:rsidR="00B9440E" w:rsidRPr="00526AD1">
        <w:rPr>
          <w:rFonts w:ascii="Times New Roman" w:hAnsi="Times New Roman" w:cs="Times New Roman"/>
          <w:sz w:val="24"/>
          <w:szCs w:val="24"/>
        </w:rPr>
        <w:t xml:space="preserve"> iznose</w:t>
      </w:r>
      <w:r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884BBB" w:rsidRPr="00526AD1">
        <w:rPr>
          <w:rFonts w:ascii="Times New Roman" w:hAnsi="Times New Roman" w:cs="Times New Roman"/>
          <w:sz w:val="24"/>
          <w:szCs w:val="24"/>
        </w:rPr>
        <w:t>6.</w:t>
      </w:r>
      <w:r w:rsidR="005A0C69">
        <w:rPr>
          <w:rFonts w:ascii="Times New Roman" w:hAnsi="Times New Roman" w:cs="Times New Roman"/>
          <w:sz w:val="24"/>
          <w:szCs w:val="24"/>
        </w:rPr>
        <w:t>378.889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 </w:t>
      </w:r>
      <w:r w:rsidR="007616C2" w:rsidRPr="00526AD1">
        <w:rPr>
          <w:rFonts w:ascii="Times New Roman" w:hAnsi="Times New Roman" w:cs="Times New Roman"/>
          <w:sz w:val="24"/>
          <w:szCs w:val="24"/>
        </w:rPr>
        <w:t xml:space="preserve">i za </w:t>
      </w:r>
      <w:r w:rsidR="005A0C69">
        <w:rPr>
          <w:rFonts w:ascii="Times New Roman" w:hAnsi="Times New Roman" w:cs="Times New Roman"/>
          <w:sz w:val="24"/>
          <w:szCs w:val="24"/>
        </w:rPr>
        <w:t>0</w:t>
      </w:r>
      <w:r w:rsidR="00884BBB" w:rsidRPr="00526AD1">
        <w:rPr>
          <w:rFonts w:ascii="Times New Roman" w:hAnsi="Times New Roman" w:cs="Times New Roman"/>
          <w:sz w:val="24"/>
          <w:szCs w:val="24"/>
        </w:rPr>
        <w:t>,2</w:t>
      </w:r>
      <w:r w:rsidR="007616C2" w:rsidRPr="00526AD1">
        <w:rPr>
          <w:rFonts w:ascii="Times New Roman" w:hAnsi="Times New Roman" w:cs="Times New Roman"/>
          <w:sz w:val="24"/>
          <w:szCs w:val="24"/>
        </w:rPr>
        <w:t xml:space="preserve">% </w:t>
      </w:r>
      <w:r w:rsidR="00AE37F0" w:rsidRPr="00526AD1">
        <w:rPr>
          <w:rFonts w:ascii="Times New Roman" w:hAnsi="Times New Roman" w:cs="Times New Roman"/>
          <w:sz w:val="24"/>
          <w:szCs w:val="24"/>
        </w:rPr>
        <w:t xml:space="preserve">ili </w:t>
      </w:r>
      <w:r w:rsidR="002820E0">
        <w:rPr>
          <w:rFonts w:ascii="Times New Roman" w:hAnsi="Times New Roman" w:cs="Times New Roman"/>
          <w:sz w:val="24"/>
          <w:szCs w:val="24"/>
        </w:rPr>
        <w:t>11.257</w:t>
      </w:r>
      <w:r w:rsidR="00AE37F0" w:rsidRPr="00526AD1">
        <w:rPr>
          <w:rFonts w:ascii="Times New Roman" w:hAnsi="Times New Roman" w:cs="Times New Roman"/>
          <w:sz w:val="24"/>
          <w:szCs w:val="24"/>
        </w:rPr>
        <w:t xml:space="preserve"> kn</w:t>
      </w:r>
      <w:r w:rsidR="007616C2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6253F9" w:rsidRPr="00526AD1">
        <w:rPr>
          <w:rFonts w:ascii="Times New Roman" w:hAnsi="Times New Roman" w:cs="Times New Roman"/>
          <w:sz w:val="24"/>
          <w:szCs w:val="24"/>
        </w:rPr>
        <w:t xml:space="preserve">su veći </w:t>
      </w:r>
      <w:r w:rsidR="007616C2" w:rsidRPr="00526AD1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685BE8">
        <w:rPr>
          <w:rFonts w:ascii="Times New Roman" w:hAnsi="Times New Roman" w:cs="Times New Roman"/>
          <w:sz w:val="24"/>
          <w:szCs w:val="24"/>
        </w:rPr>
        <w:t>2018.</w:t>
      </w:r>
      <w:r w:rsidR="007616C2" w:rsidRPr="00526AD1">
        <w:rPr>
          <w:rFonts w:ascii="Times New Roman" w:hAnsi="Times New Roman" w:cs="Times New Roman"/>
          <w:sz w:val="24"/>
          <w:szCs w:val="24"/>
        </w:rPr>
        <w:t xml:space="preserve"> godinu u istom izvještajnom razdoblju</w:t>
      </w:r>
      <w:r w:rsidR="00F1736B">
        <w:rPr>
          <w:rFonts w:ascii="Times New Roman" w:hAnsi="Times New Roman" w:cs="Times New Roman"/>
          <w:sz w:val="24"/>
          <w:szCs w:val="24"/>
        </w:rPr>
        <w:t xml:space="preserve"> zbog</w:t>
      </w:r>
      <w:r w:rsidR="005A0C69">
        <w:rPr>
          <w:rFonts w:ascii="Times New Roman" w:hAnsi="Times New Roman" w:cs="Times New Roman"/>
          <w:sz w:val="24"/>
          <w:szCs w:val="24"/>
        </w:rPr>
        <w:t xml:space="preserve"> </w:t>
      </w:r>
      <w:r w:rsidR="0035527A">
        <w:rPr>
          <w:rFonts w:ascii="Times New Roman" w:hAnsi="Times New Roman" w:cs="Times New Roman"/>
          <w:sz w:val="24"/>
          <w:szCs w:val="24"/>
        </w:rPr>
        <w:t>prijenosa poslovnog</w:t>
      </w:r>
      <w:r w:rsidR="005A0C69">
        <w:rPr>
          <w:rFonts w:ascii="Times New Roman" w:hAnsi="Times New Roman" w:cs="Times New Roman"/>
          <w:sz w:val="24"/>
          <w:szCs w:val="24"/>
        </w:rPr>
        <w:t xml:space="preserve"> udjela u društvu Fratarski d.o.o.</w:t>
      </w:r>
      <w:r w:rsidR="002820E0">
        <w:rPr>
          <w:rFonts w:ascii="Times New Roman" w:hAnsi="Times New Roman" w:cs="Times New Roman"/>
          <w:sz w:val="24"/>
          <w:szCs w:val="24"/>
        </w:rPr>
        <w:t xml:space="preserve"> u iznosu od 10.200 kn.</w:t>
      </w:r>
    </w:p>
    <w:p w:rsidR="002820E0" w:rsidRDefault="002820E0" w:rsidP="0052542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BBB" w:rsidRDefault="00884BBB" w:rsidP="00525422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  <w:r w:rsidRPr="00D1426A">
        <w:rPr>
          <w:rFonts w:ascii="Times New Roman" w:hAnsi="Times New Roman" w:cs="Times New Roman"/>
          <w:b/>
        </w:rPr>
        <w:lastRenderedPageBreak/>
        <w:t>BILJEŠKA br. 3</w:t>
      </w:r>
      <w:r w:rsidR="00F616CF" w:rsidRPr="00D1426A">
        <w:rPr>
          <w:rFonts w:ascii="Times New Roman" w:hAnsi="Times New Roman" w:cs="Times New Roman"/>
          <w:b/>
        </w:rPr>
        <w:t>8</w:t>
      </w:r>
      <w:r w:rsidRPr="00D1426A">
        <w:rPr>
          <w:rFonts w:ascii="Times New Roman" w:hAnsi="Times New Roman" w:cs="Times New Roman"/>
          <w:b/>
        </w:rPr>
        <w:t>.</w:t>
      </w:r>
    </w:p>
    <w:p w:rsidR="0095249B" w:rsidRPr="00526AD1" w:rsidRDefault="0095249B" w:rsidP="00525422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</w:p>
    <w:p w:rsidR="00174DBB" w:rsidRPr="00526AD1" w:rsidRDefault="00D013EE" w:rsidP="0052542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Otplata</w:t>
      </w:r>
      <w:r w:rsidR="00174DBB" w:rsidRPr="00526AD1">
        <w:rPr>
          <w:rFonts w:ascii="Times New Roman" w:hAnsi="Times New Roman" w:cs="Times New Roman"/>
          <w:sz w:val="24"/>
          <w:szCs w:val="24"/>
        </w:rPr>
        <w:t xml:space="preserve"> glavnice primljenih kredita od tuzemnih kreditnih institucija izvan javnog sektora </w:t>
      </w:r>
      <w:r w:rsidR="007616C2" w:rsidRPr="00526AD1">
        <w:rPr>
          <w:rFonts w:ascii="Times New Roman" w:hAnsi="Times New Roman" w:cs="Times New Roman"/>
          <w:sz w:val="24"/>
          <w:szCs w:val="24"/>
        </w:rPr>
        <w:t>(AOP59</w:t>
      </w:r>
      <w:r w:rsidR="006253F9" w:rsidRPr="00526AD1">
        <w:rPr>
          <w:rFonts w:ascii="Times New Roman" w:hAnsi="Times New Roman" w:cs="Times New Roman"/>
          <w:sz w:val="24"/>
          <w:szCs w:val="24"/>
        </w:rPr>
        <w:t>6</w:t>
      </w:r>
      <w:r w:rsidR="007616C2" w:rsidRPr="00526AD1">
        <w:rPr>
          <w:rFonts w:ascii="Times New Roman" w:hAnsi="Times New Roman" w:cs="Times New Roman"/>
          <w:sz w:val="24"/>
          <w:szCs w:val="24"/>
        </w:rPr>
        <w:t>)</w:t>
      </w:r>
      <w:r w:rsidRPr="00526AD1">
        <w:rPr>
          <w:rFonts w:ascii="Times New Roman" w:hAnsi="Times New Roman" w:cs="Times New Roman"/>
          <w:sz w:val="24"/>
          <w:szCs w:val="24"/>
        </w:rPr>
        <w:t xml:space="preserve"> - iznosi </w:t>
      </w:r>
      <w:r w:rsidR="005236D1">
        <w:rPr>
          <w:rFonts w:ascii="Times New Roman" w:hAnsi="Times New Roman" w:cs="Times New Roman"/>
          <w:sz w:val="24"/>
          <w:szCs w:val="24"/>
        </w:rPr>
        <w:t xml:space="preserve">3.718.689 </w:t>
      </w:r>
      <w:r w:rsidRPr="00526AD1">
        <w:rPr>
          <w:rFonts w:ascii="Times New Roman" w:hAnsi="Times New Roman" w:cs="Times New Roman"/>
          <w:sz w:val="24"/>
          <w:szCs w:val="24"/>
        </w:rPr>
        <w:t xml:space="preserve">kn, a </w:t>
      </w:r>
      <w:r w:rsidR="00174DBB" w:rsidRPr="00526AD1">
        <w:rPr>
          <w:rFonts w:ascii="Times New Roman" w:hAnsi="Times New Roman" w:cs="Times New Roman"/>
          <w:sz w:val="24"/>
          <w:szCs w:val="24"/>
        </w:rPr>
        <w:t>čin</w:t>
      </w:r>
      <w:r w:rsidRPr="00526AD1">
        <w:rPr>
          <w:rFonts w:ascii="Times New Roman" w:hAnsi="Times New Roman" w:cs="Times New Roman"/>
          <w:sz w:val="24"/>
          <w:szCs w:val="24"/>
        </w:rPr>
        <w:t>i</w:t>
      </w:r>
      <w:r w:rsidR="00174DBB" w:rsidRPr="00526AD1">
        <w:rPr>
          <w:rFonts w:ascii="Times New Roman" w:hAnsi="Times New Roman" w:cs="Times New Roman"/>
          <w:sz w:val="24"/>
          <w:szCs w:val="24"/>
        </w:rPr>
        <w:t xml:space="preserve"> otplatu glavnice dugoročnih kredita za izgradnju OŠ Veli Vrh I faza u iznosu od </w:t>
      </w:r>
      <w:r w:rsidR="006253F9" w:rsidRPr="00526AD1">
        <w:rPr>
          <w:rFonts w:ascii="Times New Roman" w:hAnsi="Times New Roman" w:cs="Times New Roman"/>
          <w:sz w:val="24"/>
          <w:szCs w:val="24"/>
        </w:rPr>
        <w:t>1</w:t>
      </w:r>
      <w:r w:rsidR="00884BBB" w:rsidRPr="00526AD1">
        <w:rPr>
          <w:rFonts w:ascii="Times New Roman" w:hAnsi="Times New Roman" w:cs="Times New Roman"/>
          <w:sz w:val="24"/>
          <w:szCs w:val="24"/>
        </w:rPr>
        <w:t>.</w:t>
      </w:r>
      <w:r w:rsidR="005236D1">
        <w:rPr>
          <w:rFonts w:ascii="Times New Roman" w:hAnsi="Times New Roman" w:cs="Times New Roman"/>
          <w:sz w:val="24"/>
          <w:szCs w:val="24"/>
        </w:rPr>
        <w:t xml:space="preserve">679.678 </w:t>
      </w:r>
      <w:r w:rsidR="00174DBB" w:rsidRPr="00526AD1">
        <w:rPr>
          <w:rFonts w:ascii="Times New Roman" w:hAnsi="Times New Roman" w:cs="Times New Roman"/>
          <w:sz w:val="24"/>
          <w:szCs w:val="24"/>
        </w:rPr>
        <w:t xml:space="preserve">kn i II faza u iznosu od </w:t>
      </w:r>
      <w:r w:rsidR="005236D1">
        <w:rPr>
          <w:rFonts w:ascii="Times New Roman" w:hAnsi="Times New Roman" w:cs="Times New Roman"/>
          <w:sz w:val="24"/>
          <w:szCs w:val="24"/>
        </w:rPr>
        <w:t>2.039.011</w:t>
      </w:r>
      <w:r w:rsidR="006253F9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174DBB" w:rsidRPr="00526AD1">
        <w:rPr>
          <w:rFonts w:ascii="Times New Roman" w:hAnsi="Times New Roman" w:cs="Times New Roman"/>
          <w:sz w:val="24"/>
          <w:szCs w:val="24"/>
        </w:rPr>
        <w:t>kn.</w:t>
      </w:r>
    </w:p>
    <w:p w:rsidR="00884BBB" w:rsidRDefault="00884BBB" w:rsidP="0052542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426A" w:rsidRDefault="00D1426A" w:rsidP="0052542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42E5" w:rsidRDefault="005C42E5" w:rsidP="00525422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  <w:r w:rsidRPr="00D1426A">
        <w:rPr>
          <w:rFonts w:ascii="Times New Roman" w:hAnsi="Times New Roman" w:cs="Times New Roman"/>
          <w:b/>
        </w:rPr>
        <w:t>BILJEŠKA br. 3</w:t>
      </w:r>
      <w:r w:rsidR="00F616CF" w:rsidRPr="00D1426A">
        <w:rPr>
          <w:rFonts w:ascii="Times New Roman" w:hAnsi="Times New Roman" w:cs="Times New Roman"/>
          <w:b/>
        </w:rPr>
        <w:t>9</w:t>
      </w:r>
      <w:r w:rsidRPr="00D1426A">
        <w:rPr>
          <w:rFonts w:ascii="Times New Roman" w:hAnsi="Times New Roman" w:cs="Times New Roman"/>
          <w:b/>
        </w:rPr>
        <w:t>.</w:t>
      </w:r>
    </w:p>
    <w:p w:rsidR="0095249B" w:rsidRPr="00526AD1" w:rsidRDefault="0095249B" w:rsidP="00525422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</w:p>
    <w:p w:rsidR="006E6931" w:rsidRPr="00526AD1" w:rsidRDefault="00884BBB" w:rsidP="00D1426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Otplata glavnice primljenih</w:t>
      </w:r>
      <w:r w:rsidR="005C42E5">
        <w:rPr>
          <w:rFonts w:ascii="Times New Roman" w:hAnsi="Times New Roman" w:cs="Times New Roman"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sz w:val="24"/>
          <w:szCs w:val="24"/>
        </w:rPr>
        <w:t xml:space="preserve">zajmova od tuzemnih trgovačkih društava izvan javnog sektora (AOP603) </w:t>
      </w:r>
      <w:r w:rsidR="00D1426A">
        <w:rPr>
          <w:rFonts w:ascii="Times New Roman" w:hAnsi="Times New Roman" w:cs="Times New Roman"/>
          <w:sz w:val="24"/>
          <w:szCs w:val="24"/>
        </w:rPr>
        <w:t xml:space="preserve">- </w:t>
      </w:r>
      <w:r w:rsidRPr="00526AD1">
        <w:rPr>
          <w:rFonts w:ascii="Times New Roman" w:hAnsi="Times New Roman" w:cs="Times New Roman"/>
          <w:sz w:val="24"/>
          <w:szCs w:val="24"/>
        </w:rPr>
        <w:t>iznosi 2.650.000 kn, a čini otplatu po zaduženju</w:t>
      </w:r>
      <w:r w:rsidR="005C42E5">
        <w:rPr>
          <w:rFonts w:ascii="Times New Roman" w:hAnsi="Times New Roman" w:cs="Times New Roman"/>
          <w:sz w:val="24"/>
          <w:szCs w:val="24"/>
        </w:rPr>
        <w:t xml:space="preserve"> iz </w:t>
      </w:r>
      <w:r w:rsidR="00685BE8">
        <w:rPr>
          <w:rFonts w:ascii="Times New Roman" w:hAnsi="Times New Roman" w:cs="Times New Roman"/>
          <w:sz w:val="24"/>
          <w:szCs w:val="24"/>
        </w:rPr>
        <w:t>201</w:t>
      </w:r>
      <w:r w:rsidR="005236D1">
        <w:rPr>
          <w:rFonts w:ascii="Times New Roman" w:hAnsi="Times New Roman" w:cs="Times New Roman"/>
          <w:sz w:val="24"/>
          <w:szCs w:val="24"/>
        </w:rPr>
        <w:t>7</w:t>
      </w:r>
      <w:r w:rsidR="00685BE8">
        <w:rPr>
          <w:rFonts w:ascii="Times New Roman" w:hAnsi="Times New Roman" w:cs="Times New Roman"/>
          <w:sz w:val="24"/>
          <w:szCs w:val="24"/>
        </w:rPr>
        <w:t>.</w:t>
      </w:r>
      <w:r w:rsidR="005C42E5">
        <w:rPr>
          <w:rFonts w:ascii="Times New Roman" w:hAnsi="Times New Roman" w:cs="Times New Roman"/>
          <w:sz w:val="24"/>
          <w:szCs w:val="24"/>
        </w:rPr>
        <w:t xml:space="preserve"> godine</w:t>
      </w:r>
      <w:r w:rsidRPr="00526AD1">
        <w:rPr>
          <w:rFonts w:ascii="Times New Roman" w:hAnsi="Times New Roman" w:cs="Times New Roman"/>
          <w:sz w:val="24"/>
          <w:szCs w:val="24"/>
        </w:rPr>
        <w:t xml:space="preserve"> za </w:t>
      </w:r>
      <w:r w:rsidR="0035527A">
        <w:rPr>
          <w:rFonts w:ascii="Times New Roman" w:hAnsi="Times New Roman" w:cs="Times New Roman"/>
          <w:sz w:val="24"/>
          <w:szCs w:val="24"/>
        </w:rPr>
        <w:t xml:space="preserve">dobiveni </w:t>
      </w:r>
      <w:r w:rsidRPr="00526AD1">
        <w:rPr>
          <w:rFonts w:ascii="Times New Roman" w:hAnsi="Times New Roman" w:cs="Times New Roman"/>
          <w:sz w:val="24"/>
          <w:szCs w:val="24"/>
        </w:rPr>
        <w:t xml:space="preserve">financijski zajam za financiranje izgradnje kružnog toka uz prateću komunalnu infrastrukturu na cesti Prekomorskih brigada, a temeljem Sporazuma o kreditiranju izgradnje kružnog toka sklopljenog između Grada Pule i </w:t>
      </w:r>
      <w:r w:rsidR="000D3B42">
        <w:rPr>
          <w:rFonts w:ascii="Times New Roman" w:hAnsi="Times New Roman" w:cs="Times New Roman"/>
          <w:sz w:val="24"/>
          <w:szCs w:val="24"/>
        </w:rPr>
        <w:t>trgovačkog društva.</w:t>
      </w:r>
    </w:p>
    <w:p w:rsidR="006E6931" w:rsidRPr="00526AD1" w:rsidRDefault="006E6931" w:rsidP="0052542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931" w:rsidRPr="00526AD1" w:rsidRDefault="006E6931" w:rsidP="006E693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3AAD" w:rsidRDefault="006E6931" w:rsidP="006E693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D1">
        <w:rPr>
          <w:rFonts w:ascii="Times New Roman" w:hAnsi="Times New Roman" w:cs="Times New Roman"/>
          <w:b/>
          <w:sz w:val="24"/>
          <w:szCs w:val="24"/>
        </w:rPr>
        <w:t>B</w:t>
      </w:r>
      <w:r w:rsidR="00053AAD" w:rsidRPr="00526AD1">
        <w:rPr>
          <w:rFonts w:ascii="Times New Roman" w:hAnsi="Times New Roman" w:cs="Times New Roman"/>
          <w:b/>
          <w:sz w:val="24"/>
          <w:szCs w:val="24"/>
        </w:rPr>
        <w:t xml:space="preserve">ILJEŠKA br. </w:t>
      </w:r>
      <w:r w:rsidR="00F616CF">
        <w:rPr>
          <w:rFonts w:ascii="Times New Roman" w:hAnsi="Times New Roman" w:cs="Times New Roman"/>
          <w:b/>
          <w:sz w:val="24"/>
          <w:szCs w:val="24"/>
        </w:rPr>
        <w:t>40</w:t>
      </w:r>
      <w:r w:rsidR="00053AAD" w:rsidRPr="00526AD1">
        <w:rPr>
          <w:rFonts w:ascii="Times New Roman" w:hAnsi="Times New Roman" w:cs="Times New Roman"/>
          <w:b/>
          <w:sz w:val="24"/>
          <w:szCs w:val="24"/>
        </w:rPr>
        <w:t>.</w:t>
      </w:r>
    </w:p>
    <w:p w:rsidR="000D3B42" w:rsidRPr="00526AD1" w:rsidRDefault="000D3B42" w:rsidP="006E693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3AAD" w:rsidRDefault="00053AAD" w:rsidP="000D3B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26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:rsidR="00525422" w:rsidRPr="00526AD1" w:rsidRDefault="00525422" w:rsidP="000D3B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/>
      </w:tblPr>
      <w:tblGrid>
        <w:gridCol w:w="5920"/>
        <w:gridCol w:w="1420"/>
      </w:tblGrid>
      <w:tr w:rsidR="00691A15" w:rsidRPr="00526AD1" w:rsidTr="0053048D">
        <w:trPr>
          <w:trHeight w:val="227"/>
          <w:jc w:val="center"/>
        </w:trPr>
        <w:tc>
          <w:tcPr>
            <w:tcW w:w="5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A15" w:rsidRPr="00526AD1" w:rsidRDefault="00691A15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AOP001</w:t>
            </w:r>
            <w:r w:rsidR="003A7E83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PRIHOD POSLOVANJA (6)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A15" w:rsidRPr="00526AD1" w:rsidRDefault="005236D1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291.662.418</w:t>
            </w:r>
          </w:p>
        </w:tc>
      </w:tr>
      <w:tr w:rsidR="00691A15" w:rsidRPr="00526AD1" w:rsidTr="0053048D">
        <w:trPr>
          <w:trHeight w:val="227"/>
          <w:jc w:val="center"/>
        </w:trPr>
        <w:tc>
          <w:tcPr>
            <w:tcW w:w="5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15" w:rsidRPr="00526AD1" w:rsidRDefault="00691A15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1A15" w:rsidRPr="00526AD1" w:rsidRDefault="00691A15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691A15" w:rsidRPr="00526AD1" w:rsidTr="0053048D">
        <w:trPr>
          <w:trHeight w:val="227"/>
          <w:jc w:val="center"/>
        </w:trPr>
        <w:tc>
          <w:tcPr>
            <w:tcW w:w="5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A15" w:rsidRPr="00526AD1" w:rsidRDefault="00691A15" w:rsidP="00625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AOP28</w:t>
            </w:r>
            <w:r w:rsidR="006253F9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</w:t>
            </w:r>
            <w:r w:rsidR="003A7E83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PRIHOD OD PRODAJE NEFINANC. IMOVINE (7)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A15" w:rsidRPr="00526AD1" w:rsidRDefault="005236D1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31.581.847</w:t>
            </w:r>
          </w:p>
        </w:tc>
      </w:tr>
      <w:tr w:rsidR="00691A15" w:rsidRPr="00526AD1" w:rsidTr="0053048D">
        <w:trPr>
          <w:trHeight w:val="227"/>
          <w:jc w:val="center"/>
        </w:trPr>
        <w:tc>
          <w:tcPr>
            <w:tcW w:w="5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15" w:rsidRPr="00526AD1" w:rsidRDefault="00691A15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1A15" w:rsidRPr="00526AD1" w:rsidRDefault="00691A15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691A15" w:rsidRPr="00526AD1" w:rsidTr="0053048D">
        <w:trPr>
          <w:trHeight w:val="227"/>
          <w:jc w:val="center"/>
        </w:trPr>
        <w:tc>
          <w:tcPr>
            <w:tcW w:w="5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A15" w:rsidRPr="00526AD1" w:rsidRDefault="006253F9" w:rsidP="00625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AOP410</w:t>
            </w:r>
            <w:r w:rsidR="003A7E83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  <w:r w:rsidR="00691A15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PRIMICI OD FINANCIJSKE IMOVINE I ZADUŽIVANJA (</w:t>
            </w:r>
            <w:r w:rsidR="00AE37F0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  <w:r w:rsidR="00691A15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A15" w:rsidRPr="00526AD1" w:rsidRDefault="005236D1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691A15" w:rsidRPr="00526AD1" w:rsidTr="0053048D">
        <w:trPr>
          <w:trHeight w:val="227"/>
          <w:jc w:val="center"/>
        </w:trPr>
        <w:tc>
          <w:tcPr>
            <w:tcW w:w="5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15" w:rsidRPr="00526AD1" w:rsidRDefault="00691A15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1A15" w:rsidRPr="00526AD1" w:rsidRDefault="00691A15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691A15" w:rsidRPr="00526AD1" w:rsidTr="0053048D">
        <w:trPr>
          <w:trHeight w:val="227"/>
          <w:jc w:val="center"/>
        </w:trPr>
        <w:tc>
          <w:tcPr>
            <w:tcW w:w="5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91A15" w:rsidRPr="00526AD1" w:rsidRDefault="00691A15" w:rsidP="00625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AOP6</w:t>
            </w:r>
            <w:r w:rsidR="006253F9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29</w:t>
            </w:r>
            <w:r w:rsidR="003A7E83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UKUPNI PRIHODI I PRIMICI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691A15" w:rsidRPr="00526AD1" w:rsidRDefault="005236D1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323.244.265</w:t>
            </w:r>
          </w:p>
        </w:tc>
      </w:tr>
      <w:tr w:rsidR="00691A15" w:rsidRPr="00526AD1" w:rsidTr="0053048D">
        <w:trPr>
          <w:trHeight w:val="227"/>
          <w:jc w:val="center"/>
        </w:trPr>
        <w:tc>
          <w:tcPr>
            <w:tcW w:w="5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15" w:rsidRPr="00526AD1" w:rsidRDefault="00691A15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1A15" w:rsidRPr="00526AD1" w:rsidRDefault="00691A15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691A15" w:rsidRPr="00526AD1" w:rsidTr="0053048D">
        <w:trPr>
          <w:trHeight w:val="227"/>
          <w:jc w:val="center"/>
        </w:trPr>
        <w:tc>
          <w:tcPr>
            <w:tcW w:w="5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A15" w:rsidRPr="00526AD1" w:rsidRDefault="006253F9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AOP148</w:t>
            </w:r>
            <w:r w:rsidR="003A7E83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  <w:r w:rsidR="00691A15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RASHOD POSLOVANJA (3)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A15" w:rsidRPr="00526AD1" w:rsidRDefault="005236D1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282.861.301</w:t>
            </w:r>
          </w:p>
        </w:tc>
      </w:tr>
      <w:tr w:rsidR="00691A15" w:rsidRPr="00526AD1" w:rsidTr="0053048D">
        <w:trPr>
          <w:trHeight w:val="227"/>
          <w:jc w:val="center"/>
        </w:trPr>
        <w:tc>
          <w:tcPr>
            <w:tcW w:w="5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15" w:rsidRPr="00526AD1" w:rsidRDefault="00691A15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1A15" w:rsidRPr="00526AD1" w:rsidRDefault="00691A15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691A15" w:rsidRPr="00526AD1" w:rsidTr="0095249B">
        <w:trPr>
          <w:trHeight w:val="227"/>
          <w:jc w:val="center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A15" w:rsidRPr="00526AD1" w:rsidRDefault="006253F9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AOP341</w:t>
            </w:r>
            <w:r w:rsidR="003A7E83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  <w:r w:rsidR="00691A15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RASHODI ZA NABAVU NEFINANC. IMOVINE (4)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A15" w:rsidRPr="00526AD1" w:rsidRDefault="005236D1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35.634.643</w:t>
            </w:r>
          </w:p>
        </w:tc>
      </w:tr>
      <w:tr w:rsidR="00691A15" w:rsidRPr="00526AD1" w:rsidTr="0053048D">
        <w:trPr>
          <w:trHeight w:val="227"/>
          <w:jc w:val="center"/>
        </w:trPr>
        <w:tc>
          <w:tcPr>
            <w:tcW w:w="5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15" w:rsidRPr="00526AD1" w:rsidRDefault="00691A15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1A15" w:rsidRPr="00526AD1" w:rsidRDefault="00691A15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691A15" w:rsidRPr="00526AD1" w:rsidTr="0053048D">
        <w:trPr>
          <w:trHeight w:val="227"/>
          <w:jc w:val="center"/>
        </w:trPr>
        <w:tc>
          <w:tcPr>
            <w:tcW w:w="5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A15" w:rsidRPr="00526AD1" w:rsidRDefault="00691A15" w:rsidP="00625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AOP51</w:t>
            </w:r>
            <w:r w:rsidR="006253F9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  <w:r w:rsidR="003A7E83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IZDACI ZA FINANCIJSKU IMOVINU I OTPLATE ZAJMOVA (5)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A15" w:rsidRPr="00526AD1" w:rsidRDefault="005236D1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6.378.889</w:t>
            </w:r>
          </w:p>
        </w:tc>
      </w:tr>
      <w:tr w:rsidR="00691A15" w:rsidRPr="00526AD1" w:rsidTr="0053048D">
        <w:trPr>
          <w:trHeight w:val="227"/>
          <w:jc w:val="center"/>
        </w:trPr>
        <w:tc>
          <w:tcPr>
            <w:tcW w:w="5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15" w:rsidRPr="00526AD1" w:rsidRDefault="00691A15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1A15" w:rsidRPr="00526AD1" w:rsidRDefault="00691A15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691A15" w:rsidRPr="00526AD1" w:rsidTr="005C42E5">
        <w:trPr>
          <w:trHeight w:val="227"/>
          <w:jc w:val="center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91A15" w:rsidRPr="00526AD1" w:rsidRDefault="00691A15" w:rsidP="00625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AOP6</w:t>
            </w:r>
            <w:r w:rsidR="006253F9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30</w:t>
            </w:r>
            <w:r w:rsidR="003A7E83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UKUPNI RASHODI I IZDACI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691A15" w:rsidRPr="00526AD1" w:rsidRDefault="005236D1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324.874.833</w:t>
            </w:r>
          </w:p>
        </w:tc>
      </w:tr>
      <w:tr w:rsidR="00691A15" w:rsidRPr="00526AD1" w:rsidTr="005C42E5">
        <w:trPr>
          <w:trHeight w:val="227"/>
          <w:jc w:val="center"/>
        </w:trPr>
        <w:tc>
          <w:tcPr>
            <w:tcW w:w="5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15" w:rsidRPr="00526AD1" w:rsidRDefault="00691A15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1A15" w:rsidRPr="00526AD1" w:rsidRDefault="00691A15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691A15" w:rsidRPr="00526AD1" w:rsidTr="000D3B42">
        <w:trPr>
          <w:trHeight w:val="481"/>
          <w:jc w:val="center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A15" w:rsidRPr="00526AD1" w:rsidRDefault="00B80669" w:rsidP="00B80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AOP632</w:t>
            </w:r>
            <w:r w:rsidR="003A7E83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MANJAK</w:t>
            </w:r>
            <w:r w:rsidR="00691A15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PRIHODA I PRIMITAKA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A15" w:rsidRPr="00526AD1" w:rsidRDefault="005236D1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1.630.568</w:t>
            </w:r>
          </w:p>
        </w:tc>
      </w:tr>
      <w:tr w:rsidR="00691A15" w:rsidRPr="00526AD1" w:rsidTr="00AE37F0">
        <w:trPr>
          <w:trHeight w:val="415"/>
          <w:jc w:val="center"/>
        </w:trPr>
        <w:tc>
          <w:tcPr>
            <w:tcW w:w="5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A15" w:rsidRPr="00526AD1" w:rsidRDefault="00691A15" w:rsidP="00625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AOP63</w:t>
            </w:r>
            <w:r w:rsidR="006253F9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  <w:r w:rsidR="003A7E83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PRENESENI PRIHODI I PRIMICI</w:t>
            </w:r>
            <w:r w:rsidR="003A7E83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  <w:r w:rsidR="006253F9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višak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A15" w:rsidRPr="00526AD1" w:rsidRDefault="005236D1" w:rsidP="000D3B4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43.448.453</w:t>
            </w:r>
          </w:p>
        </w:tc>
      </w:tr>
      <w:tr w:rsidR="00691A15" w:rsidRPr="00526AD1" w:rsidTr="0053048D">
        <w:trPr>
          <w:trHeight w:val="563"/>
          <w:jc w:val="center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91A15" w:rsidRPr="00526AD1" w:rsidRDefault="00691A15" w:rsidP="00B80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AOP63</w:t>
            </w:r>
            <w:r w:rsidR="006253F9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  <w:r w:rsidR="003A7E83"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VIŠAK PRIHODA I PRIMITAKA RASPOLOŽIV U SLJEDEĆEM RAZDOBLJU (UKUPNI FINANCIJSKI REZULTAT NA 31.12.</w:t>
            </w:r>
            <w:r w:rsidR="003C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2019.</w:t>
            </w:r>
            <w:r w:rsidRPr="00526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91A15" w:rsidRPr="00526AD1" w:rsidRDefault="005236D1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41.817.885</w:t>
            </w:r>
          </w:p>
        </w:tc>
      </w:tr>
    </w:tbl>
    <w:p w:rsidR="005C42E5" w:rsidRDefault="005C42E5" w:rsidP="005F132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1A15" w:rsidRPr="00526AD1" w:rsidRDefault="00053AAD" w:rsidP="0052542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 xml:space="preserve">Ukupni prihodi i primici ostvareni su u iznosu od </w:t>
      </w:r>
      <w:r w:rsidR="005236D1">
        <w:rPr>
          <w:rFonts w:ascii="Times New Roman" w:hAnsi="Times New Roman" w:cs="Times New Roman"/>
          <w:sz w:val="24"/>
          <w:szCs w:val="24"/>
        </w:rPr>
        <w:t>323.244.265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 odnosno za </w:t>
      </w:r>
      <w:r w:rsidR="005236D1">
        <w:rPr>
          <w:rFonts w:ascii="Times New Roman" w:hAnsi="Times New Roman" w:cs="Times New Roman"/>
          <w:sz w:val="24"/>
          <w:szCs w:val="24"/>
        </w:rPr>
        <w:t>4,1</w:t>
      </w:r>
      <w:r w:rsidRPr="00526AD1">
        <w:rPr>
          <w:rFonts w:ascii="Times New Roman" w:hAnsi="Times New Roman" w:cs="Times New Roman"/>
          <w:sz w:val="24"/>
          <w:szCs w:val="24"/>
        </w:rPr>
        <w:t xml:space="preserve">% </w:t>
      </w:r>
      <w:r w:rsidR="005236D1">
        <w:rPr>
          <w:rFonts w:ascii="Times New Roman" w:hAnsi="Times New Roman" w:cs="Times New Roman"/>
          <w:sz w:val="24"/>
          <w:szCs w:val="24"/>
        </w:rPr>
        <w:t>više</w:t>
      </w:r>
      <w:r w:rsidRPr="00526AD1">
        <w:rPr>
          <w:rFonts w:ascii="Times New Roman" w:hAnsi="Times New Roman" w:cs="Times New Roman"/>
          <w:sz w:val="24"/>
          <w:szCs w:val="24"/>
        </w:rPr>
        <w:t xml:space="preserve"> nego u istom izvještajnom razdoblju </w:t>
      </w:r>
      <w:r w:rsidR="00685BE8">
        <w:rPr>
          <w:rFonts w:ascii="Times New Roman" w:hAnsi="Times New Roman" w:cs="Times New Roman"/>
          <w:sz w:val="24"/>
          <w:szCs w:val="24"/>
        </w:rPr>
        <w:t>2018.</w:t>
      </w:r>
      <w:r w:rsidRPr="00526AD1">
        <w:rPr>
          <w:rFonts w:ascii="Times New Roman" w:hAnsi="Times New Roman" w:cs="Times New Roman"/>
          <w:sz w:val="24"/>
          <w:szCs w:val="24"/>
        </w:rPr>
        <w:t xml:space="preserve"> godine, a rashodi i izdaci ostvareni su u iznosu od </w:t>
      </w:r>
      <w:r w:rsidR="005236D1">
        <w:rPr>
          <w:rFonts w:ascii="Times New Roman" w:hAnsi="Times New Roman" w:cs="Times New Roman"/>
          <w:sz w:val="24"/>
          <w:szCs w:val="24"/>
        </w:rPr>
        <w:t>324.874.833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 </w:t>
      </w:r>
      <w:r w:rsidR="00A47292" w:rsidRPr="00526AD1">
        <w:rPr>
          <w:rFonts w:ascii="Times New Roman" w:hAnsi="Times New Roman" w:cs="Times New Roman"/>
          <w:sz w:val="24"/>
          <w:szCs w:val="24"/>
        </w:rPr>
        <w:t xml:space="preserve">što je za </w:t>
      </w:r>
      <w:r w:rsidR="005236D1">
        <w:rPr>
          <w:rFonts w:ascii="Times New Roman" w:hAnsi="Times New Roman" w:cs="Times New Roman"/>
          <w:sz w:val="24"/>
          <w:szCs w:val="24"/>
        </w:rPr>
        <w:t>3,5</w:t>
      </w:r>
      <w:r w:rsidR="00A47292" w:rsidRPr="00526AD1">
        <w:rPr>
          <w:rFonts w:ascii="Times New Roman" w:hAnsi="Times New Roman" w:cs="Times New Roman"/>
          <w:sz w:val="24"/>
          <w:szCs w:val="24"/>
        </w:rPr>
        <w:t xml:space="preserve">% </w:t>
      </w:r>
      <w:r w:rsidR="002820E0">
        <w:rPr>
          <w:rFonts w:ascii="Times New Roman" w:hAnsi="Times New Roman" w:cs="Times New Roman"/>
          <w:sz w:val="24"/>
          <w:szCs w:val="24"/>
        </w:rPr>
        <w:t>više</w:t>
      </w:r>
      <w:r w:rsidR="00A47292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sz w:val="24"/>
          <w:szCs w:val="24"/>
        </w:rPr>
        <w:t xml:space="preserve">nego u istom izvještajnom razdoblju </w:t>
      </w:r>
      <w:r w:rsidR="00685BE8">
        <w:rPr>
          <w:rFonts w:ascii="Times New Roman" w:hAnsi="Times New Roman" w:cs="Times New Roman"/>
          <w:sz w:val="24"/>
          <w:szCs w:val="24"/>
        </w:rPr>
        <w:t>2018.</w:t>
      </w:r>
      <w:r w:rsidRPr="00526AD1">
        <w:rPr>
          <w:rFonts w:ascii="Times New Roman" w:hAnsi="Times New Roman" w:cs="Times New Roman"/>
          <w:sz w:val="24"/>
          <w:szCs w:val="24"/>
        </w:rPr>
        <w:t xml:space="preserve"> godine</w:t>
      </w:r>
      <w:r w:rsidRPr="00853D5A">
        <w:rPr>
          <w:rFonts w:ascii="Times New Roman" w:hAnsi="Times New Roman" w:cs="Times New Roman"/>
          <w:sz w:val="24"/>
          <w:szCs w:val="24"/>
        </w:rPr>
        <w:t>.</w:t>
      </w:r>
    </w:p>
    <w:p w:rsidR="005F1326" w:rsidRPr="00526AD1" w:rsidRDefault="005F1326" w:rsidP="0052542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3AAD" w:rsidRPr="00526AD1" w:rsidRDefault="00A47292" w:rsidP="0052542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lastRenderedPageBreak/>
        <w:t>Prenese</w:t>
      </w:r>
      <w:r w:rsidR="00AE37F0" w:rsidRPr="00526AD1">
        <w:rPr>
          <w:rFonts w:ascii="Times New Roman" w:hAnsi="Times New Roman" w:cs="Times New Roman"/>
          <w:sz w:val="24"/>
          <w:szCs w:val="24"/>
        </w:rPr>
        <w:t xml:space="preserve">ni rezultat poslovanja </w:t>
      </w:r>
      <w:r w:rsidR="003A7E83" w:rsidRPr="00526AD1">
        <w:rPr>
          <w:rFonts w:ascii="Times New Roman" w:hAnsi="Times New Roman" w:cs="Times New Roman"/>
          <w:sz w:val="24"/>
          <w:szCs w:val="24"/>
        </w:rPr>
        <w:t>-</w:t>
      </w:r>
      <w:r w:rsidR="00AE37F0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6253F9" w:rsidRPr="00526AD1">
        <w:rPr>
          <w:rFonts w:ascii="Times New Roman" w:hAnsi="Times New Roman" w:cs="Times New Roman"/>
          <w:sz w:val="24"/>
          <w:szCs w:val="24"/>
        </w:rPr>
        <w:t>višak</w:t>
      </w:r>
      <w:r w:rsidR="00AE37F0" w:rsidRPr="00526AD1">
        <w:rPr>
          <w:rFonts w:ascii="Times New Roman" w:hAnsi="Times New Roman" w:cs="Times New Roman"/>
          <w:sz w:val="24"/>
          <w:szCs w:val="24"/>
        </w:rPr>
        <w:t xml:space="preserve">, </w:t>
      </w:r>
      <w:r w:rsidRPr="00526AD1">
        <w:rPr>
          <w:rFonts w:ascii="Times New Roman" w:hAnsi="Times New Roman" w:cs="Times New Roman"/>
          <w:sz w:val="24"/>
          <w:szCs w:val="24"/>
        </w:rPr>
        <w:t xml:space="preserve">iznosi </w:t>
      </w:r>
      <w:r w:rsidR="005236D1">
        <w:rPr>
          <w:rFonts w:ascii="Times New Roman" w:hAnsi="Times New Roman" w:cs="Times New Roman"/>
          <w:sz w:val="24"/>
          <w:szCs w:val="24"/>
        </w:rPr>
        <w:t>43.448.453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</w:t>
      </w:r>
      <w:r w:rsidR="00AE37F0" w:rsidRPr="00526AD1">
        <w:rPr>
          <w:rFonts w:ascii="Times New Roman" w:hAnsi="Times New Roman" w:cs="Times New Roman"/>
          <w:sz w:val="24"/>
          <w:szCs w:val="24"/>
        </w:rPr>
        <w:t>, te je konačni rezultat Grada</w:t>
      </w:r>
      <w:r w:rsidR="005C42E5">
        <w:rPr>
          <w:rFonts w:ascii="Times New Roman" w:hAnsi="Times New Roman" w:cs="Times New Roman"/>
          <w:sz w:val="24"/>
          <w:szCs w:val="24"/>
        </w:rPr>
        <w:t xml:space="preserve"> na dan 31.12.</w:t>
      </w:r>
      <w:r w:rsidR="003C20C6">
        <w:rPr>
          <w:rFonts w:ascii="Times New Roman" w:hAnsi="Times New Roman" w:cs="Times New Roman"/>
          <w:sz w:val="24"/>
          <w:szCs w:val="24"/>
        </w:rPr>
        <w:t>2019.</w:t>
      </w:r>
      <w:r w:rsidR="005C42E5">
        <w:rPr>
          <w:rFonts w:ascii="Times New Roman" w:hAnsi="Times New Roman" w:cs="Times New Roman"/>
          <w:sz w:val="24"/>
          <w:szCs w:val="24"/>
        </w:rPr>
        <w:t xml:space="preserve"> godine</w:t>
      </w:r>
      <w:r w:rsidR="005F1326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sz w:val="24"/>
          <w:szCs w:val="24"/>
        </w:rPr>
        <w:t>višak</w:t>
      </w:r>
      <w:r w:rsidR="00053AAD" w:rsidRPr="00526AD1">
        <w:rPr>
          <w:rFonts w:ascii="Times New Roman" w:hAnsi="Times New Roman" w:cs="Times New Roman"/>
          <w:sz w:val="24"/>
          <w:szCs w:val="24"/>
        </w:rPr>
        <w:t xml:space="preserve"> prihoda i primitaka </w:t>
      </w:r>
      <w:r w:rsidRPr="00526AD1">
        <w:rPr>
          <w:rFonts w:ascii="Times New Roman" w:hAnsi="Times New Roman" w:cs="Times New Roman"/>
          <w:sz w:val="24"/>
          <w:szCs w:val="24"/>
        </w:rPr>
        <w:t>raspoloživ u sljedećem razdoblju</w:t>
      </w:r>
      <w:r w:rsidR="00AE37F0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5C42E5">
        <w:rPr>
          <w:rFonts w:ascii="Times New Roman" w:hAnsi="Times New Roman" w:cs="Times New Roman"/>
          <w:sz w:val="24"/>
          <w:szCs w:val="24"/>
        </w:rPr>
        <w:t>u iznosu od</w:t>
      </w:r>
      <w:r w:rsidR="00AE37F0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5236D1">
        <w:rPr>
          <w:rFonts w:ascii="Times New Roman" w:hAnsi="Times New Roman" w:cs="Times New Roman"/>
          <w:sz w:val="24"/>
          <w:szCs w:val="24"/>
        </w:rPr>
        <w:t>41.817.885</w:t>
      </w:r>
      <w:r w:rsidR="00053AAD" w:rsidRPr="00526AD1">
        <w:rPr>
          <w:rFonts w:ascii="Times New Roman" w:hAnsi="Times New Roman" w:cs="Times New Roman"/>
          <w:sz w:val="24"/>
          <w:szCs w:val="24"/>
        </w:rPr>
        <w:t xml:space="preserve"> kn</w:t>
      </w:r>
      <w:r w:rsidRPr="00526AD1">
        <w:rPr>
          <w:rFonts w:ascii="Times New Roman" w:hAnsi="Times New Roman" w:cs="Times New Roman"/>
          <w:sz w:val="24"/>
          <w:szCs w:val="24"/>
        </w:rPr>
        <w:t>.</w:t>
      </w:r>
    </w:p>
    <w:p w:rsidR="00D1426A" w:rsidRDefault="00D14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D5A" w:rsidRDefault="00853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D5A" w:rsidRDefault="00853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3E2" w:rsidRPr="00526AD1" w:rsidRDefault="00D153E2" w:rsidP="000D3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26A">
        <w:rPr>
          <w:rFonts w:ascii="Times New Roman" w:hAnsi="Times New Roman" w:cs="Times New Roman"/>
          <w:b/>
          <w:sz w:val="24"/>
          <w:szCs w:val="24"/>
        </w:rPr>
        <w:t>Obrazac RAS</w:t>
      </w:r>
      <w:r w:rsidR="003A7E83" w:rsidRPr="00D1426A">
        <w:rPr>
          <w:rFonts w:ascii="Times New Roman" w:hAnsi="Times New Roman" w:cs="Times New Roman"/>
          <w:b/>
          <w:sz w:val="24"/>
          <w:szCs w:val="24"/>
        </w:rPr>
        <w:t>-</w:t>
      </w:r>
      <w:r w:rsidRPr="00D1426A">
        <w:rPr>
          <w:rFonts w:ascii="Times New Roman" w:hAnsi="Times New Roman" w:cs="Times New Roman"/>
          <w:b/>
          <w:sz w:val="24"/>
          <w:szCs w:val="24"/>
        </w:rPr>
        <w:t xml:space="preserve">funkcijski </w:t>
      </w:r>
      <w:r w:rsidR="003A7E83" w:rsidRPr="00D1426A">
        <w:rPr>
          <w:rFonts w:ascii="Times New Roman" w:hAnsi="Times New Roman" w:cs="Times New Roman"/>
          <w:b/>
          <w:sz w:val="24"/>
          <w:szCs w:val="24"/>
        </w:rPr>
        <w:t>-</w:t>
      </w:r>
      <w:r w:rsidRPr="00526AD1">
        <w:rPr>
          <w:rFonts w:ascii="Times New Roman" w:hAnsi="Times New Roman" w:cs="Times New Roman"/>
          <w:b/>
          <w:sz w:val="24"/>
          <w:szCs w:val="24"/>
        </w:rPr>
        <w:t xml:space="preserve"> Izvještaj rashodima prema funkcijskoj klasifikaciji</w:t>
      </w:r>
    </w:p>
    <w:p w:rsidR="00E1746C" w:rsidRDefault="00E1746C" w:rsidP="005F1326">
      <w:pPr>
        <w:pStyle w:val="Style20"/>
        <w:widowControl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</w:rPr>
      </w:pPr>
    </w:p>
    <w:p w:rsidR="00D153E2" w:rsidRPr="00526AD1" w:rsidRDefault="00D153E2" w:rsidP="005F1326">
      <w:pPr>
        <w:pStyle w:val="Style20"/>
        <w:widowControl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</w:rPr>
      </w:pPr>
      <w:r w:rsidRPr="002C335C">
        <w:rPr>
          <w:rFonts w:ascii="Times New Roman" w:hAnsi="Times New Roman" w:cs="Times New Roman"/>
          <w:b/>
        </w:rPr>
        <w:t>BILJEŠKA br.</w:t>
      </w:r>
      <w:r w:rsidR="004D1D02" w:rsidRPr="002C335C">
        <w:rPr>
          <w:rFonts w:ascii="Times New Roman" w:hAnsi="Times New Roman" w:cs="Times New Roman"/>
          <w:b/>
        </w:rPr>
        <w:t xml:space="preserve"> </w:t>
      </w:r>
      <w:r w:rsidR="00F616CF" w:rsidRPr="002C335C">
        <w:rPr>
          <w:rFonts w:ascii="Times New Roman" w:hAnsi="Times New Roman" w:cs="Times New Roman"/>
          <w:b/>
        </w:rPr>
        <w:t>41</w:t>
      </w:r>
      <w:r w:rsidR="004D1D02" w:rsidRPr="002C335C">
        <w:rPr>
          <w:rFonts w:ascii="Times New Roman" w:hAnsi="Times New Roman" w:cs="Times New Roman"/>
          <w:b/>
        </w:rPr>
        <w:t>.</w:t>
      </w:r>
    </w:p>
    <w:p w:rsidR="00D153E2" w:rsidRDefault="00D153E2" w:rsidP="0052542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Izvještaj prikazuje ukupne rashode poslovanja (A</w:t>
      </w:r>
      <w:r w:rsidR="00887D17" w:rsidRPr="00526AD1">
        <w:rPr>
          <w:rFonts w:ascii="Times New Roman" w:hAnsi="Times New Roman" w:cs="Times New Roman"/>
          <w:sz w:val="24"/>
          <w:szCs w:val="24"/>
        </w:rPr>
        <w:t>OP</w:t>
      </w:r>
      <w:r w:rsidRPr="00526AD1">
        <w:rPr>
          <w:rFonts w:ascii="Times New Roman" w:hAnsi="Times New Roman" w:cs="Times New Roman"/>
          <w:sz w:val="24"/>
          <w:szCs w:val="24"/>
        </w:rPr>
        <w:t>14</w:t>
      </w:r>
      <w:r w:rsidR="003215AE">
        <w:rPr>
          <w:rFonts w:ascii="Times New Roman" w:hAnsi="Times New Roman" w:cs="Times New Roman"/>
          <w:sz w:val="24"/>
          <w:szCs w:val="24"/>
        </w:rPr>
        <w:t>8</w:t>
      </w:r>
      <w:r w:rsidRPr="00526AD1">
        <w:rPr>
          <w:rFonts w:ascii="Times New Roman" w:hAnsi="Times New Roman" w:cs="Times New Roman"/>
          <w:sz w:val="24"/>
          <w:szCs w:val="24"/>
        </w:rPr>
        <w:t>) umanjene za Prijenose proračunskim korisnicima iz nadležnog proračuna za financiranje redovne djelatnosti (AOP234) i ukupne rashode za naba</w:t>
      </w:r>
      <w:r w:rsidR="003215AE">
        <w:rPr>
          <w:rFonts w:ascii="Times New Roman" w:hAnsi="Times New Roman" w:cs="Times New Roman"/>
          <w:sz w:val="24"/>
          <w:szCs w:val="24"/>
        </w:rPr>
        <w:t>vu nefinancijske imovine (AOP341</w:t>
      </w:r>
      <w:r w:rsidRPr="00526AD1">
        <w:rPr>
          <w:rFonts w:ascii="Times New Roman" w:hAnsi="Times New Roman" w:cs="Times New Roman"/>
          <w:sz w:val="24"/>
          <w:szCs w:val="24"/>
        </w:rPr>
        <w:t>) iz obrasca PR</w:t>
      </w:r>
      <w:r w:rsidR="003A7E83" w:rsidRPr="00526AD1">
        <w:rPr>
          <w:rFonts w:ascii="Times New Roman" w:hAnsi="Times New Roman" w:cs="Times New Roman"/>
          <w:sz w:val="24"/>
          <w:szCs w:val="24"/>
        </w:rPr>
        <w:t>-</w:t>
      </w:r>
      <w:r w:rsidRPr="00526AD1">
        <w:rPr>
          <w:rFonts w:ascii="Times New Roman" w:hAnsi="Times New Roman" w:cs="Times New Roman"/>
          <w:sz w:val="24"/>
          <w:szCs w:val="24"/>
        </w:rPr>
        <w:t>RAS razvrstane prema funkcijskoj klasifikaciji.</w:t>
      </w:r>
    </w:p>
    <w:p w:rsidR="000D3B42" w:rsidRDefault="000D3B42" w:rsidP="000D3B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3B42" w:rsidRDefault="000D3B42" w:rsidP="000D3B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3D5A" w:rsidRPr="00526AD1" w:rsidRDefault="00853D5A" w:rsidP="000D3B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53E2" w:rsidRPr="00526AD1" w:rsidRDefault="00D153E2" w:rsidP="000D3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6BB">
        <w:rPr>
          <w:rFonts w:ascii="Times New Roman" w:hAnsi="Times New Roman" w:cs="Times New Roman"/>
          <w:b/>
          <w:sz w:val="24"/>
          <w:szCs w:val="24"/>
        </w:rPr>
        <w:t>Obrazac P</w:t>
      </w:r>
      <w:r w:rsidR="003A7E83" w:rsidRPr="00D746BB">
        <w:rPr>
          <w:rFonts w:ascii="Times New Roman" w:hAnsi="Times New Roman" w:cs="Times New Roman"/>
          <w:b/>
          <w:sz w:val="24"/>
          <w:szCs w:val="24"/>
        </w:rPr>
        <w:t>-</w:t>
      </w:r>
      <w:r w:rsidRPr="00D746BB">
        <w:rPr>
          <w:rFonts w:ascii="Times New Roman" w:hAnsi="Times New Roman" w:cs="Times New Roman"/>
          <w:b/>
          <w:sz w:val="24"/>
          <w:szCs w:val="24"/>
        </w:rPr>
        <w:t>VRIO</w:t>
      </w:r>
      <w:r w:rsidRPr="00526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E83" w:rsidRPr="00526AD1">
        <w:rPr>
          <w:rFonts w:ascii="Times New Roman" w:hAnsi="Times New Roman" w:cs="Times New Roman"/>
          <w:b/>
          <w:sz w:val="24"/>
          <w:szCs w:val="24"/>
        </w:rPr>
        <w:t>-</w:t>
      </w:r>
      <w:r w:rsidRPr="00526AD1">
        <w:rPr>
          <w:rFonts w:ascii="Times New Roman" w:hAnsi="Times New Roman" w:cs="Times New Roman"/>
          <w:b/>
          <w:sz w:val="24"/>
          <w:szCs w:val="24"/>
        </w:rPr>
        <w:t xml:space="preserve">  Izvještaj o promjenama u vrijednosti i obujmu imovine i obveza</w:t>
      </w:r>
    </w:p>
    <w:p w:rsidR="00E1746C" w:rsidRDefault="00E1746C" w:rsidP="005F1326">
      <w:pPr>
        <w:pStyle w:val="Style20"/>
        <w:widowControl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</w:rPr>
      </w:pPr>
    </w:p>
    <w:p w:rsidR="00BE5B55" w:rsidRDefault="00BE5B55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2C335C">
        <w:rPr>
          <w:rFonts w:ascii="Times New Roman" w:hAnsi="Times New Roman" w:cs="Times New Roman"/>
          <w:b/>
        </w:rPr>
        <w:t xml:space="preserve">BILJEŠKA br. </w:t>
      </w:r>
      <w:r w:rsidR="00B80669" w:rsidRPr="002C335C">
        <w:rPr>
          <w:rFonts w:ascii="Times New Roman" w:hAnsi="Times New Roman" w:cs="Times New Roman"/>
          <w:b/>
        </w:rPr>
        <w:t>4</w:t>
      </w:r>
      <w:r w:rsidR="00F616CF" w:rsidRPr="002C335C">
        <w:rPr>
          <w:rFonts w:ascii="Times New Roman" w:hAnsi="Times New Roman" w:cs="Times New Roman"/>
          <w:b/>
        </w:rPr>
        <w:t>2</w:t>
      </w:r>
      <w:r w:rsidR="004D1D02" w:rsidRPr="002C335C">
        <w:rPr>
          <w:rFonts w:ascii="Times New Roman" w:hAnsi="Times New Roman" w:cs="Times New Roman"/>
          <w:b/>
        </w:rPr>
        <w:t>.</w:t>
      </w:r>
      <w:r w:rsidR="00D746BB">
        <w:rPr>
          <w:rFonts w:ascii="Times New Roman" w:hAnsi="Times New Roman" w:cs="Times New Roman"/>
          <w:b/>
        </w:rPr>
        <w:t xml:space="preserve">  </w:t>
      </w:r>
    </w:p>
    <w:p w:rsidR="00E1746C" w:rsidRPr="002C335C" w:rsidRDefault="00E1746C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BE5B55" w:rsidRPr="002C335C" w:rsidRDefault="00BE5B55" w:rsidP="00E174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35C">
        <w:rPr>
          <w:rFonts w:ascii="Times New Roman" w:hAnsi="Times New Roman" w:cs="Times New Roman"/>
          <w:sz w:val="24"/>
          <w:szCs w:val="24"/>
        </w:rPr>
        <w:t xml:space="preserve">AOP001 PROMJENE U VRIJEDNOSTI I OBUJMU IMOVINE </w:t>
      </w:r>
      <w:r w:rsidR="003A7E83" w:rsidRPr="002C335C">
        <w:rPr>
          <w:rFonts w:ascii="Times New Roman" w:hAnsi="Times New Roman" w:cs="Times New Roman"/>
          <w:sz w:val="24"/>
          <w:szCs w:val="24"/>
        </w:rPr>
        <w:t>-</w:t>
      </w:r>
      <w:r w:rsidR="00FC1B41" w:rsidRPr="002C335C">
        <w:rPr>
          <w:rFonts w:ascii="Times New Roman" w:hAnsi="Times New Roman" w:cs="Times New Roman"/>
          <w:sz w:val="24"/>
          <w:szCs w:val="24"/>
        </w:rPr>
        <w:t xml:space="preserve"> POVEĆANJE</w:t>
      </w:r>
    </w:p>
    <w:p w:rsidR="00D9020D" w:rsidRPr="002C335C" w:rsidRDefault="00BE5B55" w:rsidP="00E1746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35C">
        <w:rPr>
          <w:rFonts w:ascii="Times New Roman" w:hAnsi="Times New Roman" w:cs="Times New Roman"/>
          <w:sz w:val="24"/>
          <w:szCs w:val="24"/>
        </w:rPr>
        <w:t xml:space="preserve">Povećanje u iznosu od </w:t>
      </w:r>
      <w:r w:rsidR="00713B4D" w:rsidRPr="002C335C">
        <w:rPr>
          <w:rFonts w:ascii="Times New Roman" w:hAnsi="Times New Roman" w:cs="Times New Roman"/>
          <w:sz w:val="24"/>
          <w:szCs w:val="24"/>
        </w:rPr>
        <w:t>1.</w:t>
      </w:r>
      <w:r w:rsidR="00100FC0" w:rsidRPr="002C335C">
        <w:rPr>
          <w:rFonts w:ascii="Times New Roman" w:hAnsi="Times New Roman" w:cs="Times New Roman"/>
          <w:sz w:val="24"/>
          <w:szCs w:val="24"/>
        </w:rPr>
        <w:t>057.527.509</w:t>
      </w:r>
      <w:r w:rsidRPr="002C335C">
        <w:rPr>
          <w:rFonts w:ascii="Times New Roman" w:hAnsi="Times New Roman" w:cs="Times New Roman"/>
          <w:sz w:val="24"/>
          <w:szCs w:val="24"/>
        </w:rPr>
        <w:t xml:space="preserve"> kn odnosi se na promjene u</w:t>
      </w:r>
      <w:r w:rsidR="00D746BB" w:rsidRPr="00D746BB">
        <w:rPr>
          <w:rFonts w:ascii="Times New Roman" w:hAnsi="Times New Roman" w:cs="Times New Roman"/>
          <w:sz w:val="24"/>
          <w:szCs w:val="24"/>
        </w:rPr>
        <w:t>:</w:t>
      </w:r>
    </w:p>
    <w:p w:rsidR="003215AE" w:rsidRPr="002C335C" w:rsidRDefault="003215AE" w:rsidP="00E1746C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54F" w:rsidRPr="0082098F" w:rsidRDefault="000530DC" w:rsidP="00E1746C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8F">
        <w:rPr>
          <w:rFonts w:ascii="Times New Roman" w:hAnsi="Times New Roman" w:cs="Times New Roman"/>
          <w:sz w:val="24"/>
          <w:szCs w:val="24"/>
        </w:rPr>
        <w:t xml:space="preserve">POVEĆANJU VRIJEDNOSTI IMOVINE </w:t>
      </w:r>
      <w:r w:rsidR="00567A20" w:rsidRPr="0082098F">
        <w:rPr>
          <w:rFonts w:ascii="Times New Roman" w:hAnsi="Times New Roman" w:cs="Times New Roman"/>
          <w:sz w:val="24"/>
          <w:szCs w:val="24"/>
        </w:rPr>
        <w:t>i to</w:t>
      </w:r>
      <w:r w:rsidR="00D9020D" w:rsidRPr="0082098F">
        <w:rPr>
          <w:rFonts w:ascii="Times New Roman" w:hAnsi="Times New Roman" w:cs="Times New Roman"/>
          <w:sz w:val="24"/>
          <w:szCs w:val="24"/>
        </w:rPr>
        <w:t xml:space="preserve"> </w:t>
      </w:r>
      <w:r w:rsidRPr="0082098F">
        <w:rPr>
          <w:rFonts w:ascii="Times New Roman" w:hAnsi="Times New Roman" w:cs="Times New Roman"/>
          <w:sz w:val="24"/>
          <w:szCs w:val="24"/>
        </w:rPr>
        <w:t>N</w:t>
      </w:r>
      <w:r w:rsidR="00D9020D" w:rsidRPr="0082098F">
        <w:rPr>
          <w:rFonts w:ascii="Times New Roman" w:hAnsi="Times New Roman" w:cs="Times New Roman"/>
          <w:sz w:val="24"/>
          <w:szCs w:val="24"/>
        </w:rPr>
        <w:t>eproizvedene dugotrajne imovine</w:t>
      </w:r>
      <w:r w:rsidR="00BE5B55" w:rsidRPr="0082098F">
        <w:rPr>
          <w:rFonts w:ascii="Times New Roman" w:hAnsi="Times New Roman" w:cs="Times New Roman"/>
          <w:sz w:val="24"/>
          <w:szCs w:val="24"/>
        </w:rPr>
        <w:t xml:space="preserve"> </w:t>
      </w:r>
      <w:r w:rsidR="00D9020D" w:rsidRPr="0082098F">
        <w:rPr>
          <w:rFonts w:ascii="Times New Roman" w:hAnsi="Times New Roman" w:cs="Times New Roman"/>
          <w:sz w:val="24"/>
          <w:szCs w:val="24"/>
        </w:rPr>
        <w:t xml:space="preserve">(AOP004) </w:t>
      </w:r>
      <w:r w:rsidR="003A7E83" w:rsidRPr="0082098F">
        <w:rPr>
          <w:rFonts w:ascii="Times New Roman" w:hAnsi="Times New Roman" w:cs="Times New Roman"/>
          <w:sz w:val="24"/>
          <w:szCs w:val="24"/>
        </w:rPr>
        <w:t>-</w:t>
      </w:r>
      <w:r w:rsidR="00D9020D" w:rsidRPr="0082098F">
        <w:rPr>
          <w:rFonts w:ascii="Times New Roman" w:hAnsi="Times New Roman" w:cs="Times New Roman"/>
          <w:sz w:val="24"/>
          <w:szCs w:val="24"/>
        </w:rPr>
        <w:t xml:space="preserve"> za 1.</w:t>
      </w:r>
      <w:r w:rsidR="00100FC0" w:rsidRPr="0082098F">
        <w:rPr>
          <w:rFonts w:ascii="Times New Roman" w:hAnsi="Times New Roman" w:cs="Times New Roman"/>
          <w:sz w:val="24"/>
          <w:szCs w:val="24"/>
        </w:rPr>
        <w:t xml:space="preserve">056.517.509 </w:t>
      </w:r>
      <w:r w:rsidR="00D9020D" w:rsidRPr="0082098F">
        <w:rPr>
          <w:rFonts w:ascii="Times New Roman" w:hAnsi="Times New Roman" w:cs="Times New Roman"/>
          <w:sz w:val="24"/>
          <w:szCs w:val="24"/>
        </w:rPr>
        <w:t xml:space="preserve">kn. </w:t>
      </w:r>
    </w:p>
    <w:p w:rsidR="0080254F" w:rsidRPr="0082098F" w:rsidRDefault="0080254F" w:rsidP="00E1746C">
      <w:pPr>
        <w:pStyle w:val="NoSpacing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098F">
        <w:rPr>
          <w:rFonts w:ascii="Times New Roman" w:hAnsi="Times New Roman" w:cs="Times New Roman"/>
          <w:sz w:val="24"/>
          <w:szCs w:val="24"/>
        </w:rPr>
        <w:t xml:space="preserve">Do promjene u vrijednosti zemljišta, kao i u samoj površini dolazi zbog usklađenja podataka koje se vrši direktno u Registru nekretnina,  odnosno unose se nove jedinice imovine, vrši se </w:t>
      </w:r>
      <w:r w:rsidRPr="0082098F">
        <w:rPr>
          <w:rFonts w:ascii="Times New Roman" w:hAnsi="Times New Roman"/>
          <w:sz w:val="24"/>
          <w:szCs w:val="24"/>
        </w:rPr>
        <w:t>pojedinačna procjen</w:t>
      </w:r>
      <w:r w:rsidRPr="0082098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82098F">
        <w:rPr>
          <w:rFonts w:ascii="Times New Roman" w:hAnsi="Times New Roman"/>
          <w:sz w:val="24"/>
          <w:szCs w:val="24"/>
        </w:rPr>
        <w:t xml:space="preserve">jedinica imovine </w:t>
      </w:r>
      <w:r w:rsidRPr="0082098F">
        <w:rPr>
          <w:rFonts w:ascii="Times New Roman" w:eastAsia="Calibri" w:hAnsi="Times New Roman" w:cs="Times New Roman"/>
          <w:sz w:val="24"/>
          <w:szCs w:val="24"/>
        </w:rPr>
        <w:t>pr</w:t>
      </w:r>
      <w:r w:rsidRPr="0082098F">
        <w:rPr>
          <w:rFonts w:ascii="Times New Roman" w:hAnsi="Times New Roman"/>
          <w:sz w:val="24"/>
          <w:szCs w:val="24"/>
        </w:rPr>
        <w:t>ema stvarnom položaju i namjeni, evidentiraju se promjene</w:t>
      </w:r>
      <w:r w:rsidRPr="0082098F">
        <w:rPr>
          <w:rFonts w:ascii="Times New Roman" w:eastAsia="Calibri" w:hAnsi="Times New Roman" w:cs="Times New Roman"/>
          <w:sz w:val="24"/>
          <w:szCs w:val="24"/>
        </w:rPr>
        <w:t xml:space="preserve"> prema pristiglim završnim rj</w:t>
      </w:r>
      <w:r w:rsidRPr="0082098F">
        <w:rPr>
          <w:rFonts w:ascii="Times New Roman" w:hAnsi="Times New Roman"/>
          <w:sz w:val="24"/>
          <w:szCs w:val="24"/>
        </w:rPr>
        <w:t xml:space="preserve">ešenjima Općinskog suda u Puli </w:t>
      </w:r>
      <w:r w:rsidRPr="0082098F">
        <w:rPr>
          <w:rFonts w:ascii="Times New Roman" w:eastAsia="Calibri" w:hAnsi="Times New Roman" w:cs="Times New Roman"/>
          <w:sz w:val="24"/>
          <w:szCs w:val="24"/>
        </w:rPr>
        <w:t>i</w:t>
      </w:r>
      <w:r w:rsidRPr="0082098F">
        <w:rPr>
          <w:rFonts w:ascii="Times New Roman" w:hAnsi="Times New Roman"/>
          <w:sz w:val="24"/>
          <w:szCs w:val="24"/>
        </w:rPr>
        <w:t>/ili</w:t>
      </w:r>
      <w:r w:rsidRPr="0082098F">
        <w:rPr>
          <w:rFonts w:ascii="Times New Roman" w:eastAsia="Calibri" w:hAnsi="Times New Roman" w:cs="Times New Roman"/>
          <w:sz w:val="24"/>
          <w:szCs w:val="24"/>
        </w:rPr>
        <w:t xml:space="preserve"> prvostupanjskim rješenj</w:t>
      </w:r>
      <w:r w:rsidRPr="0082098F">
        <w:rPr>
          <w:rFonts w:ascii="Times New Roman" w:hAnsi="Times New Roman"/>
          <w:sz w:val="24"/>
          <w:szCs w:val="24"/>
        </w:rPr>
        <w:t xml:space="preserve">ima Područnog ureda za katastar, </w:t>
      </w:r>
      <w:r w:rsidRPr="0082098F">
        <w:rPr>
          <w:rFonts w:ascii="Times New Roman" w:eastAsia="Calibri" w:hAnsi="Times New Roman" w:cs="Times New Roman"/>
          <w:sz w:val="24"/>
          <w:szCs w:val="24"/>
        </w:rPr>
        <w:t>dopunj</w:t>
      </w:r>
      <w:r w:rsidRPr="0082098F">
        <w:rPr>
          <w:rFonts w:ascii="Times New Roman" w:hAnsi="Times New Roman"/>
          <w:sz w:val="24"/>
          <w:szCs w:val="24"/>
        </w:rPr>
        <w:t>avaju s</w:t>
      </w:r>
      <w:r w:rsidRPr="0082098F">
        <w:rPr>
          <w:rFonts w:ascii="Times New Roman" w:eastAsia="Calibri" w:hAnsi="Times New Roman" w:cs="Times New Roman"/>
          <w:sz w:val="24"/>
          <w:szCs w:val="24"/>
        </w:rPr>
        <w:t xml:space="preserve">e podaci, </w:t>
      </w:r>
      <w:r w:rsidRPr="0082098F">
        <w:rPr>
          <w:rFonts w:ascii="Times New Roman" w:hAnsi="Times New Roman"/>
          <w:sz w:val="24"/>
          <w:szCs w:val="24"/>
        </w:rPr>
        <w:t xml:space="preserve">jedinice imovine se </w:t>
      </w:r>
      <w:r w:rsidRPr="0082098F">
        <w:rPr>
          <w:rFonts w:ascii="Times New Roman" w:eastAsia="Calibri" w:hAnsi="Times New Roman" w:cs="Times New Roman"/>
          <w:sz w:val="24"/>
          <w:szCs w:val="24"/>
        </w:rPr>
        <w:t>migrira</w:t>
      </w:r>
      <w:r w:rsidRPr="0082098F">
        <w:rPr>
          <w:rFonts w:ascii="Times New Roman" w:hAnsi="Times New Roman"/>
          <w:sz w:val="24"/>
          <w:szCs w:val="24"/>
        </w:rPr>
        <w:t>ju</w:t>
      </w:r>
      <w:r w:rsidRPr="008209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098F">
        <w:rPr>
          <w:rFonts w:ascii="Times New Roman" w:hAnsi="Times New Roman"/>
          <w:sz w:val="24"/>
          <w:szCs w:val="24"/>
        </w:rPr>
        <w:t>u pripadajuće</w:t>
      </w:r>
      <w:r w:rsidRPr="0082098F">
        <w:rPr>
          <w:rFonts w:ascii="Times New Roman" w:eastAsia="Calibri" w:hAnsi="Times New Roman" w:cs="Times New Roman"/>
          <w:sz w:val="24"/>
          <w:szCs w:val="24"/>
        </w:rPr>
        <w:t xml:space="preserve"> podportfelj</w:t>
      </w:r>
      <w:r w:rsidRPr="0082098F">
        <w:rPr>
          <w:rFonts w:ascii="Times New Roman" w:hAnsi="Times New Roman"/>
          <w:sz w:val="24"/>
          <w:szCs w:val="24"/>
        </w:rPr>
        <w:t>e</w:t>
      </w:r>
      <w:r w:rsidRPr="008209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2098F">
        <w:rPr>
          <w:rFonts w:ascii="Times New Roman" w:hAnsi="Times New Roman"/>
          <w:sz w:val="24"/>
          <w:szCs w:val="24"/>
        </w:rPr>
        <w:t>vrši se</w:t>
      </w:r>
      <w:r w:rsidRPr="0082098F">
        <w:rPr>
          <w:rFonts w:ascii="Times New Roman" w:eastAsia="Calibri" w:hAnsi="Times New Roman" w:cs="Times New Roman"/>
          <w:sz w:val="24"/>
          <w:szCs w:val="24"/>
        </w:rPr>
        <w:t xml:space="preserve"> unos interne procje</w:t>
      </w:r>
      <w:r w:rsidRPr="0082098F">
        <w:rPr>
          <w:rFonts w:ascii="Times New Roman" w:hAnsi="Times New Roman"/>
          <w:sz w:val="24"/>
          <w:szCs w:val="24"/>
        </w:rPr>
        <w:t xml:space="preserve">ne vrijednosti jedinice imovine, vrši se </w:t>
      </w:r>
      <w:r w:rsidRPr="0082098F">
        <w:rPr>
          <w:rFonts w:ascii="Times New Roman" w:eastAsia="Calibri" w:hAnsi="Times New Roman" w:cs="Times New Roman"/>
          <w:sz w:val="24"/>
          <w:szCs w:val="24"/>
        </w:rPr>
        <w:t>unos promjena prema Odlukama o prihvatu ponuda i sklapanju ugovora o kupoprodaji nekretnina sukladno provedenoj promjeni u zemljišnim knjigama</w:t>
      </w:r>
      <w:r w:rsidRPr="0082098F">
        <w:rPr>
          <w:rFonts w:ascii="Times New Roman" w:hAnsi="Times New Roman"/>
          <w:sz w:val="24"/>
          <w:szCs w:val="24"/>
        </w:rPr>
        <w:t xml:space="preserve">, određene jedinice se evidentiraju kao </w:t>
      </w:r>
      <w:r w:rsidRPr="0082098F">
        <w:rPr>
          <w:rFonts w:ascii="Times New Roman" w:eastAsia="Calibri" w:hAnsi="Times New Roman" w:cs="Times New Roman"/>
          <w:sz w:val="24"/>
          <w:szCs w:val="24"/>
        </w:rPr>
        <w:t>neaktivne</w:t>
      </w:r>
      <w:r w:rsidRPr="0082098F">
        <w:rPr>
          <w:rFonts w:ascii="Times New Roman" w:hAnsi="Times New Roman"/>
          <w:sz w:val="24"/>
          <w:szCs w:val="24"/>
        </w:rPr>
        <w:t xml:space="preserve"> i sl.</w:t>
      </w:r>
    </w:p>
    <w:p w:rsidR="0095249B" w:rsidRPr="0082098F" w:rsidRDefault="0095249B" w:rsidP="00E1746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254F" w:rsidRPr="0082098F" w:rsidRDefault="00100FC0" w:rsidP="00E174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8F">
        <w:rPr>
          <w:rFonts w:ascii="Times New Roman" w:hAnsi="Times New Roman" w:cs="Times New Roman"/>
          <w:sz w:val="24"/>
          <w:szCs w:val="24"/>
        </w:rPr>
        <w:t>POVEĆANJE</w:t>
      </w:r>
      <w:r w:rsidR="000530DC" w:rsidRPr="0082098F">
        <w:rPr>
          <w:rFonts w:ascii="Times New Roman" w:hAnsi="Times New Roman" w:cs="Times New Roman"/>
          <w:sz w:val="24"/>
          <w:szCs w:val="24"/>
        </w:rPr>
        <w:t xml:space="preserve"> OBUJMA IMOVINE </w:t>
      </w:r>
    </w:p>
    <w:p w:rsidR="002C335C" w:rsidRPr="0082098F" w:rsidRDefault="000530DC" w:rsidP="00E1746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098F">
        <w:rPr>
          <w:rFonts w:ascii="Times New Roman" w:hAnsi="Times New Roman" w:cs="Times New Roman"/>
          <w:sz w:val="24"/>
          <w:szCs w:val="24"/>
        </w:rPr>
        <w:t>Proizved</w:t>
      </w:r>
      <w:r w:rsidR="00D746BB">
        <w:rPr>
          <w:rFonts w:ascii="Times New Roman" w:hAnsi="Times New Roman" w:cs="Times New Roman"/>
          <w:sz w:val="24"/>
          <w:szCs w:val="24"/>
        </w:rPr>
        <w:t xml:space="preserve">ene dugotrajne imovine (AOP021) </w:t>
      </w:r>
      <w:r w:rsidR="00E1746C">
        <w:rPr>
          <w:rFonts w:ascii="Times New Roman" w:hAnsi="Times New Roman" w:cs="Times New Roman"/>
          <w:sz w:val="24"/>
          <w:szCs w:val="24"/>
        </w:rPr>
        <w:t>-</w:t>
      </w:r>
      <w:r w:rsidR="00D746BB">
        <w:rPr>
          <w:rFonts w:ascii="Times New Roman" w:hAnsi="Times New Roman" w:cs="Times New Roman"/>
          <w:sz w:val="24"/>
          <w:szCs w:val="24"/>
        </w:rPr>
        <w:t xml:space="preserve"> evidentira povećanje za</w:t>
      </w:r>
      <w:r w:rsidRPr="0082098F">
        <w:rPr>
          <w:rFonts w:ascii="Times New Roman" w:hAnsi="Times New Roman" w:cs="Times New Roman"/>
          <w:sz w:val="24"/>
          <w:szCs w:val="24"/>
        </w:rPr>
        <w:t xml:space="preserve"> </w:t>
      </w:r>
      <w:r w:rsidR="00100FC0" w:rsidRPr="0082098F">
        <w:rPr>
          <w:rFonts w:ascii="Times New Roman" w:hAnsi="Times New Roman" w:cs="Times New Roman"/>
          <w:sz w:val="24"/>
          <w:szCs w:val="24"/>
        </w:rPr>
        <w:t>1.010.000</w:t>
      </w:r>
      <w:r w:rsidRPr="0082098F">
        <w:rPr>
          <w:rFonts w:ascii="Times New Roman" w:hAnsi="Times New Roman" w:cs="Times New Roman"/>
          <w:sz w:val="24"/>
          <w:szCs w:val="24"/>
        </w:rPr>
        <w:t xml:space="preserve"> kn. </w:t>
      </w:r>
      <w:r w:rsidR="002C335C" w:rsidRPr="008209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Temeljem Rješenja Zemljišno-knjižnog odjela Općinskog suda u Puli-Pola, Posl.br Z-5477/19 od 10. travnja 2019. godine, donijetog na temelju Ugovora o darovanju broj 601-03/2018, KLASA: 940-01/17-03/5552  odnosno Odluke o darovanju nekretnine u k.o. Pula Gradu Puli-Pola, u svrhu osnivanja poduzetničkog centra „Co-working Pula“ KLASA: 022-03/18-04/264 od 13. rujna 2018. godine, </w:t>
      </w:r>
      <w:r w:rsidR="002C335C" w:rsidRPr="0082098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katastarska čestica broj zgr.1212/16, trgovina, 429 m², prešla je iz vlasništva Repulike Hrvatske u vlasništvo Grada Pule</w:t>
      </w:r>
      <w:r w:rsidR="00C1700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2C335C" w:rsidRPr="008209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0254F" w:rsidRPr="0082098F" w:rsidRDefault="0080254F" w:rsidP="00E1746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668D" w:rsidRPr="0082098F" w:rsidRDefault="00DE668D" w:rsidP="00E174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8F">
        <w:rPr>
          <w:rFonts w:ascii="Times New Roman" w:hAnsi="Times New Roman" w:cs="Times New Roman"/>
          <w:sz w:val="24"/>
          <w:szCs w:val="24"/>
        </w:rPr>
        <w:t>AOP001 PROMJENE U VRIJEDNOSTI I OBUJMU IMOVINE</w:t>
      </w:r>
      <w:r w:rsidR="00FC1B41" w:rsidRPr="0082098F">
        <w:rPr>
          <w:rFonts w:ascii="Times New Roman" w:hAnsi="Times New Roman" w:cs="Times New Roman"/>
          <w:sz w:val="24"/>
          <w:szCs w:val="24"/>
        </w:rPr>
        <w:t xml:space="preserve"> </w:t>
      </w:r>
      <w:r w:rsidR="003A7E83" w:rsidRPr="0082098F">
        <w:rPr>
          <w:rFonts w:ascii="Times New Roman" w:hAnsi="Times New Roman" w:cs="Times New Roman"/>
          <w:sz w:val="24"/>
          <w:szCs w:val="24"/>
        </w:rPr>
        <w:t>-</w:t>
      </w:r>
      <w:r w:rsidR="00FC1B41" w:rsidRPr="0082098F">
        <w:rPr>
          <w:rFonts w:ascii="Times New Roman" w:hAnsi="Times New Roman" w:cs="Times New Roman"/>
          <w:sz w:val="24"/>
          <w:szCs w:val="24"/>
        </w:rPr>
        <w:t xml:space="preserve"> SMANJENJE</w:t>
      </w:r>
      <w:r w:rsidRPr="00820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68D" w:rsidRPr="0082098F" w:rsidRDefault="00DE668D" w:rsidP="00E174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8F">
        <w:rPr>
          <w:rFonts w:ascii="Times New Roman" w:hAnsi="Times New Roman" w:cs="Times New Roman"/>
          <w:sz w:val="24"/>
          <w:szCs w:val="24"/>
        </w:rPr>
        <w:t xml:space="preserve">Smanjenje u iznosu od </w:t>
      </w:r>
      <w:r w:rsidR="00100FC0" w:rsidRPr="0082098F">
        <w:rPr>
          <w:rFonts w:ascii="Times New Roman" w:hAnsi="Times New Roman" w:cs="Times New Roman"/>
          <w:sz w:val="24"/>
          <w:szCs w:val="24"/>
        </w:rPr>
        <w:t>1.054.282.361</w:t>
      </w:r>
      <w:r w:rsidRPr="0082098F">
        <w:rPr>
          <w:rFonts w:ascii="Times New Roman" w:hAnsi="Times New Roman" w:cs="Times New Roman"/>
          <w:sz w:val="24"/>
          <w:szCs w:val="24"/>
        </w:rPr>
        <w:t xml:space="preserve"> kn odnosi se na promjene u:</w:t>
      </w:r>
    </w:p>
    <w:p w:rsidR="003215AE" w:rsidRPr="0082098F" w:rsidRDefault="003215AE" w:rsidP="00E1746C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668D" w:rsidRPr="0082098F" w:rsidRDefault="004F276D" w:rsidP="00E1746C">
      <w:pPr>
        <w:pStyle w:val="NoSpacing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098F">
        <w:rPr>
          <w:rFonts w:ascii="Times New Roman" w:hAnsi="Times New Roman" w:cs="Times New Roman"/>
          <w:sz w:val="24"/>
          <w:szCs w:val="24"/>
        </w:rPr>
        <w:t xml:space="preserve">SMANJENJU VRIJEDNOSTI IMOVINE  </w:t>
      </w:r>
      <w:r w:rsidR="003215AE" w:rsidRPr="0082098F">
        <w:rPr>
          <w:rFonts w:ascii="Times New Roman" w:hAnsi="Times New Roman" w:cs="Times New Roman"/>
          <w:sz w:val="24"/>
          <w:szCs w:val="24"/>
        </w:rPr>
        <w:t xml:space="preserve">i to </w:t>
      </w:r>
      <w:r w:rsidRPr="0082098F">
        <w:rPr>
          <w:rFonts w:ascii="Times New Roman" w:hAnsi="Times New Roman" w:cs="Times New Roman"/>
          <w:sz w:val="24"/>
          <w:szCs w:val="24"/>
        </w:rPr>
        <w:t>N</w:t>
      </w:r>
      <w:r w:rsidR="00DE668D" w:rsidRPr="0082098F">
        <w:rPr>
          <w:rFonts w:ascii="Times New Roman" w:hAnsi="Times New Roman" w:cs="Times New Roman"/>
          <w:sz w:val="24"/>
          <w:szCs w:val="24"/>
        </w:rPr>
        <w:t xml:space="preserve">eproizvedene dugotrajne imovine (AOP004) </w:t>
      </w:r>
      <w:r w:rsidR="003A7E83" w:rsidRPr="0082098F">
        <w:rPr>
          <w:rFonts w:ascii="Times New Roman" w:hAnsi="Times New Roman" w:cs="Times New Roman"/>
          <w:sz w:val="24"/>
          <w:szCs w:val="24"/>
        </w:rPr>
        <w:t>-</w:t>
      </w:r>
      <w:r w:rsidR="00DE668D" w:rsidRPr="0082098F">
        <w:rPr>
          <w:rFonts w:ascii="Times New Roman" w:hAnsi="Times New Roman" w:cs="Times New Roman"/>
          <w:sz w:val="24"/>
          <w:szCs w:val="24"/>
        </w:rPr>
        <w:t xml:space="preserve"> za </w:t>
      </w:r>
      <w:r w:rsidR="00100FC0" w:rsidRPr="0082098F">
        <w:rPr>
          <w:rFonts w:ascii="Times New Roman" w:hAnsi="Times New Roman" w:cs="Times New Roman"/>
          <w:sz w:val="24"/>
          <w:szCs w:val="24"/>
        </w:rPr>
        <w:t>1.045.715.336</w:t>
      </w:r>
      <w:r w:rsidR="00DE668D" w:rsidRPr="0082098F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DE668D" w:rsidRPr="0082098F" w:rsidRDefault="00DE668D" w:rsidP="00E1746C">
      <w:pPr>
        <w:pStyle w:val="NoSpacing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098F">
        <w:rPr>
          <w:rFonts w:ascii="Times New Roman" w:hAnsi="Times New Roman" w:cs="Times New Roman"/>
          <w:sz w:val="24"/>
          <w:szCs w:val="24"/>
        </w:rPr>
        <w:t xml:space="preserve">Do promjene u vrijednosti zemljišta, kao i u samoj površini dolazi zbog usklađenja podataka koje se vrši direktno u Registru nekretnina, odnosno unose se nove jedinice imovine, vrši se </w:t>
      </w:r>
      <w:r w:rsidRPr="0082098F">
        <w:rPr>
          <w:rFonts w:ascii="Times New Roman" w:hAnsi="Times New Roman"/>
          <w:sz w:val="24"/>
          <w:szCs w:val="24"/>
        </w:rPr>
        <w:t>pojedinačna procjen</w:t>
      </w:r>
      <w:r w:rsidRPr="0082098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82098F">
        <w:rPr>
          <w:rFonts w:ascii="Times New Roman" w:hAnsi="Times New Roman"/>
          <w:sz w:val="24"/>
          <w:szCs w:val="24"/>
        </w:rPr>
        <w:t xml:space="preserve">jedinica imovine </w:t>
      </w:r>
      <w:r w:rsidRPr="0082098F">
        <w:rPr>
          <w:rFonts w:ascii="Times New Roman" w:eastAsia="Calibri" w:hAnsi="Times New Roman" w:cs="Times New Roman"/>
          <w:sz w:val="24"/>
          <w:szCs w:val="24"/>
        </w:rPr>
        <w:t>pr</w:t>
      </w:r>
      <w:r w:rsidRPr="0082098F">
        <w:rPr>
          <w:rFonts w:ascii="Times New Roman" w:hAnsi="Times New Roman"/>
          <w:sz w:val="24"/>
          <w:szCs w:val="24"/>
        </w:rPr>
        <w:t>ema stvarnom položaju i namjeni, evidentiraju se promjene</w:t>
      </w:r>
      <w:r w:rsidRPr="0082098F">
        <w:rPr>
          <w:rFonts w:ascii="Times New Roman" w:eastAsia="Calibri" w:hAnsi="Times New Roman" w:cs="Times New Roman"/>
          <w:sz w:val="24"/>
          <w:szCs w:val="24"/>
        </w:rPr>
        <w:t xml:space="preserve"> prema pristiglim završnim rj</w:t>
      </w:r>
      <w:r w:rsidRPr="0082098F">
        <w:rPr>
          <w:rFonts w:ascii="Times New Roman" w:hAnsi="Times New Roman"/>
          <w:sz w:val="24"/>
          <w:szCs w:val="24"/>
        </w:rPr>
        <w:t xml:space="preserve">ešenjima Općinskog suda u Puli </w:t>
      </w:r>
      <w:r w:rsidRPr="0082098F">
        <w:rPr>
          <w:rFonts w:ascii="Times New Roman" w:eastAsia="Calibri" w:hAnsi="Times New Roman" w:cs="Times New Roman"/>
          <w:sz w:val="24"/>
          <w:szCs w:val="24"/>
        </w:rPr>
        <w:t>i</w:t>
      </w:r>
      <w:r w:rsidRPr="0082098F">
        <w:rPr>
          <w:rFonts w:ascii="Times New Roman" w:hAnsi="Times New Roman"/>
          <w:sz w:val="24"/>
          <w:szCs w:val="24"/>
        </w:rPr>
        <w:t>/ili</w:t>
      </w:r>
      <w:r w:rsidRPr="0082098F">
        <w:rPr>
          <w:rFonts w:ascii="Times New Roman" w:eastAsia="Calibri" w:hAnsi="Times New Roman" w:cs="Times New Roman"/>
          <w:sz w:val="24"/>
          <w:szCs w:val="24"/>
        </w:rPr>
        <w:t xml:space="preserve"> prvostupanjskim rješenj</w:t>
      </w:r>
      <w:r w:rsidRPr="0082098F">
        <w:rPr>
          <w:rFonts w:ascii="Times New Roman" w:hAnsi="Times New Roman"/>
          <w:sz w:val="24"/>
          <w:szCs w:val="24"/>
        </w:rPr>
        <w:t xml:space="preserve">ima Područnog ureda za katastar, </w:t>
      </w:r>
      <w:r w:rsidRPr="0082098F">
        <w:rPr>
          <w:rFonts w:ascii="Times New Roman" w:eastAsia="Calibri" w:hAnsi="Times New Roman" w:cs="Times New Roman"/>
          <w:sz w:val="24"/>
          <w:szCs w:val="24"/>
        </w:rPr>
        <w:t>dopunj</w:t>
      </w:r>
      <w:r w:rsidRPr="0082098F">
        <w:rPr>
          <w:rFonts w:ascii="Times New Roman" w:hAnsi="Times New Roman"/>
          <w:sz w:val="24"/>
          <w:szCs w:val="24"/>
        </w:rPr>
        <w:t>avaju s</w:t>
      </w:r>
      <w:r w:rsidRPr="0082098F">
        <w:rPr>
          <w:rFonts w:ascii="Times New Roman" w:eastAsia="Calibri" w:hAnsi="Times New Roman" w:cs="Times New Roman"/>
          <w:sz w:val="24"/>
          <w:szCs w:val="24"/>
        </w:rPr>
        <w:t xml:space="preserve">e podaci, </w:t>
      </w:r>
      <w:r w:rsidRPr="0082098F">
        <w:rPr>
          <w:rFonts w:ascii="Times New Roman" w:hAnsi="Times New Roman"/>
          <w:sz w:val="24"/>
          <w:szCs w:val="24"/>
        </w:rPr>
        <w:t xml:space="preserve">jedinice imovine se </w:t>
      </w:r>
      <w:r w:rsidRPr="0082098F">
        <w:rPr>
          <w:rFonts w:ascii="Times New Roman" w:eastAsia="Calibri" w:hAnsi="Times New Roman" w:cs="Times New Roman"/>
          <w:sz w:val="24"/>
          <w:szCs w:val="24"/>
        </w:rPr>
        <w:t>migrira</w:t>
      </w:r>
      <w:r w:rsidRPr="0082098F">
        <w:rPr>
          <w:rFonts w:ascii="Times New Roman" w:hAnsi="Times New Roman"/>
          <w:sz w:val="24"/>
          <w:szCs w:val="24"/>
        </w:rPr>
        <w:t>ju</w:t>
      </w:r>
      <w:r w:rsidRPr="008209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098F">
        <w:rPr>
          <w:rFonts w:ascii="Times New Roman" w:hAnsi="Times New Roman"/>
          <w:sz w:val="24"/>
          <w:szCs w:val="24"/>
        </w:rPr>
        <w:t>u pripadajuće</w:t>
      </w:r>
      <w:r w:rsidRPr="0082098F">
        <w:rPr>
          <w:rFonts w:ascii="Times New Roman" w:eastAsia="Calibri" w:hAnsi="Times New Roman" w:cs="Times New Roman"/>
          <w:sz w:val="24"/>
          <w:szCs w:val="24"/>
        </w:rPr>
        <w:t xml:space="preserve"> podportfelj</w:t>
      </w:r>
      <w:r w:rsidRPr="0082098F">
        <w:rPr>
          <w:rFonts w:ascii="Times New Roman" w:hAnsi="Times New Roman"/>
          <w:sz w:val="24"/>
          <w:szCs w:val="24"/>
        </w:rPr>
        <w:t>e</w:t>
      </w:r>
      <w:r w:rsidRPr="008209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2098F">
        <w:rPr>
          <w:rFonts w:ascii="Times New Roman" w:hAnsi="Times New Roman"/>
          <w:sz w:val="24"/>
          <w:szCs w:val="24"/>
        </w:rPr>
        <w:t>vrši se</w:t>
      </w:r>
      <w:r w:rsidRPr="0082098F">
        <w:rPr>
          <w:rFonts w:ascii="Times New Roman" w:eastAsia="Calibri" w:hAnsi="Times New Roman" w:cs="Times New Roman"/>
          <w:sz w:val="24"/>
          <w:szCs w:val="24"/>
        </w:rPr>
        <w:t xml:space="preserve"> unos interne procje</w:t>
      </w:r>
      <w:r w:rsidRPr="0082098F">
        <w:rPr>
          <w:rFonts w:ascii="Times New Roman" w:hAnsi="Times New Roman"/>
          <w:sz w:val="24"/>
          <w:szCs w:val="24"/>
        </w:rPr>
        <w:t xml:space="preserve">ne vrijednosti jedinice imovine, vrši se </w:t>
      </w:r>
      <w:r w:rsidRPr="0082098F">
        <w:rPr>
          <w:rFonts w:ascii="Times New Roman" w:eastAsia="Calibri" w:hAnsi="Times New Roman" w:cs="Times New Roman"/>
          <w:sz w:val="24"/>
          <w:szCs w:val="24"/>
        </w:rPr>
        <w:t>unos promjena prema Odlukama o prihvatu ponuda i sklapanju ugovora o kupoprodaji nekretnina sukladno provedenoj promjeni u zemljišnim knjigama</w:t>
      </w:r>
      <w:r w:rsidRPr="0082098F">
        <w:rPr>
          <w:rFonts w:ascii="Times New Roman" w:hAnsi="Times New Roman"/>
          <w:sz w:val="24"/>
          <w:szCs w:val="24"/>
        </w:rPr>
        <w:t xml:space="preserve">, određene jedinice se evidentiraju kao </w:t>
      </w:r>
      <w:r w:rsidRPr="0082098F">
        <w:rPr>
          <w:rFonts w:ascii="Times New Roman" w:eastAsia="Calibri" w:hAnsi="Times New Roman" w:cs="Times New Roman"/>
          <w:sz w:val="24"/>
          <w:szCs w:val="24"/>
        </w:rPr>
        <w:t>neaktivne</w:t>
      </w:r>
      <w:r w:rsidRPr="0082098F">
        <w:rPr>
          <w:rFonts w:ascii="Times New Roman" w:hAnsi="Times New Roman"/>
          <w:sz w:val="24"/>
          <w:szCs w:val="24"/>
        </w:rPr>
        <w:t xml:space="preserve"> i sl.</w:t>
      </w:r>
    </w:p>
    <w:p w:rsidR="00931F84" w:rsidRPr="0082098F" w:rsidRDefault="00931F84" w:rsidP="00E174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779" w:rsidRPr="0082098F" w:rsidRDefault="00A54779" w:rsidP="00E174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8F">
        <w:rPr>
          <w:rFonts w:ascii="Times New Roman" w:hAnsi="Times New Roman" w:cs="Times New Roman"/>
          <w:sz w:val="24"/>
          <w:szCs w:val="24"/>
        </w:rPr>
        <w:t xml:space="preserve">SMANJENJU OBUJMA IMOVINE </w:t>
      </w:r>
      <w:r w:rsidR="002E6CCD" w:rsidRPr="0082098F">
        <w:rPr>
          <w:rFonts w:ascii="Times New Roman" w:hAnsi="Times New Roman" w:cs="Times New Roman"/>
          <w:sz w:val="24"/>
          <w:szCs w:val="24"/>
        </w:rPr>
        <w:t>i to</w:t>
      </w:r>
      <w:r w:rsidRPr="0082098F">
        <w:rPr>
          <w:rFonts w:ascii="Times New Roman" w:hAnsi="Times New Roman" w:cs="Times New Roman"/>
          <w:sz w:val="24"/>
          <w:szCs w:val="24"/>
        </w:rPr>
        <w:t>:</w:t>
      </w:r>
    </w:p>
    <w:p w:rsidR="002C335C" w:rsidRPr="0082098F" w:rsidRDefault="002C335C" w:rsidP="00E174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8F">
        <w:rPr>
          <w:rFonts w:ascii="Times New Roman" w:hAnsi="Times New Roman" w:cs="Times New Roman"/>
          <w:sz w:val="24"/>
          <w:szCs w:val="24"/>
        </w:rPr>
        <w:t>Promjene u obujmu nefinancijske imovine (AOP019)</w:t>
      </w:r>
      <w:r w:rsidR="00E1746C">
        <w:rPr>
          <w:rFonts w:ascii="Times New Roman" w:hAnsi="Times New Roman" w:cs="Times New Roman"/>
          <w:sz w:val="24"/>
          <w:szCs w:val="24"/>
        </w:rPr>
        <w:t xml:space="preserve"> -</w:t>
      </w:r>
      <w:r w:rsidRPr="0082098F">
        <w:rPr>
          <w:rFonts w:ascii="Times New Roman" w:hAnsi="Times New Roman" w:cs="Times New Roman"/>
          <w:sz w:val="24"/>
          <w:szCs w:val="24"/>
        </w:rPr>
        <w:t xml:space="preserve"> odnosi se na smanjenje </w:t>
      </w:r>
      <w:r w:rsidR="00246904" w:rsidRPr="0082098F">
        <w:rPr>
          <w:rFonts w:ascii="Times New Roman" w:hAnsi="Times New Roman" w:cs="Times New Roman"/>
          <w:sz w:val="24"/>
          <w:szCs w:val="24"/>
        </w:rPr>
        <w:t>P</w:t>
      </w:r>
      <w:r w:rsidR="002E6CCD" w:rsidRPr="0082098F">
        <w:rPr>
          <w:rFonts w:ascii="Times New Roman" w:hAnsi="Times New Roman" w:cs="Times New Roman"/>
          <w:sz w:val="24"/>
          <w:szCs w:val="24"/>
        </w:rPr>
        <w:t>roizvedena dugotrajna imovina</w:t>
      </w:r>
      <w:r w:rsidR="003215AE" w:rsidRPr="0082098F">
        <w:rPr>
          <w:rFonts w:ascii="Times New Roman" w:hAnsi="Times New Roman" w:cs="Times New Roman"/>
          <w:sz w:val="24"/>
          <w:szCs w:val="24"/>
        </w:rPr>
        <w:t xml:space="preserve"> (AOP21) - </w:t>
      </w:r>
      <w:r w:rsidR="00246904" w:rsidRPr="0082098F">
        <w:rPr>
          <w:rFonts w:ascii="Times New Roman" w:hAnsi="Times New Roman" w:cs="Times New Roman"/>
          <w:sz w:val="24"/>
          <w:szCs w:val="24"/>
        </w:rPr>
        <w:t xml:space="preserve">za </w:t>
      </w:r>
      <w:r w:rsidRPr="0082098F">
        <w:rPr>
          <w:rFonts w:ascii="Times New Roman" w:hAnsi="Times New Roman" w:cs="Times New Roman"/>
          <w:sz w:val="24"/>
          <w:szCs w:val="24"/>
        </w:rPr>
        <w:t>12.805</w:t>
      </w:r>
      <w:r w:rsidR="0082098F" w:rsidRPr="0082098F">
        <w:rPr>
          <w:rFonts w:ascii="Times New Roman" w:hAnsi="Times New Roman" w:cs="Times New Roman"/>
          <w:sz w:val="24"/>
          <w:szCs w:val="24"/>
        </w:rPr>
        <w:t xml:space="preserve"> kn iz razloga što je Grad donirao glazben</w:t>
      </w:r>
      <w:r w:rsidR="002E619D">
        <w:rPr>
          <w:rFonts w:ascii="Times New Roman" w:hAnsi="Times New Roman" w:cs="Times New Roman"/>
          <w:sz w:val="24"/>
          <w:szCs w:val="24"/>
        </w:rPr>
        <w:t xml:space="preserve">i instrument </w:t>
      </w:r>
      <w:r w:rsidR="0082098F" w:rsidRPr="0082098F">
        <w:rPr>
          <w:rFonts w:ascii="Times New Roman" w:hAnsi="Times New Roman" w:cs="Times New Roman"/>
          <w:sz w:val="24"/>
          <w:szCs w:val="24"/>
        </w:rPr>
        <w:t>Glazbenoj školi</w:t>
      </w:r>
      <w:r w:rsidR="002E619D">
        <w:rPr>
          <w:rFonts w:ascii="Times New Roman" w:hAnsi="Times New Roman" w:cs="Times New Roman"/>
          <w:sz w:val="24"/>
          <w:szCs w:val="24"/>
        </w:rPr>
        <w:t xml:space="preserve"> Ivana Matetića-Ronjgova </w:t>
      </w:r>
      <w:r w:rsidR="0082098F" w:rsidRPr="0082098F">
        <w:rPr>
          <w:rFonts w:ascii="Times New Roman" w:hAnsi="Times New Roman" w:cs="Times New Roman"/>
          <w:sz w:val="24"/>
          <w:szCs w:val="24"/>
        </w:rPr>
        <w:t>sukladno Odlu</w:t>
      </w:r>
      <w:r w:rsidR="002E619D">
        <w:rPr>
          <w:rFonts w:ascii="Times New Roman" w:hAnsi="Times New Roman" w:cs="Times New Roman"/>
          <w:sz w:val="24"/>
          <w:szCs w:val="24"/>
        </w:rPr>
        <w:t>ci o</w:t>
      </w:r>
      <w:r w:rsidR="0082098F" w:rsidRPr="0082098F">
        <w:rPr>
          <w:rFonts w:ascii="Times New Roman" w:hAnsi="Times New Roman" w:cs="Times New Roman"/>
          <w:sz w:val="24"/>
          <w:szCs w:val="24"/>
        </w:rPr>
        <w:t xml:space="preserve"> donaciji</w:t>
      </w:r>
      <w:r w:rsidR="002E619D">
        <w:rPr>
          <w:rFonts w:ascii="Times New Roman" w:hAnsi="Times New Roman" w:cs="Times New Roman"/>
          <w:sz w:val="24"/>
          <w:szCs w:val="24"/>
        </w:rPr>
        <w:t xml:space="preserve"> glazbenog instrumenta - viola</w:t>
      </w:r>
      <w:r w:rsidR="0082098F" w:rsidRPr="0082098F">
        <w:rPr>
          <w:rFonts w:ascii="Times New Roman" w:hAnsi="Times New Roman" w:cs="Times New Roman"/>
          <w:sz w:val="24"/>
          <w:szCs w:val="24"/>
        </w:rPr>
        <w:t>, KLASA: 022-05/19-01/12 od 18.</w:t>
      </w:r>
      <w:r w:rsidR="002E619D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82098F" w:rsidRPr="0082098F">
        <w:rPr>
          <w:rFonts w:ascii="Times New Roman" w:hAnsi="Times New Roman" w:cs="Times New Roman"/>
          <w:sz w:val="24"/>
          <w:szCs w:val="24"/>
        </w:rPr>
        <w:t>2019. godine.</w:t>
      </w:r>
    </w:p>
    <w:p w:rsidR="002C335C" w:rsidRPr="0082098F" w:rsidRDefault="002C335C" w:rsidP="00E174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B41" w:rsidRPr="0082098F" w:rsidRDefault="002C335C" w:rsidP="00E174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8F">
        <w:rPr>
          <w:rFonts w:ascii="Times New Roman" w:hAnsi="Times New Roman" w:cs="Times New Roman"/>
          <w:sz w:val="24"/>
          <w:szCs w:val="24"/>
        </w:rPr>
        <w:t>Promjene u obuj</w:t>
      </w:r>
      <w:r w:rsidR="00C17002">
        <w:rPr>
          <w:rFonts w:ascii="Times New Roman" w:hAnsi="Times New Roman" w:cs="Times New Roman"/>
          <w:sz w:val="24"/>
          <w:szCs w:val="24"/>
        </w:rPr>
        <w:t>mu financijske imovine (AOP026</w:t>
      </w:r>
      <w:r w:rsidR="00E1746C">
        <w:rPr>
          <w:rFonts w:ascii="Times New Roman" w:hAnsi="Times New Roman" w:cs="Times New Roman"/>
          <w:sz w:val="24"/>
          <w:szCs w:val="24"/>
        </w:rPr>
        <w:t>) - iznose 8.554.220 kn, a odnose</w:t>
      </w:r>
      <w:r w:rsidRPr="0082098F">
        <w:rPr>
          <w:rFonts w:ascii="Times New Roman" w:hAnsi="Times New Roman" w:cs="Times New Roman"/>
          <w:sz w:val="24"/>
          <w:szCs w:val="24"/>
        </w:rPr>
        <w:t xml:space="preserve"> se na smanjenje </w:t>
      </w:r>
      <w:r w:rsidR="00A42669" w:rsidRPr="0082098F">
        <w:rPr>
          <w:rFonts w:ascii="Times New Roman" w:hAnsi="Times New Roman" w:cs="Times New Roman"/>
          <w:sz w:val="24"/>
          <w:szCs w:val="24"/>
        </w:rPr>
        <w:t>P</w:t>
      </w:r>
      <w:r w:rsidR="00FC1B41" w:rsidRPr="0082098F">
        <w:rPr>
          <w:rFonts w:ascii="Times New Roman" w:hAnsi="Times New Roman" w:cs="Times New Roman"/>
          <w:sz w:val="24"/>
          <w:szCs w:val="24"/>
        </w:rPr>
        <w:t xml:space="preserve">otraživanja za prihode poslovanja (AOP032) u iznosu od </w:t>
      </w:r>
      <w:r w:rsidR="00931F84" w:rsidRPr="0082098F">
        <w:rPr>
          <w:rFonts w:ascii="Times New Roman" w:hAnsi="Times New Roman" w:cs="Times New Roman"/>
          <w:sz w:val="24"/>
          <w:szCs w:val="24"/>
        </w:rPr>
        <w:t>8.498.225</w:t>
      </w:r>
      <w:r w:rsidR="00A42669" w:rsidRPr="0082098F">
        <w:rPr>
          <w:rFonts w:ascii="Times New Roman" w:hAnsi="Times New Roman" w:cs="Times New Roman"/>
          <w:sz w:val="24"/>
          <w:szCs w:val="24"/>
        </w:rPr>
        <w:t xml:space="preserve"> </w:t>
      </w:r>
      <w:r w:rsidR="00FC1B41" w:rsidRPr="0082098F">
        <w:rPr>
          <w:rFonts w:ascii="Times New Roman" w:hAnsi="Times New Roman" w:cs="Times New Roman"/>
          <w:sz w:val="24"/>
          <w:szCs w:val="24"/>
        </w:rPr>
        <w:t xml:space="preserve">kn i </w:t>
      </w:r>
      <w:r w:rsidR="00E1746C">
        <w:rPr>
          <w:rFonts w:ascii="Times New Roman" w:hAnsi="Times New Roman" w:cs="Times New Roman"/>
          <w:sz w:val="24"/>
          <w:szCs w:val="24"/>
        </w:rPr>
        <w:t>na</w:t>
      </w:r>
      <w:r w:rsidR="00FC1B41" w:rsidRPr="0082098F">
        <w:rPr>
          <w:rFonts w:ascii="Times New Roman" w:hAnsi="Times New Roman" w:cs="Times New Roman"/>
          <w:sz w:val="24"/>
          <w:szCs w:val="24"/>
        </w:rPr>
        <w:t xml:space="preserve"> </w:t>
      </w:r>
      <w:r w:rsidR="00931F84" w:rsidRPr="0082098F">
        <w:rPr>
          <w:rFonts w:ascii="Times New Roman" w:hAnsi="Times New Roman" w:cs="Times New Roman"/>
          <w:sz w:val="24"/>
          <w:szCs w:val="24"/>
        </w:rPr>
        <w:t>P</w:t>
      </w:r>
      <w:r w:rsidR="00FC1B41" w:rsidRPr="0082098F">
        <w:rPr>
          <w:rFonts w:ascii="Times New Roman" w:hAnsi="Times New Roman" w:cs="Times New Roman"/>
          <w:sz w:val="24"/>
          <w:szCs w:val="24"/>
        </w:rPr>
        <w:t xml:space="preserve">otraživanje od prodaje nefinancijske imovine (AOP033) u iznosu od </w:t>
      </w:r>
      <w:r w:rsidR="00931F84" w:rsidRPr="0082098F">
        <w:rPr>
          <w:rFonts w:ascii="Times New Roman" w:hAnsi="Times New Roman" w:cs="Times New Roman"/>
          <w:sz w:val="24"/>
          <w:szCs w:val="24"/>
        </w:rPr>
        <w:t>55.995</w:t>
      </w:r>
      <w:r w:rsidR="00FC1B41" w:rsidRPr="0082098F">
        <w:rPr>
          <w:rFonts w:ascii="Times New Roman" w:hAnsi="Times New Roman" w:cs="Times New Roman"/>
          <w:sz w:val="24"/>
          <w:szCs w:val="24"/>
        </w:rPr>
        <w:t xml:space="preserve"> kn temeljem odluka ili zaključaka, pravomoćnih rješenja o zaključenju stečajnog postupka nad pravnom osobom ili u postupku likvidacije na temelju pravomoćnog rješenja o brisanju pravne osobe iz Sudskog registra, otpisa po predstečajnim nagodbama, obustava postupaka od strane suca za prekršaje na ime kazni za prekršaje u prometu, kazni za parking i otpisa po inventuri.</w:t>
      </w:r>
    </w:p>
    <w:p w:rsidR="00FC1B41" w:rsidRPr="0082098F" w:rsidRDefault="00FC1B41" w:rsidP="00E1746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0C87" w:rsidRPr="0082098F" w:rsidRDefault="00CA0C87" w:rsidP="00E1746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E5B55" w:rsidRPr="00E1746C" w:rsidRDefault="00FC1B41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1746C">
        <w:rPr>
          <w:rFonts w:ascii="Times New Roman" w:hAnsi="Times New Roman" w:cs="Times New Roman"/>
          <w:b/>
        </w:rPr>
        <w:t>B</w:t>
      </w:r>
      <w:r w:rsidR="00BE5B55" w:rsidRPr="00E1746C">
        <w:rPr>
          <w:rFonts w:ascii="Times New Roman" w:hAnsi="Times New Roman" w:cs="Times New Roman"/>
          <w:b/>
        </w:rPr>
        <w:t xml:space="preserve">ILJEŠKA br. </w:t>
      </w:r>
      <w:r w:rsidR="00B80669" w:rsidRPr="00E1746C">
        <w:rPr>
          <w:rFonts w:ascii="Times New Roman" w:hAnsi="Times New Roman" w:cs="Times New Roman"/>
          <w:b/>
        </w:rPr>
        <w:t>4</w:t>
      </w:r>
      <w:r w:rsidR="00F616CF" w:rsidRPr="00E1746C">
        <w:rPr>
          <w:rFonts w:ascii="Times New Roman" w:hAnsi="Times New Roman" w:cs="Times New Roman"/>
          <w:b/>
        </w:rPr>
        <w:t>3</w:t>
      </w:r>
      <w:r w:rsidR="004D1D02" w:rsidRPr="00E1746C">
        <w:rPr>
          <w:rFonts w:ascii="Times New Roman" w:hAnsi="Times New Roman" w:cs="Times New Roman"/>
          <w:b/>
        </w:rPr>
        <w:t>.</w:t>
      </w:r>
    </w:p>
    <w:p w:rsidR="00CA0C87" w:rsidRPr="0082098F" w:rsidRDefault="00CA0C87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:rsidR="00BE5B55" w:rsidRPr="0082098F" w:rsidRDefault="00BE5B55" w:rsidP="00E174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8F">
        <w:rPr>
          <w:rFonts w:ascii="Times New Roman" w:hAnsi="Times New Roman" w:cs="Times New Roman"/>
          <w:sz w:val="24"/>
          <w:szCs w:val="24"/>
        </w:rPr>
        <w:t>AOP034 PROMJENE U VRIJEDNOSTI I OBUJMU OBVEZA</w:t>
      </w:r>
      <w:r w:rsidR="00FC1B41" w:rsidRPr="0082098F">
        <w:rPr>
          <w:rFonts w:ascii="Times New Roman" w:hAnsi="Times New Roman" w:cs="Times New Roman"/>
          <w:sz w:val="24"/>
          <w:szCs w:val="24"/>
        </w:rPr>
        <w:t xml:space="preserve"> </w:t>
      </w:r>
      <w:r w:rsidR="003A7E83" w:rsidRPr="0082098F">
        <w:rPr>
          <w:rFonts w:ascii="Times New Roman" w:hAnsi="Times New Roman" w:cs="Times New Roman"/>
          <w:sz w:val="24"/>
          <w:szCs w:val="24"/>
        </w:rPr>
        <w:t>-</w:t>
      </w:r>
      <w:r w:rsidR="00FC1B41" w:rsidRPr="0082098F">
        <w:rPr>
          <w:rFonts w:ascii="Times New Roman" w:hAnsi="Times New Roman" w:cs="Times New Roman"/>
          <w:sz w:val="24"/>
          <w:szCs w:val="24"/>
        </w:rPr>
        <w:t xml:space="preserve"> </w:t>
      </w:r>
      <w:r w:rsidR="00100FC0" w:rsidRPr="0082098F">
        <w:rPr>
          <w:rFonts w:ascii="Times New Roman" w:hAnsi="Times New Roman" w:cs="Times New Roman"/>
          <w:sz w:val="24"/>
          <w:szCs w:val="24"/>
        </w:rPr>
        <w:t>POVEĆANJE</w:t>
      </w:r>
    </w:p>
    <w:p w:rsidR="00853D07" w:rsidRPr="0082098F" w:rsidRDefault="00100FC0" w:rsidP="00E174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8F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6114AE" w:rsidRPr="0082098F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82098F">
        <w:rPr>
          <w:rFonts w:ascii="Times New Roman" w:hAnsi="Times New Roman" w:cs="Times New Roman"/>
          <w:sz w:val="24"/>
          <w:szCs w:val="24"/>
        </w:rPr>
        <w:t>134.093</w:t>
      </w:r>
      <w:r w:rsidR="006114AE" w:rsidRPr="0082098F">
        <w:rPr>
          <w:rFonts w:ascii="Times New Roman" w:hAnsi="Times New Roman" w:cs="Times New Roman"/>
          <w:sz w:val="24"/>
          <w:szCs w:val="24"/>
        </w:rPr>
        <w:t xml:space="preserve"> kn odnosi se na promjene u</w:t>
      </w:r>
      <w:r w:rsidR="00853D07" w:rsidRPr="0082098F">
        <w:rPr>
          <w:rFonts w:ascii="Times New Roman" w:hAnsi="Times New Roman" w:cs="Times New Roman"/>
          <w:sz w:val="24"/>
          <w:szCs w:val="24"/>
        </w:rPr>
        <w:t>:</w:t>
      </w:r>
    </w:p>
    <w:p w:rsidR="00BE5B55" w:rsidRPr="0082098F" w:rsidRDefault="00100FC0" w:rsidP="00E174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8F">
        <w:rPr>
          <w:rFonts w:ascii="Times New Roman" w:hAnsi="Times New Roman" w:cs="Times New Roman"/>
          <w:sz w:val="24"/>
          <w:szCs w:val="24"/>
        </w:rPr>
        <w:t>POVEĆANJU</w:t>
      </w:r>
      <w:r w:rsidR="00853D07" w:rsidRPr="0082098F">
        <w:rPr>
          <w:rFonts w:ascii="Times New Roman" w:hAnsi="Times New Roman" w:cs="Times New Roman"/>
          <w:sz w:val="24"/>
          <w:szCs w:val="24"/>
        </w:rPr>
        <w:t xml:space="preserve"> VRIJEDNOSTI OBVEZA i to</w:t>
      </w:r>
      <w:r w:rsidR="006114AE" w:rsidRPr="0082098F">
        <w:rPr>
          <w:rFonts w:ascii="Times New Roman" w:hAnsi="Times New Roman" w:cs="Times New Roman"/>
          <w:sz w:val="24"/>
          <w:szCs w:val="24"/>
        </w:rPr>
        <w:t xml:space="preserve"> Obvez</w:t>
      </w:r>
      <w:r w:rsidR="00853D07" w:rsidRPr="0082098F">
        <w:rPr>
          <w:rFonts w:ascii="Times New Roman" w:hAnsi="Times New Roman" w:cs="Times New Roman"/>
          <w:sz w:val="24"/>
          <w:szCs w:val="24"/>
        </w:rPr>
        <w:t>e</w:t>
      </w:r>
      <w:r w:rsidR="00BE5B55" w:rsidRPr="0082098F">
        <w:rPr>
          <w:rFonts w:ascii="Times New Roman" w:hAnsi="Times New Roman" w:cs="Times New Roman"/>
          <w:sz w:val="24"/>
          <w:szCs w:val="24"/>
        </w:rPr>
        <w:t xml:space="preserve"> za kredite i zajmove zbog revalorizacije kredita</w:t>
      </w:r>
      <w:r w:rsidR="006114AE" w:rsidRPr="0082098F">
        <w:rPr>
          <w:rFonts w:ascii="Times New Roman" w:hAnsi="Times New Roman" w:cs="Times New Roman"/>
          <w:sz w:val="24"/>
          <w:szCs w:val="24"/>
        </w:rPr>
        <w:t xml:space="preserve"> odnosno </w:t>
      </w:r>
      <w:r w:rsidRPr="0082098F">
        <w:rPr>
          <w:rFonts w:ascii="Times New Roman" w:hAnsi="Times New Roman" w:cs="Times New Roman"/>
          <w:sz w:val="24"/>
          <w:szCs w:val="24"/>
        </w:rPr>
        <w:t>negativne</w:t>
      </w:r>
      <w:r w:rsidR="006114AE" w:rsidRPr="0082098F">
        <w:rPr>
          <w:rFonts w:ascii="Times New Roman" w:hAnsi="Times New Roman" w:cs="Times New Roman"/>
          <w:sz w:val="24"/>
          <w:szCs w:val="24"/>
        </w:rPr>
        <w:t xml:space="preserve"> tečajne razlike</w:t>
      </w:r>
      <w:r w:rsidR="00BE5B55" w:rsidRPr="0082098F">
        <w:rPr>
          <w:rFonts w:ascii="Times New Roman" w:hAnsi="Times New Roman" w:cs="Times New Roman"/>
          <w:sz w:val="24"/>
          <w:szCs w:val="24"/>
        </w:rPr>
        <w:t xml:space="preserve"> u sveukupnom iznosu od </w:t>
      </w:r>
      <w:r w:rsidRPr="0082098F">
        <w:rPr>
          <w:rFonts w:ascii="Times New Roman" w:hAnsi="Times New Roman" w:cs="Times New Roman"/>
          <w:sz w:val="24"/>
          <w:szCs w:val="24"/>
        </w:rPr>
        <w:t>134.093</w:t>
      </w:r>
      <w:r w:rsidR="00FC1B41" w:rsidRPr="0082098F">
        <w:rPr>
          <w:rFonts w:ascii="Times New Roman" w:hAnsi="Times New Roman" w:cs="Times New Roman"/>
          <w:sz w:val="24"/>
          <w:szCs w:val="24"/>
        </w:rPr>
        <w:t xml:space="preserve"> kn </w:t>
      </w:r>
      <w:r w:rsidR="00E1746C">
        <w:rPr>
          <w:rFonts w:ascii="Times New Roman" w:hAnsi="Times New Roman" w:cs="Times New Roman"/>
          <w:sz w:val="24"/>
          <w:szCs w:val="24"/>
        </w:rPr>
        <w:t>od čega za</w:t>
      </w:r>
      <w:r w:rsidR="00FC1B41" w:rsidRPr="0082098F">
        <w:rPr>
          <w:rFonts w:ascii="Times New Roman" w:hAnsi="Times New Roman" w:cs="Times New Roman"/>
          <w:sz w:val="24"/>
          <w:szCs w:val="24"/>
        </w:rPr>
        <w:t xml:space="preserve">  </w:t>
      </w:r>
      <w:r w:rsidR="006114AE" w:rsidRPr="0082098F">
        <w:rPr>
          <w:rFonts w:ascii="Times New Roman" w:hAnsi="Times New Roman" w:cs="Times New Roman"/>
          <w:sz w:val="24"/>
          <w:szCs w:val="24"/>
        </w:rPr>
        <w:t>Osnovnu školu</w:t>
      </w:r>
      <w:r w:rsidR="00BE5B55" w:rsidRPr="0082098F">
        <w:rPr>
          <w:rFonts w:ascii="Times New Roman" w:hAnsi="Times New Roman" w:cs="Times New Roman"/>
          <w:sz w:val="24"/>
          <w:szCs w:val="24"/>
        </w:rPr>
        <w:t xml:space="preserve"> Veli Vrh, I faza u iznosu od </w:t>
      </w:r>
      <w:r w:rsidRPr="0082098F">
        <w:rPr>
          <w:rFonts w:ascii="Times New Roman" w:hAnsi="Times New Roman" w:cs="Times New Roman"/>
          <w:sz w:val="24"/>
          <w:szCs w:val="24"/>
        </w:rPr>
        <w:t>59.002</w:t>
      </w:r>
      <w:r w:rsidR="00BE5B55" w:rsidRPr="0082098F">
        <w:rPr>
          <w:rFonts w:ascii="Times New Roman" w:hAnsi="Times New Roman" w:cs="Times New Roman"/>
          <w:sz w:val="24"/>
          <w:szCs w:val="24"/>
        </w:rPr>
        <w:t xml:space="preserve"> kn i O</w:t>
      </w:r>
      <w:r w:rsidR="006114AE" w:rsidRPr="0082098F">
        <w:rPr>
          <w:rFonts w:ascii="Times New Roman" w:hAnsi="Times New Roman" w:cs="Times New Roman"/>
          <w:sz w:val="24"/>
          <w:szCs w:val="24"/>
        </w:rPr>
        <w:t>snovnu školu</w:t>
      </w:r>
      <w:r w:rsidR="00BE5B55" w:rsidRPr="0082098F">
        <w:rPr>
          <w:rFonts w:ascii="Times New Roman" w:hAnsi="Times New Roman" w:cs="Times New Roman"/>
          <w:sz w:val="24"/>
          <w:szCs w:val="24"/>
        </w:rPr>
        <w:t xml:space="preserve">Veli Vrh, II faza u  iznosu od </w:t>
      </w:r>
      <w:r w:rsidRPr="0082098F">
        <w:rPr>
          <w:rFonts w:ascii="Times New Roman" w:hAnsi="Times New Roman" w:cs="Times New Roman"/>
          <w:sz w:val="24"/>
          <w:szCs w:val="24"/>
        </w:rPr>
        <w:t>75.091</w:t>
      </w:r>
      <w:r w:rsidR="00BE5B55" w:rsidRPr="0082098F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E1746C" w:rsidRDefault="00E174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5B55" w:rsidRPr="00526AD1" w:rsidRDefault="00BE5B55" w:rsidP="00843A85">
      <w:pPr>
        <w:pStyle w:val="Style20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ascii="Times New Roman" w:hAnsi="Times New Roman" w:cs="Times New Roman"/>
          <w:b/>
        </w:rPr>
      </w:pPr>
      <w:r w:rsidRPr="00526AD1">
        <w:rPr>
          <w:rFonts w:ascii="Times New Roman" w:hAnsi="Times New Roman" w:cs="Times New Roman"/>
          <w:b/>
        </w:rPr>
        <w:lastRenderedPageBreak/>
        <w:t>Obrazac BIL</w:t>
      </w:r>
      <w:r w:rsidR="00D35160" w:rsidRPr="00526AD1">
        <w:rPr>
          <w:rFonts w:ascii="Times New Roman" w:hAnsi="Times New Roman" w:cs="Times New Roman"/>
          <w:b/>
        </w:rPr>
        <w:t xml:space="preserve"> </w:t>
      </w:r>
      <w:r w:rsidR="003A7E83" w:rsidRPr="00526AD1">
        <w:rPr>
          <w:rFonts w:ascii="Times New Roman" w:hAnsi="Times New Roman" w:cs="Times New Roman"/>
          <w:b/>
        </w:rPr>
        <w:t>-</w:t>
      </w:r>
      <w:r w:rsidRPr="00526AD1">
        <w:rPr>
          <w:rFonts w:ascii="Times New Roman" w:hAnsi="Times New Roman" w:cs="Times New Roman"/>
          <w:b/>
        </w:rPr>
        <w:t xml:space="preserve"> Bilanca</w:t>
      </w:r>
      <w:r w:rsidR="00667AB8" w:rsidRPr="00526AD1">
        <w:rPr>
          <w:rFonts w:ascii="Times New Roman" w:hAnsi="Times New Roman" w:cs="Times New Roman"/>
          <w:b/>
        </w:rPr>
        <w:t xml:space="preserve"> </w:t>
      </w:r>
    </w:p>
    <w:p w:rsidR="00CA0C87" w:rsidRDefault="00CA0C87" w:rsidP="00843A85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677245" w:rsidRDefault="00677245" w:rsidP="00843A85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2C6BFA" w:rsidRDefault="002C6BFA" w:rsidP="00843A85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1746C">
        <w:rPr>
          <w:rFonts w:ascii="Times New Roman" w:hAnsi="Times New Roman" w:cs="Times New Roman"/>
          <w:b/>
        </w:rPr>
        <w:t>BILJEŠKA br. 4</w:t>
      </w:r>
      <w:r w:rsidR="008B4DEF" w:rsidRPr="00E1746C">
        <w:rPr>
          <w:rFonts w:ascii="Times New Roman" w:hAnsi="Times New Roman" w:cs="Times New Roman"/>
          <w:b/>
        </w:rPr>
        <w:t>4</w:t>
      </w:r>
      <w:r w:rsidRPr="00E1746C">
        <w:rPr>
          <w:rFonts w:ascii="Times New Roman" w:hAnsi="Times New Roman" w:cs="Times New Roman"/>
          <w:b/>
        </w:rPr>
        <w:t>.</w:t>
      </w:r>
    </w:p>
    <w:p w:rsidR="00F616CF" w:rsidRPr="00526AD1" w:rsidRDefault="00F616CF" w:rsidP="00F616CF">
      <w:pPr>
        <w:pStyle w:val="Style20"/>
        <w:widowControl/>
        <w:spacing w:line="240" w:lineRule="auto"/>
        <w:contextualSpacing/>
        <w:rPr>
          <w:rFonts w:ascii="Times New Roman" w:hAnsi="Times New Roman" w:cs="Times New Roman"/>
          <w:b/>
        </w:rPr>
      </w:pPr>
    </w:p>
    <w:p w:rsidR="00BE5B55" w:rsidRDefault="00BE5B55" w:rsidP="00F616CF">
      <w:pPr>
        <w:pStyle w:val="Style20"/>
        <w:widowControl/>
        <w:spacing w:line="240" w:lineRule="auto"/>
        <w:contextualSpacing/>
        <w:rPr>
          <w:rFonts w:ascii="Times New Roman" w:hAnsi="Times New Roman" w:cs="Times New Roman"/>
          <w:b/>
        </w:rPr>
      </w:pPr>
      <w:r w:rsidRPr="00526AD1">
        <w:rPr>
          <w:rFonts w:ascii="Times New Roman" w:hAnsi="Times New Roman" w:cs="Times New Roman"/>
          <w:b/>
        </w:rPr>
        <w:t>Nefinancijska imovina</w:t>
      </w:r>
    </w:p>
    <w:p w:rsidR="00677245" w:rsidRDefault="00677245" w:rsidP="00F616CF">
      <w:pPr>
        <w:pStyle w:val="Style20"/>
        <w:widowControl/>
        <w:spacing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759" w:type="dxa"/>
        <w:jc w:val="center"/>
        <w:tblInd w:w="95" w:type="dxa"/>
        <w:tblLayout w:type="fixed"/>
        <w:tblLook w:val="04A0"/>
      </w:tblPr>
      <w:tblGrid>
        <w:gridCol w:w="864"/>
        <w:gridCol w:w="3685"/>
        <w:gridCol w:w="567"/>
        <w:gridCol w:w="1276"/>
        <w:gridCol w:w="1276"/>
        <w:gridCol w:w="709"/>
        <w:gridCol w:w="1382"/>
      </w:tblGrid>
      <w:tr w:rsidR="00677245" w:rsidRPr="00677245" w:rsidTr="00E5601E">
        <w:trPr>
          <w:trHeight w:val="405"/>
          <w:jc w:val="center"/>
        </w:trPr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Razred/ Skupina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Stanje </w:t>
            </w: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 siječnja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Stanje                     31. prosinca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Indeks (5/4)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Povećanje/ Smanjenje</w:t>
            </w:r>
          </w:p>
        </w:tc>
      </w:tr>
      <w:tr w:rsidR="00677245" w:rsidRPr="00677245" w:rsidTr="00E5601E">
        <w:trPr>
          <w:trHeight w:val="240"/>
          <w:jc w:val="center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82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677245" w:rsidRPr="00677245" w:rsidTr="00E5601E">
        <w:trPr>
          <w:trHeight w:val="119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5A5A5"/>
            <w:vAlign w:val="bottom"/>
            <w:hideMark/>
          </w:tcPr>
          <w:p w:rsidR="00677245" w:rsidRPr="00677245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677245" w:rsidRPr="00677245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:rsidR="00677245" w:rsidRPr="00677245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677245" w:rsidRPr="00677245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5A5A5"/>
            <w:vAlign w:val="bottom"/>
            <w:hideMark/>
          </w:tcPr>
          <w:p w:rsidR="00677245" w:rsidRPr="00677245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bottom"/>
            <w:hideMark/>
          </w:tcPr>
          <w:p w:rsidR="00677245" w:rsidRPr="00677245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bottom"/>
            <w:hideMark/>
          </w:tcPr>
          <w:p w:rsidR="00677245" w:rsidRPr="00677245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5-4</w:t>
            </w:r>
          </w:p>
        </w:tc>
      </w:tr>
      <w:tr w:rsidR="00677245" w:rsidRPr="00677245" w:rsidTr="00E5601E">
        <w:trPr>
          <w:trHeight w:val="240"/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01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Neproizvedena dugotrajna imovina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45" w:rsidRPr="00853D5A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003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6.113.715.745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6.120.441.614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6.725.869</w:t>
            </w:r>
          </w:p>
        </w:tc>
      </w:tr>
      <w:tr w:rsidR="00677245" w:rsidRPr="00677245" w:rsidTr="00E1746C">
        <w:trPr>
          <w:trHeight w:val="361"/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02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Proizvedena dugotrajna imovina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45" w:rsidRPr="00853D5A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007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656.035.432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643.591.699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98,1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-12.443.733</w:t>
            </w:r>
          </w:p>
        </w:tc>
      </w:tr>
      <w:tr w:rsidR="00677245" w:rsidRPr="00677245" w:rsidTr="00E5601E">
        <w:trPr>
          <w:trHeight w:val="268"/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03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Plemeniti metali i ostale pohranjene vrijednosti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45" w:rsidRPr="00853D5A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046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2.111.904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2.111.904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677245" w:rsidRPr="00677245" w:rsidTr="00E5601E">
        <w:trPr>
          <w:trHeight w:val="271"/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05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Dugotrajna nefinancijska imovina u pripremi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7245" w:rsidRPr="00853D5A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051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37.856.691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28.382.005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-9.474.686</w:t>
            </w:r>
          </w:p>
        </w:tc>
      </w:tr>
      <w:tr w:rsidR="00677245" w:rsidRPr="00677245" w:rsidTr="00E1746C">
        <w:trPr>
          <w:trHeight w:val="406"/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Nefinancijska imovina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00</w:t>
            </w: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25" w:color="C0C0C0" w:fill="A5A5A5"/>
            <w:noWrap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6.809.719.772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25" w:color="C0C0C0" w:fill="A5A5A5"/>
            <w:noWrap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6.794.527.222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677245" w:rsidRPr="00677245" w:rsidRDefault="00677245" w:rsidP="00E5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99,8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15.192.550</w:t>
            </w:r>
          </w:p>
        </w:tc>
      </w:tr>
    </w:tbl>
    <w:p w:rsidR="00CA0C87" w:rsidRPr="00526AD1" w:rsidRDefault="00CA0C87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677245" w:rsidRDefault="00677245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2C6BFA" w:rsidRDefault="002C6BFA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1746C">
        <w:rPr>
          <w:rFonts w:ascii="Times New Roman" w:hAnsi="Times New Roman" w:cs="Times New Roman"/>
          <w:b/>
        </w:rPr>
        <w:t>BILJEŠKA br. 4</w:t>
      </w:r>
      <w:r w:rsidR="008B4DEF" w:rsidRPr="00E1746C">
        <w:rPr>
          <w:rFonts w:ascii="Times New Roman" w:hAnsi="Times New Roman" w:cs="Times New Roman"/>
          <w:b/>
        </w:rPr>
        <w:t>5</w:t>
      </w:r>
      <w:r w:rsidRPr="00E1746C">
        <w:rPr>
          <w:rFonts w:ascii="Times New Roman" w:hAnsi="Times New Roman" w:cs="Times New Roman"/>
          <w:b/>
        </w:rPr>
        <w:t>.</w:t>
      </w:r>
    </w:p>
    <w:p w:rsidR="002C6BFA" w:rsidRDefault="002C6BFA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3E5EE9" w:rsidRDefault="00165BE4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526AD1">
        <w:rPr>
          <w:rFonts w:ascii="Times New Roman" w:hAnsi="Times New Roman" w:cs="Times New Roman"/>
          <w:b/>
        </w:rPr>
        <w:t xml:space="preserve">Neproizvedena dugotrajna imovina (AOP003) </w:t>
      </w:r>
      <w:r w:rsidR="003A7E83" w:rsidRPr="00526AD1">
        <w:rPr>
          <w:rFonts w:ascii="Times New Roman" w:hAnsi="Times New Roman" w:cs="Times New Roman"/>
          <w:b/>
        </w:rPr>
        <w:t>-</w:t>
      </w:r>
      <w:r w:rsidRPr="00526AD1">
        <w:rPr>
          <w:rFonts w:ascii="Times New Roman" w:hAnsi="Times New Roman" w:cs="Times New Roman"/>
          <w:b/>
        </w:rPr>
        <w:t xml:space="preserve"> </w:t>
      </w:r>
      <w:r w:rsidR="00144F72" w:rsidRPr="00526AD1">
        <w:rPr>
          <w:rFonts w:ascii="Times New Roman" w:hAnsi="Times New Roman" w:cs="Times New Roman"/>
        </w:rPr>
        <w:t xml:space="preserve">iznosi </w:t>
      </w:r>
      <w:r w:rsidR="002C6BFA">
        <w:rPr>
          <w:rFonts w:ascii="Times New Roman" w:hAnsi="Times New Roman" w:cs="Times New Roman"/>
        </w:rPr>
        <w:t>6.</w:t>
      </w:r>
      <w:r w:rsidR="00677245">
        <w:rPr>
          <w:rFonts w:ascii="Times New Roman" w:hAnsi="Times New Roman" w:cs="Times New Roman"/>
        </w:rPr>
        <w:t xml:space="preserve">120.441.614 </w:t>
      </w:r>
      <w:r w:rsidRPr="00526AD1">
        <w:rPr>
          <w:rFonts w:ascii="Times New Roman" w:hAnsi="Times New Roman" w:cs="Times New Roman"/>
        </w:rPr>
        <w:t xml:space="preserve">kn i za </w:t>
      </w:r>
      <w:r w:rsidR="00677245">
        <w:rPr>
          <w:rFonts w:ascii="Times New Roman" w:hAnsi="Times New Roman" w:cs="Times New Roman"/>
        </w:rPr>
        <w:t>0,1% ili 6.725.869</w:t>
      </w:r>
      <w:r w:rsidR="00744C26">
        <w:rPr>
          <w:rFonts w:ascii="Times New Roman" w:hAnsi="Times New Roman" w:cs="Times New Roman"/>
        </w:rPr>
        <w:t xml:space="preserve"> </w:t>
      </w:r>
      <w:r w:rsidRPr="00526AD1">
        <w:rPr>
          <w:rFonts w:ascii="Times New Roman" w:hAnsi="Times New Roman" w:cs="Times New Roman"/>
        </w:rPr>
        <w:t>kn je</w:t>
      </w:r>
      <w:r w:rsidR="00E1746C">
        <w:rPr>
          <w:rFonts w:ascii="Times New Roman" w:hAnsi="Times New Roman" w:cs="Times New Roman"/>
        </w:rPr>
        <w:t xml:space="preserve"> veća</w:t>
      </w:r>
      <w:r w:rsidRPr="00526AD1">
        <w:rPr>
          <w:rFonts w:ascii="Times New Roman" w:hAnsi="Times New Roman" w:cs="Times New Roman"/>
        </w:rPr>
        <w:t xml:space="preserve"> u odnosu na </w:t>
      </w:r>
      <w:r w:rsidR="00685BE8">
        <w:rPr>
          <w:rFonts w:ascii="Times New Roman" w:hAnsi="Times New Roman" w:cs="Times New Roman"/>
        </w:rPr>
        <w:t>2018.</w:t>
      </w:r>
      <w:r w:rsidRPr="00526AD1">
        <w:rPr>
          <w:rFonts w:ascii="Times New Roman" w:hAnsi="Times New Roman" w:cs="Times New Roman"/>
        </w:rPr>
        <w:t xml:space="preserve"> godinu u istom izvještajnom razdoblju. </w:t>
      </w:r>
      <w:r w:rsidR="006E39D4" w:rsidRPr="00526AD1">
        <w:rPr>
          <w:rFonts w:ascii="Times New Roman" w:hAnsi="Times New Roman" w:cs="Times New Roman"/>
        </w:rPr>
        <w:t xml:space="preserve">Razlog tomu je što Grad Pula provodi ažuriranje podataka koji su uneseni u aplikaciju Registar imovine sa podacima koji su evidentirani u zemljišnim knjigama. </w:t>
      </w:r>
    </w:p>
    <w:p w:rsidR="002C6BFA" w:rsidRDefault="002C6BFA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:rsidR="008B4DEF" w:rsidRDefault="008B4DEF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2C6BFA" w:rsidRDefault="002C6BFA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1746C">
        <w:rPr>
          <w:rFonts w:ascii="Times New Roman" w:hAnsi="Times New Roman" w:cs="Times New Roman"/>
          <w:b/>
        </w:rPr>
        <w:t>BILJEŠKA br. 4</w:t>
      </w:r>
      <w:r w:rsidR="008B4DEF" w:rsidRPr="00E1746C">
        <w:rPr>
          <w:rFonts w:ascii="Times New Roman" w:hAnsi="Times New Roman" w:cs="Times New Roman"/>
          <w:b/>
        </w:rPr>
        <w:t>6</w:t>
      </w:r>
      <w:r w:rsidRPr="00E1746C">
        <w:rPr>
          <w:rFonts w:ascii="Times New Roman" w:hAnsi="Times New Roman" w:cs="Times New Roman"/>
          <w:b/>
        </w:rPr>
        <w:t>.</w:t>
      </w:r>
    </w:p>
    <w:p w:rsidR="002C6BFA" w:rsidRPr="00526AD1" w:rsidRDefault="002C6BFA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:rsidR="002C6BFA" w:rsidRDefault="006E39D4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526AD1">
        <w:rPr>
          <w:rFonts w:ascii="Times New Roman" w:hAnsi="Times New Roman" w:cs="Times New Roman"/>
        </w:rPr>
        <w:t>Najveći udio u nep</w:t>
      </w:r>
      <w:r w:rsidR="006B1FA3" w:rsidRPr="00526AD1">
        <w:rPr>
          <w:rFonts w:ascii="Times New Roman" w:hAnsi="Times New Roman" w:cs="Times New Roman"/>
        </w:rPr>
        <w:t>roizvedenoj dugotrajnoj imovini ili</w:t>
      </w:r>
      <w:r w:rsidRPr="00526AD1">
        <w:rPr>
          <w:rFonts w:ascii="Times New Roman" w:hAnsi="Times New Roman" w:cs="Times New Roman"/>
        </w:rPr>
        <w:t xml:space="preserve"> 99,</w:t>
      </w:r>
      <w:r w:rsidR="00677245">
        <w:rPr>
          <w:rFonts w:ascii="Times New Roman" w:hAnsi="Times New Roman" w:cs="Times New Roman"/>
        </w:rPr>
        <w:t>9</w:t>
      </w:r>
      <w:r w:rsidRPr="00526AD1">
        <w:rPr>
          <w:rFonts w:ascii="Times New Roman" w:hAnsi="Times New Roman" w:cs="Times New Roman"/>
        </w:rPr>
        <w:t xml:space="preserve">% </w:t>
      </w:r>
      <w:r w:rsidR="006B1FA3" w:rsidRPr="00526AD1">
        <w:rPr>
          <w:rFonts w:ascii="Times New Roman" w:hAnsi="Times New Roman" w:cs="Times New Roman"/>
        </w:rPr>
        <w:t xml:space="preserve">odnosi se na </w:t>
      </w:r>
      <w:r w:rsidRPr="00526AD1">
        <w:rPr>
          <w:rFonts w:ascii="Times New Roman" w:hAnsi="Times New Roman" w:cs="Times New Roman"/>
        </w:rPr>
        <w:t>Materijaln</w:t>
      </w:r>
      <w:r w:rsidR="006B1FA3" w:rsidRPr="00526AD1">
        <w:rPr>
          <w:rFonts w:ascii="Times New Roman" w:hAnsi="Times New Roman" w:cs="Times New Roman"/>
        </w:rPr>
        <w:t>u</w:t>
      </w:r>
      <w:r w:rsidRPr="00526AD1">
        <w:rPr>
          <w:rFonts w:ascii="Times New Roman" w:hAnsi="Times New Roman" w:cs="Times New Roman"/>
        </w:rPr>
        <w:t xml:space="preserve"> imovin</w:t>
      </w:r>
      <w:r w:rsidR="006B1FA3" w:rsidRPr="00526AD1">
        <w:rPr>
          <w:rFonts w:ascii="Times New Roman" w:hAnsi="Times New Roman" w:cs="Times New Roman"/>
        </w:rPr>
        <w:t>u</w:t>
      </w:r>
      <w:r w:rsidRPr="00526AD1">
        <w:rPr>
          <w:rFonts w:ascii="Times New Roman" w:hAnsi="Times New Roman" w:cs="Times New Roman"/>
        </w:rPr>
        <w:t xml:space="preserve"> </w:t>
      </w:r>
      <w:r w:rsidR="003A7E83" w:rsidRPr="00526AD1">
        <w:rPr>
          <w:rFonts w:ascii="Times New Roman" w:hAnsi="Times New Roman" w:cs="Times New Roman"/>
        </w:rPr>
        <w:t>-</w:t>
      </w:r>
      <w:r w:rsidRPr="00526AD1">
        <w:rPr>
          <w:rFonts w:ascii="Times New Roman" w:hAnsi="Times New Roman" w:cs="Times New Roman"/>
        </w:rPr>
        <w:t xml:space="preserve"> prirodna bogatsva</w:t>
      </w:r>
      <w:r w:rsidR="002C6BFA">
        <w:rPr>
          <w:rFonts w:ascii="Times New Roman" w:hAnsi="Times New Roman" w:cs="Times New Roman"/>
        </w:rPr>
        <w:t xml:space="preserve"> (AOP004)</w:t>
      </w:r>
      <w:r w:rsidR="002C6BFA" w:rsidRPr="00526AD1">
        <w:rPr>
          <w:rFonts w:ascii="Times New Roman" w:hAnsi="Times New Roman" w:cs="Times New Roman"/>
        </w:rPr>
        <w:t xml:space="preserve"> </w:t>
      </w:r>
      <w:r w:rsidRPr="00526AD1">
        <w:rPr>
          <w:rFonts w:ascii="Times New Roman" w:hAnsi="Times New Roman" w:cs="Times New Roman"/>
        </w:rPr>
        <w:t xml:space="preserve">koja iznose </w:t>
      </w:r>
      <w:r w:rsidR="002C6BFA">
        <w:rPr>
          <w:rFonts w:ascii="Times New Roman" w:hAnsi="Times New Roman" w:cs="Times New Roman"/>
        </w:rPr>
        <w:t>6.</w:t>
      </w:r>
      <w:r w:rsidR="00677245">
        <w:rPr>
          <w:rFonts w:ascii="Times New Roman" w:hAnsi="Times New Roman" w:cs="Times New Roman"/>
        </w:rPr>
        <w:t>115.125.445</w:t>
      </w:r>
      <w:r w:rsidRPr="00526AD1">
        <w:rPr>
          <w:rFonts w:ascii="Times New Roman" w:hAnsi="Times New Roman" w:cs="Times New Roman"/>
        </w:rPr>
        <w:t xml:space="preserve"> k</w:t>
      </w:r>
      <w:r w:rsidR="006B1FA3" w:rsidRPr="00526AD1">
        <w:rPr>
          <w:rFonts w:ascii="Times New Roman" w:hAnsi="Times New Roman" w:cs="Times New Roman"/>
        </w:rPr>
        <w:t xml:space="preserve">n i čine </w:t>
      </w:r>
      <w:r w:rsidR="00677245">
        <w:rPr>
          <w:rFonts w:ascii="Times New Roman" w:hAnsi="Times New Roman" w:cs="Times New Roman"/>
        </w:rPr>
        <w:t>7.939</w:t>
      </w:r>
      <w:r w:rsidR="006B1FA3" w:rsidRPr="00526AD1">
        <w:rPr>
          <w:rFonts w:ascii="Times New Roman" w:hAnsi="Times New Roman" w:cs="Times New Roman"/>
        </w:rPr>
        <w:t xml:space="preserve"> jedinica imovine</w:t>
      </w:r>
      <w:r w:rsidR="00744C26">
        <w:rPr>
          <w:rFonts w:ascii="Times New Roman" w:hAnsi="Times New Roman" w:cs="Times New Roman"/>
        </w:rPr>
        <w:t>,</w:t>
      </w:r>
      <w:r w:rsidRPr="00526AD1">
        <w:rPr>
          <w:rFonts w:ascii="Times New Roman" w:hAnsi="Times New Roman" w:cs="Times New Roman"/>
        </w:rPr>
        <w:t xml:space="preserve"> površine </w:t>
      </w:r>
      <w:r w:rsidR="00677245">
        <w:rPr>
          <w:rFonts w:ascii="Times New Roman" w:hAnsi="Times New Roman" w:cs="Times New Roman"/>
        </w:rPr>
        <w:t>8.663.987</w:t>
      </w:r>
      <w:r w:rsidR="002C6BFA">
        <w:rPr>
          <w:rFonts w:ascii="Times New Roman" w:hAnsi="Times New Roman" w:cs="Times New Roman"/>
        </w:rPr>
        <w:t xml:space="preserve"> </w:t>
      </w:r>
      <w:r w:rsidRPr="00526AD1">
        <w:rPr>
          <w:rFonts w:ascii="Times New Roman" w:hAnsi="Times New Roman" w:cs="Times New Roman"/>
        </w:rPr>
        <w:t>m².</w:t>
      </w:r>
      <w:r w:rsidR="002C6BFA">
        <w:rPr>
          <w:rFonts w:ascii="Times New Roman" w:hAnsi="Times New Roman" w:cs="Times New Roman"/>
        </w:rPr>
        <w:t xml:space="preserve"> </w:t>
      </w:r>
    </w:p>
    <w:p w:rsidR="0036674A" w:rsidRDefault="0036674A" w:rsidP="00E1746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74A" w:rsidRDefault="0036674A" w:rsidP="00E1746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1326" w:rsidRDefault="0036674A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1746C">
        <w:rPr>
          <w:rFonts w:ascii="Times New Roman" w:hAnsi="Times New Roman" w:cs="Times New Roman"/>
          <w:b/>
        </w:rPr>
        <w:t>BILJEŠKA br. 4</w:t>
      </w:r>
      <w:r w:rsidR="00677245" w:rsidRPr="00E1746C">
        <w:rPr>
          <w:rFonts w:ascii="Times New Roman" w:hAnsi="Times New Roman" w:cs="Times New Roman"/>
          <w:b/>
        </w:rPr>
        <w:t>7</w:t>
      </w:r>
      <w:r w:rsidRPr="00E1746C">
        <w:rPr>
          <w:rFonts w:ascii="Times New Roman" w:hAnsi="Times New Roman" w:cs="Times New Roman"/>
          <w:b/>
        </w:rPr>
        <w:t>.</w:t>
      </w:r>
    </w:p>
    <w:p w:rsidR="00CA0C87" w:rsidRPr="00526AD1" w:rsidRDefault="00CA0C87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144F72" w:rsidRDefault="00144F72" w:rsidP="00E1746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b/>
          <w:sz w:val="24"/>
          <w:szCs w:val="24"/>
        </w:rPr>
        <w:t xml:space="preserve">Proizvedena dugotrajna imovina (AOP007) </w:t>
      </w:r>
      <w:r w:rsidR="00E1746C">
        <w:rPr>
          <w:rFonts w:ascii="Times New Roman" w:hAnsi="Times New Roman" w:cs="Times New Roman"/>
          <w:b/>
          <w:sz w:val="24"/>
          <w:szCs w:val="24"/>
        </w:rPr>
        <w:t>-</w:t>
      </w:r>
      <w:r w:rsidRPr="00526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sz w:val="24"/>
          <w:szCs w:val="24"/>
        </w:rPr>
        <w:t>iznosi</w:t>
      </w:r>
      <w:r w:rsidRPr="00526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245">
        <w:rPr>
          <w:rFonts w:ascii="Times New Roman" w:hAnsi="Times New Roman" w:cs="Times New Roman"/>
          <w:sz w:val="24"/>
          <w:szCs w:val="24"/>
        </w:rPr>
        <w:t>643.591.699</w:t>
      </w:r>
      <w:r w:rsidR="006B1FA3" w:rsidRPr="00526AD1">
        <w:rPr>
          <w:rFonts w:ascii="Times New Roman" w:hAnsi="Times New Roman" w:cs="Times New Roman"/>
          <w:sz w:val="24"/>
          <w:szCs w:val="24"/>
        </w:rPr>
        <w:t xml:space="preserve"> kn, </w:t>
      </w:r>
      <w:r w:rsidRPr="00526AD1">
        <w:rPr>
          <w:rFonts w:ascii="Times New Roman" w:hAnsi="Times New Roman" w:cs="Times New Roman"/>
          <w:sz w:val="24"/>
          <w:szCs w:val="24"/>
        </w:rPr>
        <w:t>za</w:t>
      </w:r>
      <w:r w:rsidR="006B1FA3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677245">
        <w:rPr>
          <w:rFonts w:ascii="Times New Roman" w:hAnsi="Times New Roman" w:cs="Times New Roman"/>
          <w:sz w:val="24"/>
          <w:szCs w:val="24"/>
        </w:rPr>
        <w:t>1,9</w:t>
      </w:r>
      <w:r w:rsidRPr="00526AD1">
        <w:rPr>
          <w:rFonts w:ascii="Times New Roman" w:hAnsi="Times New Roman" w:cs="Times New Roman"/>
          <w:sz w:val="24"/>
          <w:szCs w:val="24"/>
        </w:rPr>
        <w:t xml:space="preserve">% je </w:t>
      </w:r>
      <w:r w:rsidR="00B071C9">
        <w:rPr>
          <w:rFonts w:ascii="Times New Roman" w:hAnsi="Times New Roman" w:cs="Times New Roman"/>
          <w:sz w:val="24"/>
          <w:szCs w:val="24"/>
        </w:rPr>
        <w:t>manja</w:t>
      </w:r>
      <w:r w:rsidR="0036674A">
        <w:rPr>
          <w:rFonts w:ascii="Times New Roman" w:hAnsi="Times New Roman" w:cs="Times New Roman"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sz w:val="24"/>
          <w:szCs w:val="24"/>
        </w:rPr>
        <w:t xml:space="preserve">nego u </w:t>
      </w:r>
      <w:r w:rsidR="00685BE8">
        <w:rPr>
          <w:rFonts w:ascii="Times New Roman" w:hAnsi="Times New Roman" w:cs="Times New Roman"/>
          <w:sz w:val="24"/>
          <w:szCs w:val="24"/>
        </w:rPr>
        <w:t>2018.</w:t>
      </w:r>
      <w:r w:rsidRPr="00526AD1">
        <w:rPr>
          <w:rFonts w:ascii="Times New Roman" w:hAnsi="Times New Roman" w:cs="Times New Roman"/>
          <w:sz w:val="24"/>
          <w:szCs w:val="24"/>
        </w:rPr>
        <w:t xml:space="preserve"> godini u istom izvještajnom razdoblju. </w:t>
      </w:r>
    </w:p>
    <w:p w:rsidR="0036674A" w:rsidRDefault="0036674A" w:rsidP="00E1746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74A" w:rsidRDefault="0036674A" w:rsidP="00E174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 xml:space="preserve">Najznačajnije promjene u </w:t>
      </w:r>
      <w:r w:rsidRPr="0036674A">
        <w:rPr>
          <w:rFonts w:ascii="Times New Roman" w:hAnsi="Times New Roman" w:cs="Times New Roman"/>
          <w:sz w:val="24"/>
          <w:szCs w:val="24"/>
        </w:rPr>
        <w:t>Proizvedena dugotrajna imovina</w:t>
      </w:r>
      <w:r w:rsidRPr="00526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sz w:val="24"/>
          <w:szCs w:val="24"/>
        </w:rPr>
        <w:t xml:space="preserve">tijekom </w:t>
      </w:r>
      <w:r w:rsidR="003C20C6">
        <w:rPr>
          <w:rFonts w:ascii="Times New Roman" w:hAnsi="Times New Roman" w:cs="Times New Roman"/>
          <w:sz w:val="24"/>
          <w:szCs w:val="24"/>
        </w:rPr>
        <w:t>2019.</w:t>
      </w:r>
      <w:r w:rsidRPr="0036674A">
        <w:rPr>
          <w:rFonts w:ascii="Times New Roman" w:hAnsi="Times New Roman" w:cs="Times New Roman"/>
          <w:sz w:val="24"/>
          <w:szCs w:val="24"/>
        </w:rPr>
        <w:t xml:space="preserve"> godine su:</w:t>
      </w:r>
    </w:p>
    <w:p w:rsidR="00E1746C" w:rsidRPr="00E1746C" w:rsidRDefault="00E1746C" w:rsidP="00E1746C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Stambeni objekti </w:t>
      </w:r>
      <w:r w:rsidR="00D865F3">
        <w:rPr>
          <w:rFonts w:ascii="Times New Roman" w:hAnsi="Times New Roman" w:cs="Times New Roman"/>
          <w:sz w:val="24"/>
          <w:szCs w:val="24"/>
        </w:rPr>
        <w:t xml:space="preserve">(AOP009) </w:t>
      </w:r>
      <w:r>
        <w:rPr>
          <w:rFonts w:ascii="Times New Roman" w:hAnsi="Times New Roman" w:cs="Times New Roman"/>
          <w:sz w:val="24"/>
          <w:szCs w:val="24"/>
        </w:rPr>
        <w:t>- iznose 58.519.304 kn i bilježe povećanje od 1.238.068 kn zbog kupnje dva stana te nasljeđivanja jednog;</w:t>
      </w:r>
    </w:p>
    <w:p w:rsidR="00677245" w:rsidRPr="00677245" w:rsidRDefault="00677245" w:rsidP="00E1746C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Poslovni objekti </w:t>
      </w:r>
      <w:r w:rsidR="00D865F3">
        <w:rPr>
          <w:rFonts w:ascii="Times New Roman" w:hAnsi="Times New Roman" w:cs="Times New Roman"/>
          <w:sz w:val="24"/>
          <w:szCs w:val="24"/>
        </w:rPr>
        <w:t xml:space="preserve">(AOP010) </w:t>
      </w:r>
      <w:r>
        <w:rPr>
          <w:rFonts w:ascii="Times New Roman" w:hAnsi="Times New Roman" w:cs="Times New Roman"/>
          <w:sz w:val="24"/>
          <w:szCs w:val="24"/>
        </w:rPr>
        <w:t xml:space="preserve">- iznose 402.670.486 kn i u navedenom odjeljku evidentirana je donacija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katastarske</w:t>
      </w:r>
      <w:r w:rsidRPr="00677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čestica broj zgr.1212/16, trgovina, 429 m²,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koja je </w:t>
      </w:r>
      <w:r w:rsidRPr="00677245">
        <w:rPr>
          <w:rFonts w:ascii="Times New Roman" w:eastAsia="Calibri" w:hAnsi="Times New Roman" w:cs="Times New Roman"/>
          <w:color w:val="000000"/>
          <w:sz w:val="24"/>
          <w:szCs w:val="24"/>
        </w:rPr>
        <w:t>prešla je iz vlasništva Repulike Hrvats</w:t>
      </w:r>
      <w:r w:rsidR="00E1746C">
        <w:rPr>
          <w:rFonts w:ascii="Times New Roman" w:eastAsia="Calibri" w:hAnsi="Times New Roman" w:cs="Times New Roman"/>
          <w:color w:val="000000"/>
          <w:sz w:val="24"/>
          <w:szCs w:val="24"/>
        </w:rPr>
        <w:t>ke u vlasništvo Grada Pule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</w:t>
      </w:r>
      <w:r w:rsidRPr="00677245">
        <w:rPr>
          <w:rFonts w:ascii="Times New Roman" w:eastAsia="Calibri" w:hAnsi="Times New Roman" w:cs="Times New Roman"/>
          <w:color w:val="000000"/>
          <w:sz w:val="24"/>
          <w:szCs w:val="24"/>
        </w:rPr>
        <w:t>emeljem Rješenja Zemljišno-</w:t>
      </w:r>
      <w:r w:rsidRPr="0067724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knjižnog odjela Općinskog suda u Puli-Pola, Posl.br Z-5477/19 od 10. travnja 2019. godine, donijetog na temelju Ugovora o darovanju broj 601-03/2018, KLASA: 940-01/17-03/5552 odnosno Odluke o darovanju nekretnine u k.o. Pula Gradu Pul</w:t>
      </w:r>
      <w:r w:rsidR="00E1746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677245">
        <w:rPr>
          <w:rFonts w:ascii="Times New Roman" w:eastAsia="Calibri" w:hAnsi="Times New Roman" w:cs="Times New Roman"/>
          <w:color w:val="000000"/>
          <w:sz w:val="24"/>
          <w:szCs w:val="24"/>
        </w:rPr>
        <w:t>, u svrhu osnivanja poduzetničkog centra „Co-working Pula“ KLASA: 022-03/18-04/264 od 13. rujna 2018. godine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 vrijednosti od 1.010.000 kn;</w:t>
      </w:r>
    </w:p>
    <w:p w:rsidR="00677245" w:rsidRPr="00677245" w:rsidRDefault="00677245" w:rsidP="00E1746C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Ceste, željez</w:t>
      </w:r>
      <w:r w:rsidR="00E1746C">
        <w:rPr>
          <w:rFonts w:ascii="Times New Roman" w:eastAsia="Calibri" w:hAnsi="Times New Roman" w:cs="Times New Roman"/>
          <w:color w:val="000000"/>
          <w:sz w:val="24"/>
          <w:szCs w:val="24"/>
        </w:rPr>
        <w:t>nice i ostali prometni objekti</w:t>
      </w:r>
      <w:r w:rsidR="00D865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(AOP011)</w:t>
      </w:r>
      <w:r w:rsidR="00E174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iznose 555.556.281 kn i bilježe rast koji u postotnom iznosu nije značajan</w:t>
      </w:r>
      <w:r w:rsidR="00E1746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iznosi 4,3%, međutim vrijednosno povećanje iznosi 22.821.687 kn, a čini okončane investicije u 2019. godini</w:t>
      </w:r>
      <w:r w:rsidR="00E174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koje su knjižene u imovinu Grada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(dovršetak kružnog toka na Kaštanjeru, izgradnja gradskih prometnica);</w:t>
      </w:r>
    </w:p>
    <w:p w:rsidR="00677245" w:rsidRDefault="00677245" w:rsidP="00E1746C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Instrumenti, uređaji i strojevi </w:t>
      </w:r>
      <w:r w:rsidR="00D865F3">
        <w:rPr>
          <w:rFonts w:ascii="Times New Roman" w:hAnsi="Times New Roman" w:cs="Times New Roman"/>
          <w:sz w:val="24"/>
          <w:szCs w:val="24"/>
        </w:rPr>
        <w:t xml:space="preserve">(AOP19) </w:t>
      </w:r>
      <w:r>
        <w:rPr>
          <w:rFonts w:ascii="Times New Roman" w:hAnsi="Times New Roman" w:cs="Times New Roman"/>
          <w:sz w:val="24"/>
          <w:szCs w:val="24"/>
        </w:rPr>
        <w:t>- iznose 7.804 kn i za 1.314.263 kn su manje evidentirani nego 2018. godine iz razloga što se u 2019. godine izvršio otpis postaje za mjerenje kakvoće zraka,  sukladno Odluci o rashodovanju sredstava, opreme i sitnog inventara Grada Pula-Pola za 2018. godinu, KLASA: 022-05/18-01/2</w:t>
      </w:r>
      <w:r w:rsidR="00853D5A">
        <w:rPr>
          <w:rFonts w:ascii="Times New Roman" w:hAnsi="Times New Roman" w:cs="Times New Roman"/>
          <w:sz w:val="24"/>
          <w:szCs w:val="24"/>
        </w:rPr>
        <w:t>63 od 30. siječnja 2019. godine;</w:t>
      </w:r>
    </w:p>
    <w:p w:rsidR="00677245" w:rsidRDefault="00E1746C" w:rsidP="00E1746C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Sportska i glazbena oprema</w:t>
      </w:r>
      <w:r w:rsidR="00D865F3">
        <w:rPr>
          <w:rFonts w:ascii="Times New Roman" w:hAnsi="Times New Roman" w:cs="Times New Roman"/>
          <w:sz w:val="24"/>
          <w:szCs w:val="24"/>
        </w:rPr>
        <w:t xml:space="preserve"> (AOP020)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77245" w:rsidRPr="00677245">
        <w:rPr>
          <w:rFonts w:ascii="Times New Roman" w:hAnsi="Times New Roman" w:cs="Times New Roman"/>
          <w:sz w:val="24"/>
          <w:szCs w:val="24"/>
        </w:rPr>
        <w:t xml:space="preserve"> iznosi 43.631 kn i za 22,7 % ili 12.805 kn je manja nego 2018. godine zbog donacije glazbenog instrumenta Glazbenoj školi Ivana Matetića-Ronjgova  sukladno Odluci o donaciji glazbenog instrumenta - viola, KLASA: 022-05/19-01/</w:t>
      </w:r>
      <w:r>
        <w:rPr>
          <w:rFonts w:ascii="Times New Roman" w:hAnsi="Times New Roman" w:cs="Times New Roman"/>
          <w:sz w:val="24"/>
          <w:szCs w:val="24"/>
        </w:rPr>
        <w:t>12 od 18. siječnja 2019. godine</w:t>
      </w:r>
      <w:r w:rsidR="00677245">
        <w:rPr>
          <w:rFonts w:ascii="Times New Roman" w:hAnsi="Times New Roman" w:cs="Times New Roman"/>
          <w:sz w:val="24"/>
          <w:szCs w:val="24"/>
        </w:rPr>
        <w:t>;</w:t>
      </w:r>
    </w:p>
    <w:p w:rsidR="00677245" w:rsidRPr="00677245" w:rsidRDefault="00677245" w:rsidP="00E1746C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Prijevozn</w:t>
      </w:r>
      <w:r w:rsidR="00E1746C">
        <w:rPr>
          <w:rFonts w:ascii="Times New Roman" w:hAnsi="Times New Roman" w:cs="Times New Roman"/>
          <w:sz w:val="24"/>
          <w:szCs w:val="24"/>
        </w:rPr>
        <w:t>a sredstva u cestovnom prometu</w:t>
      </w:r>
      <w:r w:rsidR="00D865F3">
        <w:rPr>
          <w:rFonts w:ascii="Times New Roman" w:hAnsi="Times New Roman" w:cs="Times New Roman"/>
          <w:sz w:val="24"/>
          <w:szCs w:val="24"/>
        </w:rPr>
        <w:t xml:space="preserve"> (AOP025)</w:t>
      </w:r>
      <w:r w:rsidR="00E1746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iznose 1.097.971 kn i bilježe rast od 17,3% zbog evidentiranja električnih bicikala.</w:t>
      </w:r>
      <w:r w:rsidRPr="00677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4C5" w:rsidRDefault="009114C5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E1746C" w:rsidRDefault="00E1746C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36674A" w:rsidRDefault="0036674A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1746C">
        <w:rPr>
          <w:rFonts w:ascii="Times New Roman" w:hAnsi="Times New Roman" w:cs="Times New Roman"/>
          <w:b/>
        </w:rPr>
        <w:t xml:space="preserve">BILJEŠKA br. </w:t>
      </w:r>
      <w:r w:rsidR="00677245" w:rsidRPr="00E1746C">
        <w:rPr>
          <w:rFonts w:ascii="Times New Roman" w:hAnsi="Times New Roman" w:cs="Times New Roman"/>
          <w:b/>
        </w:rPr>
        <w:t>48</w:t>
      </w:r>
      <w:r w:rsidRPr="00E1746C">
        <w:rPr>
          <w:rFonts w:ascii="Times New Roman" w:hAnsi="Times New Roman" w:cs="Times New Roman"/>
          <w:b/>
        </w:rPr>
        <w:t>.</w:t>
      </w:r>
    </w:p>
    <w:p w:rsidR="0036674A" w:rsidRPr="00526AD1" w:rsidRDefault="0036674A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36674A" w:rsidRDefault="00C7303C" w:rsidP="00E1746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6A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Dugotrajna nefinancijska imovina u pripremi (</w:t>
      </w:r>
      <w:r w:rsidR="00BE5B55" w:rsidRPr="00526A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AOP05</w:t>
      </w:r>
      <w:r w:rsidRPr="00526A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="003A7E83" w:rsidRPr="00526A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526A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iznosi </w:t>
      </w:r>
      <w:r w:rsidR="005311E1">
        <w:rPr>
          <w:rFonts w:ascii="Times New Roman" w:hAnsi="Times New Roman" w:cs="Times New Roman"/>
          <w:bCs/>
          <w:color w:val="000000"/>
          <w:sz w:val="24"/>
          <w:szCs w:val="24"/>
        </w:rPr>
        <w:t>28.382.005</w:t>
      </w:r>
      <w:r w:rsidRPr="00526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kn </w:t>
      </w:r>
      <w:r w:rsidR="00677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za 25,0% iznosi manje nego u 2018. godini iz razloga što su se investicije koje su okončane prenijele na pripadajući račun imovine. N</w:t>
      </w:r>
      <w:r w:rsidRPr="00526AD1">
        <w:rPr>
          <w:rFonts w:ascii="Times New Roman" w:hAnsi="Times New Roman" w:cs="Times New Roman"/>
          <w:bCs/>
          <w:color w:val="000000"/>
          <w:sz w:val="24"/>
          <w:szCs w:val="24"/>
        </w:rPr>
        <w:t>a građevinske objekte u pripremi odnosi</w:t>
      </w:r>
      <w:r w:rsidR="00677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</w:t>
      </w:r>
      <w:r w:rsidRPr="00526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iznos od </w:t>
      </w:r>
      <w:r w:rsidR="005311E1">
        <w:rPr>
          <w:rFonts w:ascii="Times New Roman" w:hAnsi="Times New Roman" w:cs="Times New Roman"/>
          <w:bCs/>
          <w:color w:val="000000"/>
          <w:sz w:val="24"/>
          <w:szCs w:val="24"/>
        </w:rPr>
        <w:t>17.796.825</w:t>
      </w:r>
      <w:r w:rsidR="00144F72" w:rsidRPr="00526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kn</w:t>
      </w:r>
      <w:r w:rsidRPr="00526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44F72" w:rsidRPr="00526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 na </w:t>
      </w:r>
      <w:r w:rsidRPr="00526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ostalu nefinancijsku imovinu u pripremi </w:t>
      </w:r>
      <w:r w:rsidR="00677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iznos od </w:t>
      </w:r>
      <w:r w:rsidR="0036674A">
        <w:rPr>
          <w:rFonts w:ascii="Times New Roman" w:hAnsi="Times New Roman" w:cs="Times New Roman"/>
          <w:bCs/>
          <w:color w:val="000000"/>
          <w:sz w:val="24"/>
          <w:szCs w:val="24"/>
        </w:rPr>
        <w:t>10.</w:t>
      </w:r>
      <w:r w:rsidR="005311E1">
        <w:rPr>
          <w:rFonts w:ascii="Times New Roman" w:hAnsi="Times New Roman" w:cs="Times New Roman"/>
          <w:bCs/>
          <w:color w:val="000000"/>
          <w:sz w:val="24"/>
          <w:szCs w:val="24"/>
        </w:rPr>
        <w:t>585.180</w:t>
      </w:r>
      <w:r w:rsidR="00FC3F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bCs/>
          <w:color w:val="000000"/>
          <w:sz w:val="24"/>
          <w:szCs w:val="24"/>
        </w:rPr>
        <w:t>kn.</w:t>
      </w:r>
      <w:r w:rsidR="0036674A" w:rsidRPr="003667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 </w:t>
      </w:r>
      <w:r w:rsidR="003C20C6">
        <w:rPr>
          <w:rFonts w:ascii="Times New Roman" w:hAnsi="Times New Roman" w:cs="Times New Roman"/>
          <w:bCs/>
          <w:color w:val="000000"/>
          <w:sz w:val="24"/>
          <w:szCs w:val="24"/>
        </w:rPr>
        <w:t>2019.</w:t>
      </w:r>
      <w:r w:rsidR="0036674A" w:rsidRPr="003667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godini knjiženo je </w:t>
      </w:r>
      <w:r w:rsidR="005311E1">
        <w:rPr>
          <w:rFonts w:ascii="Times New Roman" w:hAnsi="Times New Roman" w:cs="Times New Roman"/>
          <w:bCs/>
          <w:color w:val="000000"/>
          <w:sz w:val="24"/>
          <w:szCs w:val="24"/>
        </w:rPr>
        <w:t>21.569.745</w:t>
      </w:r>
      <w:r w:rsidR="0036674A" w:rsidRPr="003667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kn novih investicija dok su okončane i prenesene na pripadajući račun imovine u iznosu od </w:t>
      </w:r>
      <w:r w:rsidR="005311E1">
        <w:rPr>
          <w:rFonts w:ascii="Times New Roman" w:hAnsi="Times New Roman" w:cs="Times New Roman"/>
          <w:bCs/>
          <w:color w:val="000000"/>
          <w:sz w:val="24"/>
          <w:szCs w:val="24"/>
        </w:rPr>
        <w:t>31.044.432</w:t>
      </w:r>
      <w:r w:rsidR="0036674A" w:rsidRPr="003667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kn. </w:t>
      </w:r>
    </w:p>
    <w:p w:rsidR="00677245" w:rsidRDefault="00677245" w:rsidP="00E1746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36674A" w:rsidRDefault="0036674A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BE5B55" w:rsidRDefault="00BE5B55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1746C">
        <w:rPr>
          <w:rFonts w:ascii="Times New Roman" w:hAnsi="Times New Roman" w:cs="Times New Roman"/>
          <w:b/>
        </w:rPr>
        <w:t xml:space="preserve">BILJEŠKA br. </w:t>
      </w:r>
      <w:r w:rsidR="00677245" w:rsidRPr="00E1746C">
        <w:rPr>
          <w:rFonts w:ascii="Times New Roman" w:hAnsi="Times New Roman" w:cs="Times New Roman"/>
          <w:b/>
        </w:rPr>
        <w:t>49</w:t>
      </w:r>
      <w:r w:rsidR="004D1D02" w:rsidRPr="00E1746C">
        <w:rPr>
          <w:rFonts w:ascii="Times New Roman" w:hAnsi="Times New Roman" w:cs="Times New Roman"/>
          <w:b/>
        </w:rPr>
        <w:t>.</w:t>
      </w:r>
    </w:p>
    <w:p w:rsidR="00CA0C87" w:rsidRPr="00526AD1" w:rsidRDefault="00CA0C87" w:rsidP="00E1746C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BE5B55" w:rsidRPr="00526AD1" w:rsidRDefault="00BE5B55" w:rsidP="00E1746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0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Financijska imovina</w:t>
      </w:r>
      <w:r w:rsidRPr="00526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knjiži se u sljed</w:t>
      </w:r>
      <w:r w:rsidR="00EF7AE2" w:rsidRPr="00526AD1">
        <w:rPr>
          <w:rFonts w:ascii="Times New Roman" w:hAnsi="Times New Roman" w:cs="Times New Roman"/>
          <w:bCs/>
          <w:color w:val="000000"/>
          <w:sz w:val="24"/>
          <w:szCs w:val="24"/>
        </w:rPr>
        <w:t>ećim skupinama računa razreda 1</w:t>
      </w:r>
      <w:r w:rsidR="003A7E83" w:rsidRPr="00526AD1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26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Novac u banci i blagajni, Depoziti, jamčevni polozi i potraživanja od zaposlenih te za više plaćene poreze i ostalo, Potraživanja za dane zajmove, Vrijednosni papiri, Dionice i udjeli u glavnici, Potraživanja za prihode poslovanja, Potraživanja od prodaje nefinancijske imovine i Rashod budućih razdoblja i nedospjela naplata prihoda (aktivna razgraničenja).</w:t>
      </w:r>
    </w:p>
    <w:p w:rsidR="005F1326" w:rsidRPr="00526AD1" w:rsidRDefault="005F1326" w:rsidP="00E1746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1746C" w:rsidRDefault="00E1746C" w:rsidP="00E1746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1746C" w:rsidRDefault="00E1746C" w:rsidP="00E1746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1746C" w:rsidRDefault="00E1746C" w:rsidP="00E1746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2FC4" w:rsidRDefault="00EB2FC4" w:rsidP="00EB2FC4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1746C">
        <w:rPr>
          <w:rFonts w:ascii="Times New Roman" w:hAnsi="Times New Roman" w:cs="Times New Roman"/>
          <w:b/>
        </w:rPr>
        <w:lastRenderedPageBreak/>
        <w:t xml:space="preserve">BILJEŠKA br. </w:t>
      </w:r>
      <w:r>
        <w:rPr>
          <w:rFonts w:ascii="Times New Roman" w:hAnsi="Times New Roman" w:cs="Times New Roman"/>
          <w:b/>
        </w:rPr>
        <w:t>50</w:t>
      </w:r>
      <w:r w:rsidRPr="00E1746C">
        <w:rPr>
          <w:rFonts w:ascii="Times New Roman" w:hAnsi="Times New Roman" w:cs="Times New Roman"/>
          <w:b/>
        </w:rPr>
        <w:t>.</w:t>
      </w:r>
    </w:p>
    <w:p w:rsidR="00EB2FC4" w:rsidRDefault="00EB2FC4" w:rsidP="00E1746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E5B55" w:rsidRPr="00526AD1" w:rsidRDefault="00BE5B55" w:rsidP="00E1746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6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Sukladno </w:t>
      </w:r>
      <w:r w:rsidR="00EB2FC4">
        <w:rPr>
          <w:rFonts w:ascii="Times New Roman" w:hAnsi="Times New Roman" w:cs="Times New Roman"/>
          <w:bCs/>
          <w:color w:val="000000"/>
          <w:sz w:val="24"/>
          <w:szCs w:val="24"/>
        </w:rPr>
        <w:t>prethodnoj bilješci</w:t>
      </w:r>
      <w:r w:rsidRPr="00526AD1">
        <w:rPr>
          <w:rFonts w:ascii="Times New Roman" w:hAnsi="Times New Roman" w:cs="Times New Roman"/>
          <w:bCs/>
          <w:color w:val="000000"/>
          <w:sz w:val="24"/>
          <w:szCs w:val="24"/>
        </w:rPr>
        <w:t>, Grad Pula ima evidentiranu financijsku imovinu kao što je prikazano u tablici koja slijedi:</w:t>
      </w:r>
    </w:p>
    <w:p w:rsidR="005F1326" w:rsidRPr="00526AD1" w:rsidRDefault="005F1326" w:rsidP="005F132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639" w:type="dxa"/>
        <w:jc w:val="center"/>
        <w:tblInd w:w="215" w:type="dxa"/>
        <w:tblLook w:val="04A0"/>
      </w:tblPr>
      <w:tblGrid>
        <w:gridCol w:w="790"/>
        <w:gridCol w:w="4341"/>
        <w:gridCol w:w="554"/>
        <w:gridCol w:w="1116"/>
        <w:gridCol w:w="1116"/>
        <w:gridCol w:w="706"/>
        <w:gridCol w:w="1016"/>
      </w:tblGrid>
      <w:tr w:rsidR="00677245" w:rsidRPr="00677245" w:rsidTr="00677245">
        <w:trPr>
          <w:trHeight w:val="225"/>
          <w:jc w:val="center"/>
        </w:trPr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Razred/ Skupina</w:t>
            </w:r>
          </w:p>
        </w:tc>
        <w:tc>
          <w:tcPr>
            <w:tcW w:w="434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AOP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Stanje 1. siječnja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Stanje 31. prosinca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Povećanje / Smanjenje</w:t>
            </w:r>
          </w:p>
        </w:tc>
      </w:tr>
      <w:tr w:rsidR="00677245" w:rsidRPr="00677245" w:rsidTr="00677245">
        <w:trPr>
          <w:trHeight w:val="315"/>
          <w:jc w:val="center"/>
        </w:trPr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34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5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(5/4)</w:t>
            </w: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677245" w:rsidRPr="00677245" w:rsidTr="00677245">
        <w:trPr>
          <w:trHeight w:val="166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5A5A5"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5A5A5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5A5A5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5A5A5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5A5A5"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5A5A5"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5-4</w:t>
            </w:r>
          </w:p>
        </w:tc>
      </w:tr>
      <w:tr w:rsidR="00677245" w:rsidRPr="00677245" w:rsidTr="00677245">
        <w:trPr>
          <w:trHeight w:val="198"/>
          <w:jc w:val="center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Novac u banci i blagajni 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245" w:rsidRPr="00853D5A" w:rsidRDefault="00E1746C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677245"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66.555.665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68.558.811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103,0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2.003.146</w:t>
            </w:r>
          </w:p>
        </w:tc>
      </w:tr>
      <w:tr w:rsidR="00677245" w:rsidRPr="00677245" w:rsidTr="00677245">
        <w:trPr>
          <w:trHeight w:val="429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Depoziti, jamčevni polozi i potraživanja od zaposlenih te za više plaćene poreze i ostalo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245" w:rsidRPr="00853D5A" w:rsidRDefault="00E1746C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677245"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225.000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229.674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102,1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4.674</w:t>
            </w:r>
          </w:p>
        </w:tc>
      </w:tr>
      <w:tr w:rsidR="00677245" w:rsidRPr="00677245" w:rsidTr="00677245">
        <w:trPr>
          <w:trHeight w:val="267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Dionice i udjeli u glavnici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245" w:rsidRPr="00853D5A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128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235.306.717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235.316.917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10.200</w:t>
            </w:r>
          </w:p>
        </w:tc>
      </w:tr>
      <w:tr w:rsidR="00677245" w:rsidRPr="00677245" w:rsidTr="00677245">
        <w:trPr>
          <w:trHeight w:val="216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Potraživanja za prihode poslovanja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245" w:rsidRPr="00853D5A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140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40.637.326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41.575.293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102,3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937.967</w:t>
            </w:r>
          </w:p>
        </w:tc>
      </w:tr>
      <w:tr w:rsidR="00677245" w:rsidRPr="00677245" w:rsidTr="00677245">
        <w:trPr>
          <w:trHeight w:val="305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Potraživanja od prodaje nefinancijske imovine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245" w:rsidRPr="00853D5A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157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11.113.557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7.313.653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-3.799.904</w:t>
            </w:r>
          </w:p>
        </w:tc>
      </w:tr>
      <w:tr w:rsidR="00677245" w:rsidRPr="00677245" w:rsidTr="00677245">
        <w:trPr>
          <w:trHeight w:val="213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Rashodi budućih razdoblja i nedospjela naplata prihoda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245" w:rsidRPr="00853D5A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53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2.202.703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2.127.076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-75.627</w:t>
            </w:r>
          </w:p>
        </w:tc>
      </w:tr>
      <w:tr w:rsidR="00677245" w:rsidRPr="00677245" w:rsidTr="00677245">
        <w:trPr>
          <w:trHeight w:val="315"/>
          <w:jc w:val="center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Financijska imovina 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77245" w:rsidRPr="00677245" w:rsidRDefault="00E1746C" w:rsidP="0067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677245"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356.040.968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355.121.424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99,7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677245" w:rsidRPr="00677245" w:rsidRDefault="00677245" w:rsidP="0067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7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-919.544</w:t>
            </w:r>
          </w:p>
        </w:tc>
      </w:tr>
    </w:tbl>
    <w:p w:rsidR="00CA0C87" w:rsidRDefault="00CA0C87" w:rsidP="005254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57A6C" w:rsidRDefault="00C7303C" w:rsidP="005254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6AD1">
        <w:rPr>
          <w:rFonts w:ascii="Times New Roman" w:hAnsi="Times New Roman" w:cs="Times New Roman"/>
          <w:bCs/>
          <w:color w:val="000000"/>
          <w:sz w:val="24"/>
          <w:szCs w:val="24"/>
        </w:rPr>
        <w:t>FINANCIJSKA IMOVINA</w:t>
      </w:r>
      <w:r w:rsidR="00AE37F0" w:rsidRPr="00526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(AOP063)</w:t>
      </w:r>
      <w:r w:rsidRPr="00526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Grada Pule iznosi</w:t>
      </w:r>
      <w:r w:rsidR="00BE5B55" w:rsidRPr="00526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77245">
        <w:rPr>
          <w:rFonts w:ascii="Times New Roman" w:hAnsi="Times New Roman" w:cs="Times New Roman"/>
          <w:bCs/>
          <w:color w:val="000000"/>
          <w:sz w:val="24"/>
          <w:szCs w:val="24"/>
        </w:rPr>
        <w:t>355.121.424</w:t>
      </w:r>
      <w:r w:rsidRPr="00526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kn i bilježi </w:t>
      </w:r>
      <w:r w:rsidR="00657A6C">
        <w:rPr>
          <w:rFonts w:ascii="Times New Roman" w:hAnsi="Times New Roman" w:cs="Times New Roman"/>
          <w:bCs/>
          <w:color w:val="000000"/>
          <w:sz w:val="24"/>
          <w:szCs w:val="24"/>
        </w:rPr>
        <w:t>pad</w:t>
      </w:r>
      <w:r w:rsidRPr="00526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 </w:t>
      </w:r>
      <w:r w:rsidR="00677245">
        <w:rPr>
          <w:rFonts w:ascii="Times New Roman" w:hAnsi="Times New Roman" w:cs="Times New Roman"/>
          <w:bCs/>
          <w:color w:val="000000"/>
          <w:sz w:val="24"/>
          <w:szCs w:val="24"/>
        </w:rPr>
        <w:t>0,3</w:t>
      </w:r>
      <w:r w:rsidRPr="00526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u odnosu na </w:t>
      </w:r>
      <w:r w:rsidR="00685BE8">
        <w:rPr>
          <w:rFonts w:ascii="Times New Roman" w:hAnsi="Times New Roman" w:cs="Times New Roman"/>
          <w:bCs/>
          <w:color w:val="000000"/>
          <w:sz w:val="24"/>
          <w:szCs w:val="24"/>
        </w:rPr>
        <w:t>2018.</w:t>
      </w:r>
      <w:r w:rsidRPr="00526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godinu u istom izvještajnom razdoblju. </w:t>
      </w:r>
    </w:p>
    <w:p w:rsidR="00657A6C" w:rsidRDefault="00657A6C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CA0C87" w:rsidRDefault="00CA0C87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657A6C" w:rsidRDefault="00657A6C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1746C">
        <w:rPr>
          <w:rFonts w:ascii="Times New Roman" w:hAnsi="Times New Roman" w:cs="Times New Roman"/>
          <w:b/>
        </w:rPr>
        <w:t>BILJEŠKA br. 5</w:t>
      </w:r>
      <w:r w:rsidR="00EB2FC4">
        <w:rPr>
          <w:rFonts w:ascii="Times New Roman" w:hAnsi="Times New Roman" w:cs="Times New Roman"/>
          <w:b/>
        </w:rPr>
        <w:t>1</w:t>
      </w:r>
      <w:r w:rsidRPr="00E1746C">
        <w:rPr>
          <w:rFonts w:ascii="Times New Roman" w:hAnsi="Times New Roman" w:cs="Times New Roman"/>
          <w:b/>
        </w:rPr>
        <w:t>.</w:t>
      </w:r>
    </w:p>
    <w:p w:rsidR="00CA0C87" w:rsidRPr="00526AD1" w:rsidRDefault="00CA0C87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443A88" w:rsidRPr="00526AD1" w:rsidRDefault="00677245" w:rsidP="00525422">
      <w:pPr>
        <w:pStyle w:val="Style11"/>
        <w:widowControl/>
        <w:tabs>
          <w:tab w:val="left" w:pos="223"/>
        </w:tabs>
        <w:spacing w:line="276" w:lineRule="auto"/>
        <w:contextualSpacing/>
        <w:rPr>
          <w:rStyle w:val="FontStyle24"/>
          <w:spacing w:val="0"/>
        </w:rPr>
      </w:pPr>
      <w:r>
        <w:rPr>
          <w:rStyle w:val="FontStyle25"/>
          <w:b w:val="0"/>
          <w:spacing w:val="0"/>
        </w:rPr>
        <w:t>Ostala potraživanja (AOP080) -</w:t>
      </w:r>
      <w:r w:rsidR="00657A6C">
        <w:rPr>
          <w:rStyle w:val="FontStyle25"/>
          <w:b w:val="0"/>
          <w:spacing w:val="0"/>
        </w:rPr>
        <w:t xml:space="preserve"> iznose </w:t>
      </w:r>
      <w:r>
        <w:rPr>
          <w:rStyle w:val="FontStyle25"/>
          <w:b w:val="0"/>
          <w:spacing w:val="0"/>
        </w:rPr>
        <w:t>76.352</w:t>
      </w:r>
      <w:r w:rsidR="00657A6C">
        <w:rPr>
          <w:rStyle w:val="FontStyle25"/>
          <w:b w:val="0"/>
          <w:spacing w:val="0"/>
        </w:rPr>
        <w:t xml:space="preserve"> kn, a </w:t>
      </w:r>
      <w:r w:rsidR="00443A88" w:rsidRPr="00526AD1">
        <w:rPr>
          <w:rStyle w:val="FontStyle25"/>
          <w:b w:val="0"/>
          <w:spacing w:val="0"/>
        </w:rPr>
        <w:t>čin</w:t>
      </w:r>
      <w:r w:rsidR="009848FB">
        <w:rPr>
          <w:rStyle w:val="FontStyle25"/>
          <w:b w:val="0"/>
          <w:spacing w:val="0"/>
        </w:rPr>
        <w:t>e</w:t>
      </w:r>
      <w:r w:rsidR="00657A6C">
        <w:rPr>
          <w:rStyle w:val="FontStyle25"/>
          <w:b w:val="0"/>
          <w:spacing w:val="0"/>
        </w:rPr>
        <w:t xml:space="preserve"> ih</w:t>
      </w:r>
      <w:r w:rsidR="00443A88" w:rsidRPr="00526AD1">
        <w:rPr>
          <w:rStyle w:val="FontStyle25"/>
          <w:b w:val="0"/>
          <w:spacing w:val="0"/>
        </w:rPr>
        <w:t xml:space="preserve">: potraživanja za naknade koje se refundiraju odnosno potraživanje za bolovanje preko 42 dana i kućnu njegu od strane Hrvatskog zavoda za zdravstveno osiguranje u iznosu </w:t>
      </w:r>
      <w:r>
        <w:rPr>
          <w:rStyle w:val="FontStyle25"/>
          <w:b w:val="0"/>
          <w:spacing w:val="0"/>
        </w:rPr>
        <w:t>45.988</w:t>
      </w:r>
      <w:r w:rsidR="00443A88" w:rsidRPr="00526AD1">
        <w:rPr>
          <w:rStyle w:val="FontStyle25"/>
          <w:b w:val="0"/>
          <w:spacing w:val="0"/>
        </w:rPr>
        <w:t xml:space="preserve"> kn</w:t>
      </w:r>
      <w:r w:rsidR="00657A6C">
        <w:rPr>
          <w:rStyle w:val="FontStyle25"/>
          <w:b w:val="0"/>
          <w:spacing w:val="0"/>
        </w:rPr>
        <w:t xml:space="preserve"> </w:t>
      </w:r>
      <w:r w:rsidR="00443A88" w:rsidRPr="00526AD1">
        <w:rPr>
          <w:rStyle w:val="FontStyle25"/>
          <w:b w:val="0"/>
          <w:spacing w:val="0"/>
        </w:rPr>
        <w:t>o</w:t>
      </w:r>
      <w:r w:rsidR="00443A88" w:rsidRPr="00526AD1">
        <w:rPr>
          <w:rStyle w:val="FontStyle24"/>
          <w:spacing w:val="0"/>
        </w:rPr>
        <w:t xml:space="preserve">stala nespomenuta potraživanja u iznosu od </w:t>
      </w:r>
      <w:r>
        <w:rPr>
          <w:rStyle w:val="FontStyle24"/>
          <w:spacing w:val="0"/>
        </w:rPr>
        <w:t>30.364</w:t>
      </w:r>
      <w:r w:rsidR="00443A88" w:rsidRPr="00526AD1">
        <w:rPr>
          <w:rStyle w:val="FontStyle24"/>
          <w:spacing w:val="0"/>
        </w:rPr>
        <w:t xml:space="preserve"> kn</w:t>
      </w:r>
      <w:r w:rsidR="006B1FA3" w:rsidRPr="00526AD1">
        <w:rPr>
          <w:rStyle w:val="FontStyle24"/>
          <w:spacing w:val="0"/>
        </w:rPr>
        <w:t xml:space="preserve"> </w:t>
      </w:r>
      <w:r w:rsidR="00443A88" w:rsidRPr="00526AD1">
        <w:rPr>
          <w:rStyle w:val="FontStyle24"/>
          <w:spacing w:val="0"/>
        </w:rPr>
        <w:t>koje čine potraživanja za osporavane presude za koje su sredstva skinuta sa računa Grada od strane FINA</w:t>
      </w:r>
      <w:r w:rsidR="003A7E83" w:rsidRPr="00526AD1">
        <w:rPr>
          <w:rStyle w:val="FontStyle24"/>
          <w:spacing w:val="0"/>
        </w:rPr>
        <w:t>-</w:t>
      </w:r>
      <w:r w:rsidR="00443A88" w:rsidRPr="00526AD1">
        <w:rPr>
          <w:rStyle w:val="FontStyle24"/>
          <w:spacing w:val="0"/>
        </w:rPr>
        <w:t xml:space="preserve">e, za više isplaćena sredstva iz proračuna po </w:t>
      </w:r>
      <w:r w:rsidR="00657A6C">
        <w:rPr>
          <w:rStyle w:val="FontStyle24"/>
          <w:spacing w:val="0"/>
        </w:rPr>
        <w:t xml:space="preserve">računima ili </w:t>
      </w:r>
      <w:r w:rsidR="00443A88" w:rsidRPr="00526AD1">
        <w:rPr>
          <w:rStyle w:val="FontStyle24"/>
          <w:spacing w:val="0"/>
        </w:rPr>
        <w:t xml:space="preserve">programima koja nisu realizirana i sl. </w:t>
      </w:r>
    </w:p>
    <w:p w:rsidR="00DC0226" w:rsidRDefault="00DC0226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E1746C" w:rsidRDefault="00E1746C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DC0226" w:rsidRPr="00526AD1" w:rsidRDefault="00DC0226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1746C">
        <w:rPr>
          <w:rFonts w:ascii="Times New Roman" w:hAnsi="Times New Roman" w:cs="Times New Roman"/>
          <w:b/>
        </w:rPr>
        <w:t>BILJEŠKA br. 5</w:t>
      </w:r>
      <w:r w:rsidR="00EB2FC4">
        <w:rPr>
          <w:rFonts w:ascii="Times New Roman" w:hAnsi="Times New Roman" w:cs="Times New Roman"/>
          <w:b/>
        </w:rPr>
        <w:t>2</w:t>
      </w:r>
      <w:r w:rsidRPr="00E1746C">
        <w:rPr>
          <w:rFonts w:ascii="Times New Roman" w:hAnsi="Times New Roman" w:cs="Times New Roman"/>
          <w:b/>
        </w:rPr>
        <w:t>.</w:t>
      </w:r>
    </w:p>
    <w:p w:rsidR="00DC0226" w:rsidRDefault="00DC0226" w:rsidP="00525422">
      <w:pPr>
        <w:spacing w:after="0"/>
        <w:jc w:val="both"/>
        <w:rPr>
          <w:rFonts w:ascii="Times New Roman" w:hAnsi="Times New Roman" w:cs="Times New Roman"/>
          <w:b/>
        </w:rPr>
      </w:pPr>
    </w:p>
    <w:p w:rsidR="00F418AA" w:rsidRPr="00F418AA" w:rsidRDefault="00F50CBF" w:rsidP="001D1E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26">
        <w:rPr>
          <w:rFonts w:ascii="Times New Roman" w:hAnsi="Times New Roman" w:cs="Times New Roman"/>
          <w:b/>
          <w:sz w:val="24"/>
          <w:szCs w:val="24"/>
        </w:rPr>
        <w:t xml:space="preserve">Potraživanja za prihode poslovanja (AOP140) </w:t>
      </w:r>
      <w:r w:rsidR="003A7E83" w:rsidRPr="00DC0226">
        <w:rPr>
          <w:rFonts w:ascii="Times New Roman" w:hAnsi="Times New Roman" w:cs="Times New Roman"/>
          <w:b/>
          <w:sz w:val="24"/>
          <w:szCs w:val="24"/>
        </w:rPr>
        <w:t>-</w:t>
      </w:r>
      <w:r w:rsidRPr="00DC0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AE2" w:rsidRPr="00DC0226">
        <w:rPr>
          <w:rFonts w:ascii="Times New Roman" w:hAnsi="Times New Roman" w:cs="Times New Roman"/>
          <w:sz w:val="24"/>
          <w:szCs w:val="24"/>
        </w:rPr>
        <w:t xml:space="preserve">iznose </w:t>
      </w:r>
      <w:r w:rsidR="00F418AA">
        <w:rPr>
          <w:rFonts w:ascii="Times New Roman" w:hAnsi="Times New Roman" w:cs="Times New Roman"/>
          <w:sz w:val="24"/>
          <w:szCs w:val="24"/>
        </w:rPr>
        <w:t>41.575.293</w:t>
      </w:r>
      <w:r w:rsidR="00EF7AE2" w:rsidRPr="00DC0226">
        <w:rPr>
          <w:rFonts w:ascii="Times New Roman" w:hAnsi="Times New Roman" w:cs="Times New Roman"/>
          <w:sz w:val="24"/>
          <w:szCs w:val="24"/>
        </w:rPr>
        <w:t xml:space="preserve"> kn i </w:t>
      </w:r>
      <w:r w:rsidR="00F418AA">
        <w:rPr>
          <w:rFonts w:ascii="Times New Roman" w:hAnsi="Times New Roman" w:cs="Times New Roman"/>
          <w:sz w:val="24"/>
          <w:szCs w:val="24"/>
        </w:rPr>
        <w:t>veća</w:t>
      </w:r>
      <w:r w:rsidR="00EF7AE2" w:rsidRPr="00DC0226">
        <w:rPr>
          <w:rFonts w:ascii="Times New Roman" w:hAnsi="Times New Roman" w:cs="Times New Roman"/>
          <w:sz w:val="24"/>
          <w:szCs w:val="24"/>
        </w:rPr>
        <w:t xml:space="preserve"> su za</w:t>
      </w:r>
      <w:r w:rsidR="00F418AA">
        <w:rPr>
          <w:rFonts w:ascii="Times New Roman" w:hAnsi="Times New Roman" w:cs="Times New Roman"/>
          <w:sz w:val="24"/>
          <w:szCs w:val="24"/>
        </w:rPr>
        <w:t xml:space="preserve"> 2,3</w:t>
      </w:r>
      <w:r w:rsidR="00F418AA" w:rsidRPr="00DC0226">
        <w:rPr>
          <w:rFonts w:ascii="Times New Roman" w:hAnsi="Times New Roman" w:cs="Times New Roman"/>
          <w:sz w:val="24"/>
          <w:szCs w:val="24"/>
        </w:rPr>
        <w:t xml:space="preserve">% </w:t>
      </w:r>
      <w:r w:rsidR="00F418AA">
        <w:rPr>
          <w:rFonts w:ascii="Times New Roman" w:hAnsi="Times New Roman" w:cs="Times New Roman"/>
          <w:sz w:val="24"/>
          <w:szCs w:val="24"/>
        </w:rPr>
        <w:t>ili 937.967 kn</w:t>
      </w:r>
      <w:r w:rsidR="00EF7AE2" w:rsidRPr="00DC0226">
        <w:rPr>
          <w:rFonts w:ascii="Times New Roman" w:hAnsi="Times New Roman" w:cs="Times New Roman"/>
          <w:sz w:val="24"/>
          <w:szCs w:val="24"/>
        </w:rPr>
        <w:t xml:space="preserve"> u odnosu na isto izvještajno razdoblje </w:t>
      </w:r>
      <w:r w:rsidR="00685BE8">
        <w:rPr>
          <w:rFonts w:ascii="Times New Roman" w:hAnsi="Times New Roman" w:cs="Times New Roman"/>
          <w:sz w:val="24"/>
          <w:szCs w:val="24"/>
        </w:rPr>
        <w:t>2018.</w:t>
      </w:r>
      <w:r w:rsidR="00EF7AE2" w:rsidRPr="00DC0226">
        <w:rPr>
          <w:rFonts w:ascii="Times New Roman" w:hAnsi="Times New Roman" w:cs="Times New Roman"/>
          <w:sz w:val="24"/>
          <w:szCs w:val="24"/>
        </w:rPr>
        <w:t xml:space="preserve"> godine</w:t>
      </w:r>
      <w:r w:rsidR="00F418AA">
        <w:rPr>
          <w:rFonts w:ascii="Times New Roman" w:hAnsi="Times New Roman" w:cs="Times New Roman"/>
          <w:sz w:val="24"/>
          <w:szCs w:val="24"/>
        </w:rPr>
        <w:t xml:space="preserve">. Na ukupne prihode poslovanja odrazilo se </w:t>
      </w:r>
      <w:r w:rsidR="00F418AA" w:rsidRPr="00F418AA">
        <w:rPr>
          <w:rFonts w:ascii="Times New Roman" w:hAnsi="Times New Roman" w:cs="Times New Roman"/>
          <w:sz w:val="24"/>
          <w:szCs w:val="24"/>
        </w:rPr>
        <w:t>evidentiranja potraživanja poreza na promet nekretnina</w:t>
      </w:r>
      <w:r w:rsidR="00E1746C">
        <w:rPr>
          <w:rFonts w:ascii="Times New Roman" w:hAnsi="Times New Roman" w:cs="Times New Roman"/>
          <w:sz w:val="24"/>
          <w:szCs w:val="24"/>
        </w:rPr>
        <w:t xml:space="preserve"> te</w:t>
      </w:r>
      <w:r w:rsidR="00F418AA">
        <w:rPr>
          <w:rFonts w:ascii="Times New Roman" w:hAnsi="Times New Roman" w:cs="Times New Roman"/>
          <w:sz w:val="24"/>
          <w:szCs w:val="24"/>
        </w:rPr>
        <w:t xml:space="preserve"> </w:t>
      </w:r>
      <w:r w:rsidR="00E1746C">
        <w:rPr>
          <w:rFonts w:ascii="Times New Roman" w:hAnsi="Times New Roman" w:cs="Times New Roman"/>
          <w:sz w:val="24"/>
          <w:szCs w:val="24"/>
        </w:rPr>
        <w:t>prisilna</w:t>
      </w:r>
      <w:r w:rsidR="00F418AA" w:rsidRPr="00F418AA">
        <w:rPr>
          <w:rFonts w:ascii="Times New Roman" w:hAnsi="Times New Roman" w:cs="Times New Roman"/>
          <w:sz w:val="24"/>
          <w:szCs w:val="24"/>
        </w:rPr>
        <w:t xml:space="preserve"> naplata gradskih novčanih kazni, </w:t>
      </w:r>
      <w:r w:rsidR="00F418AA">
        <w:rPr>
          <w:rFonts w:ascii="Times New Roman" w:hAnsi="Times New Roman" w:cs="Times New Roman"/>
          <w:sz w:val="24"/>
          <w:szCs w:val="24"/>
        </w:rPr>
        <w:t>a sukladno dopisu Ministarstva financija, Porezna uprava, Područni ured Pazin, Ispostava Pula, KLASA: 410-01/20-01/15 od 20. siječnja 2020. godine odnosno</w:t>
      </w:r>
      <w:r w:rsidR="00F418AA" w:rsidRPr="00F418AA">
        <w:rPr>
          <w:rFonts w:ascii="Times New Roman" w:hAnsi="Times New Roman" w:cs="Times New Roman"/>
          <w:sz w:val="24"/>
          <w:szCs w:val="24"/>
        </w:rPr>
        <w:t xml:space="preserve"> </w:t>
      </w:r>
      <w:r w:rsidR="00F418AA">
        <w:rPr>
          <w:rFonts w:ascii="Times New Roman" w:hAnsi="Times New Roman" w:cs="Times New Roman"/>
          <w:sz w:val="24"/>
          <w:szCs w:val="24"/>
        </w:rPr>
        <w:t>KLASA: 415-01/2020-01/3 od 07. veljače 2020. godine odnosno njihovim evidencijama sa stanjem na dan 31.12.2019. godine</w:t>
      </w:r>
      <w:r w:rsidR="00B071C9">
        <w:rPr>
          <w:rFonts w:ascii="Times New Roman" w:hAnsi="Times New Roman" w:cs="Times New Roman"/>
          <w:sz w:val="24"/>
          <w:szCs w:val="24"/>
        </w:rPr>
        <w:t xml:space="preserve"> u iznosu od 5.639.970 kn</w:t>
      </w:r>
      <w:r w:rsidR="00F418AA">
        <w:rPr>
          <w:rFonts w:ascii="Times New Roman" w:hAnsi="Times New Roman" w:cs="Times New Roman"/>
          <w:sz w:val="24"/>
          <w:szCs w:val="24"/>
        </w:rPr>
        <w:t>.</w:t>
      </w:r>
    </w:p>
    <w:p w:rsidR="00F418AA" w:rsidRDefault="00F418AA" w:rsidP="00525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65F3" w:rsidRDefault="00D865F3" w:rsidP="00F418A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D865F3" w:rsidRDefault="00D865F3" w:rsidP="00F418A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D865F3" w:rsidRDefault="00D865F3" w:rsidP="00F418A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D865F3" w:rsidRDefault="00D865F3" w:rsidP="00F418A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F418AA" w:rsidRPr="00526AD1" w:rsidRDefault="00EB2FC4" w:rsidP="00F418A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BILJEŠKA br. 53</w:t>
      </w:r>
      <w:r w:rsidR="00F418AA" w:rsidRPr="001D1E7E">
        <w:rPr>
          <w:rFonts w:ascii="Times New Roman" w:hAnsi="Times New Roman" w:cs="Times New Roman"/>
          <w:b/>
        </w:rPr>
        <w:t>.</w:t>
      </w:r>
    </w:p>
    <w:p w:rsidR="00EB2FC4" w:rsidRDefault="00EB2FC4" w:rsidP="001D1E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18AA" w:rsidRDefault="00F418AA" w:rsidP="001D1E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8AA">
        <w:rPr>
          <w:rFonts w:ascii="Times New Roman" w:hAnsi="Times New Roman" w:cs="Times New Roman"/>
          <w:sz w:val="24"/>
          <w:szCs w:val="24"/>
        </w:rPr>
        <w:t>Potraživanja za poreze (AOP141) - iznose 7.452.901 kn i za 175,0% ili za 4.742.713 kn su veća nego 2018. godine u istom izvještajnom razdoblju</w:t>
      </w:r>
      <w:r w:rsidR="001D1E7E">
        <w:rPr>
          <w:rFonts w:ascii="Times New Roman" w:hAnsi="Times New Roman" w:cs="Times New Roman"/>
          <w:sz w:val="24"/>
          <w:szCs w:val="24"/>
        </w:rPr>
        <w:t xml:space="preserve"> </w:t>
      </w:r>
      <w:r w:rsidRPr="00F418AA">
        <w:rPr>
          <w:rFonts w:ascii="Times New Roman" w:hAnsi="Times New Roman" w:cs="Times New Roman"/>
          <w:sz w:val="24"/>
          <w:szCs w:val="24"/>
        </w:rPr>
        <w:t xml:space="preserve"> zbog evidentiranja potraživanja poreza na promet nekretnina, uplatni račun 1783, koji iznos</w:t>
      </w:r>
      <w:r w:rsidR="00A07F67">
        <w:rPr>
          <w:rFonts w:ascii="Times New Roman" w:hAnsi="Times New Roman" w:cs="Times New Roman"/>
          <w:sz w:val="24"/>
          <w:szCs w:val="24"/>
        </w:rPr>
        <w:t>i</w:t>
      </w:r>
      <w:r w:rsidRPr="00F418AA">
        <w:rPr>
          <w:rFonts w:ascii="Times New Roman" w:hAnsi="Times New Roman" w:cs="Times New Roman"/>
          <w:sz w:val="24"/>
          <w:szCs w:val="24"/>
        </w:rPr>
        <w:t xml:space="preserve"> </w:t>
      </w:r>
      <w:r w:rsidR="00A07F67">
        <w:rPr>
          <w:rFonts w:ascii="Times New Roman" w:hAnsi="Times New Roman" w:cs="Times New Roman"/>
          <w:sz w:val="24"/>
          <w:szCs w:val="24"/>
        </w:rPr>
        <w:t>5.228.498</w:t>
      </w:r>
      <w:r w:rsidRPr="00F418AA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, a skladno prethodnoj bilješci.</w:t>
      </w:r>
    </w:p>
    <w:p w:rsidR="00F418AA" w:rsidRPr="00F418AA" w:rsidRDefault="00F418AA" w:rsidP="001D1E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Dospjela potraživanja za poreze iznose 7.448.957 kn, a nedospjela 3.94</w:t>
      </w:r>
      <w:r w:rsidR="001D1E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EB2FC4" w:rsidRDefault="00EB2FC4" w:rsidP="001D1E7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EB2FC4" w:rsidRDefault="00EB2FC4" w:rsidP="001D1E7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F418AA" w:rsidRPr="00526AD1" w:rsidRDefault="00F418AA" w:rsidP="001D1E7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1D1E7E">
        <w:rPr>
          <w:rFonts w:ascii="Times New Roman" w:hAnsi="Times New Roman" w:cs="Times New Roman"/>
          <w:b/>
        </w:rPr>
        <w:t>BILJEŠKA br. 5</w:t>
      </w:r>
      <w:r w:rsidR="00EB2FC4">
        <w:rPr>
          <w:rFonts w:ascii="Times New Roman" w:hAnsi="Times New Roman" w:cs="Times New Roman"/>
          <w:b/>
        </w:rPr>
        <w:t>4</w:t>
      </w:r>
      <w:r w:rsidRPr="001D1E7E">
        <w:rPr>
          <w:rFonts w:ascii="Times New Roman" w:hAnsi="Times New Roman" w:cs="Times New Roman"/>
          <w:b/>
        </w:rPr>
        <w:t>.</w:t>
      </w:r>
    </w:p>
    <w:p w:rsidR="00F418AA" w:rsidRDefault="00F418AA" w:rsidP="001D1E7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:rsidR="00F418AA" w:rsidRDefault="00F418AA" w:rsidP="001D1E7E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Potraživanja za pomoći proračunskim korisnicima iz proračuna koji im nije nadležan (AOP149) -  iznose 44.078 kn, a čine </w:t>
      </w:r>
      <w:r w:rsidR="00D865F3">
        <w:rPr>
          <w:rFonts w:ascii="Times New Roman" w:hAnsi="Times New Roman" w:cs="Times New Roman"/>
        </w:rPr>
        <w:t>potraživanja za manje doznačena sredstva</w:t>
      </w:r>
      <w:r w:rsidRPr="009848FB">
        <w:rPr>
          <w:rFonts w:ascii="Times New Roman" w:hAnsi="Times New Roman" w:cs="Times New Roman"/>
        </w:rPr>
        <w:t xml:space="preserve"> za vatrogastvo po obračunu u </w:t>
      </w:r>
      <w:r>
        <w:rPr>
          <w:rFonts w:ascii="Times New Roman" w:hAnsi="Times New Roman" w:cs="Times New Roman"/>
        </w:rPr>
        <w:t>2019.</w:t>
      </w:r>
      <w:r w:rsidRPr="009848FB">
        <w:rPr>
          <w:rFonts w:ascii="Times New Roman" w:hAnsi="Times New Roman" w:cs="Times New Roman"/>
        </w:rPr>
        <w:t xml:space="preserve"> godini. Naplaćeni prihod u 2019. godini bit će knjižen u korist Grada budući je zbog manje doznačenih sredstava korisniku Grad platio obvezu.</w:t>
      </w:r>
    </w:p>
    <w:p w:rsidR="00F418AA" w:rsidRDefault="00F418AA" w:rsidP="00525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8AA" w:rsidRDefault="00F418AA" w:rsidP="00F41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8AA" w:rsidRPr="00526AD1" w:rsidRDefault="00F418AA" w:rsidP="00F418A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1D1E7E">
        <w:rPr>
          <w:rFonts w:ascii="Times New Roman" w:hAnsi="Times New Roman" w:cs="Times New Roman"/>
          <w:b/>
        </w:rPr>
        <w:t>BILJEŠKA br. 5</w:t>
      </w:r>
      <w:r w:rsidR="00EB2FC4">
        <w:rPr>
          <w:rFonts w:ascii="Times New Roman" w:hAnsi="Times New Roman" w:cs="Times New Roman"/>
          <w:b/>
        </w:rPr>
        <w:t>5</w:t>
      </w:r>
      <w:r w:rsidRPr="001D1E7E">
        <w:rPr>
          <w:rFonts w:ascii="Times New Roman" w:hAnsi="Times New Roman" w:cs="Times New Roman"/>
          <w:b/>
        </w:rPr>
        <w:t>.</w:t>
      </w:r>
    </w:p>
    <w:p w:rsidR="00F418AA" w:rsidRDefault="00F418AA" w:rsidP="00525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8AA" w:rsidRDefault="00F418AA" w:rsidP="008E4C0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</w:t>
      </w:r>
      <w:r w:rsidR="001D1E7E">
        <w:rPr>
          <w:rFonts w:ascii="Times New Roman" w:hAnsi="Times New Roman" w:cs="Times New Roman"/>
          <w:sz w:val="24"/>
          <w:szCs w:val="24"/>
        </w:rPr>
        <w:t>aživanja za prihode od imovine</w:t>
      </w:r>
      <w:r w:rsidR="00D865F3">
        <w:rPr>
          <w:rFonts w:ascii="Times New Roman" w:hAnsi="Times New Roman" w:cs="Times New Roman"/>
          <w:sz w:val="24"/>
          <w:szCs w:val="24"/>
        </w:rPr>
        <w:t xml:space="preserve"> (AOP151)</w:t>
      </w:r>
      <w:r w:rsidR="001D1E7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iznose 30.394.155 kn i za 2.967.444 kn su manja nego u 2018. godini u istom obračunskom razdoblju.</w:t>
      </w:r>
    </w:p>
    <w:p w:rsidR="00A07F67" w:rsidRDefault="00F418AA" w:rsidP="008E4C0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7E7819">
        <w:rPr>
          <w:rFonts w:ascii="Times New Roman" w:hAnsi="Times New Roman" w:cs="Times New Roman"/>
        </w:rPr>
        <w:t>Dospjela potraživanja za prihode od imovine iznose 27.729.270 kn, a nedospjela 1.327.785</w:t>
      </w:r>
      <w:r w:rsidR="007E7819" w:rsidRPr="007E7819">
        <w:rPr>
          <w:rFonts w:ascii="Times New Roman" w:hAnsi="Times New Roman" w:cs="Times New Roman"/>
        </w:rPr>
        <w:t xml:space="preserve"> </w:t>
      </w:r>
      <w:r w:rsidRPr="007E7819">
        <w:rPr>
          <w:rFonts w:ascii="Times New Roman" w:hAnsi="Times New Roman" w:cs="Times New Roman"/>
        </w:rPr>
        <w:t xml:space="preserve">kn. Unutar navedene podskupine evidentirana su dospjela potraživanja koja </w:t>
      </w:r>
      <w:r w:rsidR="00D865F3">
        <w:rPr>
          <w:rFonts w:ascii="Times New Roman" w:hAnsi="Times New Roman" w:cs="Times New Roman"/>
        </w:rPr>
        <w:t>je Grad</w:t>
      </w:r>
      <w:r w:rsidRPr="007E7819">
        <w:rPr>
          <w:rFonts w:ascii="Times New Roman" w:hAnsi="Times New Roman" w:cs="Times New Roman"/>
        </w:rPr>
        <w:t xml:space="preserve"> u obvezi voditi, a nisu prihod </w:t>
      </w:r>
      <w:r w:rsidR="00D865F3">
        <w:rPr>
          <w:rFonts w:ascii="Times New Roman" w:hAnsi="Times New Roman" w:cs="Times New Roman"/>
        </w:rPr>
        <w:t xml:space="preserve">Grada </w:t>
      </w:r>
      <w:r w:rsidRPr="007E7819">
        <w:rPr>
          <w:rFonts w:ascii="Times New Roman" w:hAnsi="Times New Roman" w:cs="Times New Roman"/>
        </w:rPr>
        <w:t xml:space="preserve">i to: porez na dodanu vrijednost za zakup poslovnih prostora u iznosu od 836.644 kn, </w:t>
      </w:r>
      <w:r w:rsidR="007E7819" w:rsidRPr="007E7819">
        <w:rPr>
          <w:rFonts w:ascii="Times New Roman" w:hAnsi="Times New Roman" w:cs="Times New Roman"/>
        </w:rPr>
        <w:t xml:space="preserve">40% </w:t>
      </w:r>
      <w:r w:rsidRPr="007E7819">
        <w:rPr>
          <w:rFonts w:ascii="Times New Roman" w:hAnsi="Times New Roman" w:cs="Times New Roman"/>
        </w:rPr>
        <w:t>potraživanja za prihod od spomeničke rente koja se plaća po četvornom metru u iznosu od 306.319 kn i 40% naknade za zadržavanje bespravno izgrađene zgrade u prostoru u iznosu od 24.499 kn</w:t>
      </w:r>
      <w:r w:rsidR="00A07F67" w:rsidRPr="007E7819">
        <w:rPr>
          <w:rFonts w:ascii="Times New Roman" w:hAnsi="Times New Roman" w:cs="Times New Roman"/>
        </w:rPr>
        <w:t xml:space="preserve"> te za</w:t>
      </w:r>
      <w:r w:rsidR="00A07F67">
        <w:rPr>
          <w:rFonts w:ascii="Times New Roman" w:hAnsi="Times New Roman" w:cs="Times New Roman"/>
          <w:color w:val="FF0000"/>
        </w:rPr>
        <w:t xml:space="preserve"> </w:t>
      </w:r>
      <w:r w:rsidR="00A07F67" w:rsidRPr="00526AD1">
        <w:rPr>
          <w:rFonts w:ascii="Times New Roman" w:hAnsi="Times New Roman" w:cs="Times New Roman"/>
        </w:rPr>
        <w:t>potraživanja za Hrvatske vode – naknada za uređenje voda u iznosu</w:t>
      </w:r>
      <w:r w:rsidR="00A07F67">
        <w:rPr>
          <w:rFonts w:ascii="Times New Roman" w:hAnsi="Times New Roman" w:cs="Times New Roman"/>
        </w:rPr>
        <w:t xml:space="preserve"> od 169. 639</w:t>
      </w:r>
      <w:r w:rsidR="00A07F67" w:rsidRPr="00526AD1">
        <w:rPr>
          <w:rFonts w:ascii="Times New Roman" w:hAnsi="Times New Roman" w:cs="Times New Roman"/>
        </w:rPr>
        <w:t xml:space="preserve"> kn.</w:t>
      </w:r>
    </w:p>
    <w:p w:rsidR="00F418AA" w:rsidRDefault="00F418AA" w:rsidP="00F418A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:rsidR="008E4C0A" w:rsidRDefault="008E4C0A" w:rsidP="00F418A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:rsidR="00F418AA" w:rsidRPr="00526AD1" w:rsidRDefault="00F418AA" w:rsidP="00F418A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8E4C0A">
        <w:rPr>
          <w:rFonts w:ascii="Times New Roman" w:hAnsi="Times New Roman" w:cs="Times New Roman"/>
          <w:b/>
        </w:rPr>
        <w:t>BILJEŠKA br. 5</w:t>
      </w:r>
      <w:r w:rsidR="00EB2FC4">
        <w:rPr>
          <w:rFonts w:ascii="Times New Roman" w:hAnsi="Times New Roman" w:cs="Times New Roman"/>
          <w:b/>
        </w:rPr>
        <w:t>6</w:t>
      </w:r>
      <w:r w:rsidRPr="008E4C0A">
        <w:rPr>
          <w:rFonts w:ascii="Times New Roman" w:hAnsi="Times New Roman" w:cs="Times New Roman"/>
          <w:b/>
        </w:rPr>
        <w:t>.</w:t>
      </w:r>
    </w:p>
    <w:p w:rsidR="00F418AA" w:rsidRDefault="00F418AA" w:rsidP="008E4C0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:rsidR="00EB2FC4" w:rsidRDefault="00F418AA" w:rsidP="008E4C0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8E4C0A">
        <w:rPr>
          <w:rFonts w:ascii="Times New Roman" w:hAnsi="Times New Roman" w:cs="Times New Roman"/>
        </w:rPr>
        <w:t xml:space="preserve">Potraživanja za upravne i administrativne pristojbe, pristojbe po posebnim propisima i naknade (AOP152) - iznose 60.113.679 kn i za 5.147.879 kn iznose više nego u 2018. godini. </w:t>
      </w:r>
    </w:p>
    <w:p w:rsidR="00F418AA" w:rsidRPr="008E4C0A" w:rsidRDefault="00F418AA" w:rsidP="008E4C0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8E4C0A">
        <w:rPr>
          <w:rFonts w:ascii="Times New Roman" w:hAnsi="Times New Roman" w:cs="Times New Roman"/>
        </w:rPr>
        <w:t xml:space="preserve">Povećanje je iskazano kod potraživanja po osnovi komunalnog doprinosa i naknada </w:t>
      </w:r>
      <w:r w:rsidR="008E4C0A">
        <w:rPr>
          <w:rFonts w:ascii="Times New Roman" w:hAnsi="Times New Roman" w:cs="Times New Roman"/>
        </w:rPr>
        <w:t xml:space="preserve">odnosno kod komunalnog doprinosa temeljem izdanih rješenja, a kod komunalne naknade zbog Izmjene zakona o komunalnom gospodarstvu temeljem kojeg se </w:t>
      </w:r>
      <w:r w:rsidR="00D865F3">
        <w:rPr>
          <w:rFonts w:ascii="Times New Roman" w:hAnsi="Times New Roman" w:cs="Times New Roman"/>
        </w:rPr>
        <w:t>zatezne kamate  dnevno</w:t>
      </w:r>
      <w:r w:rsidR="008E4C0A">
        <w:rPr>
          <w:rFonts w:ascii="Times New Roman" w:hAnsi="Times New Roman" w:cs="Times New Roman"/>
        </w:rPr>
        <w:t xml:space="preserve"> obračun</w:t>
      </w:r>
      <w:r w:rsidR="00D865F3">
        <w:rPr>
          <w:rFonts w:ascii="Times New Roman" w:hAnsi="Times New Roman" w:cs="Times New Roman"/>
        </w:rPr>
        <w:t>avaju</w:t>
      </w:r>
      <w:r w:rsidR="008E4C0A">
        <w:rPr>
          <w:rFonts w:ascii="Times New Roman" w:hAnsi="Times New Roman" w:cs="Times New Roman"/>
        </w:rPr>
        <w:t xml:space="preserve">, a sukladno Općem poreznom zakonu. </w:t>
      </w:r>
    </w:p>
    <w:p w:rsidR="00A07F67" w:rsidRDefault="00F418AA" w:rsidP="008E4C0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8E4C0A">
        <w:rPr>
          <w:rFonts w:ascii="Times New Roman" w:hAnsi="Times New Roman" w:cs="Times New Roman"/>
        </w:rPr>
        <w:t>Dospjela potraživanja za upravne i administrativne pristojbe, pristojbe po posebnim propisima</w:t>
      </w:r>
      <w:r>
        <w:rPr>
          <w:rFonts w:ascii="Times New Roman" w:hAnsi="Times New Roman" w:cs="Times New Roman"/>
        </w:rPr>
        <w:t xml:space="preserve"> i naknade iznose 44.205.923 kn, a nedospjela 7.974.180 kn.</w:t>
      </w:r>
      <w:r w:rsidR="00A07F67" w:rsidRPr="00A07F67">
        <w:rPr>
          <w:rFonts w:ascii="Times New Roman" w:hAnsi="Times New Roman" w:cs="Times New Roman"/>
        </w:rPr>
        <w:t xml:space="preserve"> </w:t>
      </w:r>
      <w:r w:rsidR="00A07F67" w:rsidRPr="00526AD1">
        <w:rPr>
          <w:rFonts w:ascii="Times New Roman" w:hAnsi="Times New Roman" w:cs="Times New Roman"/>
        </w:rPr>
        <w:t xml:space="preserve">Dospjela potraživanja sadrže potraživanja koja nisu prihod Grada, a odnose se na potraživanja za Hrvatske vode </w:t>
      </w:r>
      <w:r w:rsidR="00DA5CA0">
        <w:rPr>
          <w:rFonts w:ascii="Times New Roman" w:hAnsi="Times New Roman" w:cs="Times New Roman"/>
        </w:rPr>
        <w:t>-</w:t>
      </w:r>
      <w:r w:rsidR="00A07F67" w:rsidRPr="00526AD1">
        <w:rPr>
          <w:rFonts w:ascii="Times New Roman" w:hAnsi="Times New Roman" w:cs="Times New Roman"/>
        </w:rPr>
        <w:t xml:space="preserve"> naknada za uređenje voda u iznosu</w:t>
      </w:r>
      <w:r w:rsidR="00A07F67">
        <w:rPr>
          <w:rFonts w:ascii="Times New Roman" w:hAnsi="Times New Roman" w:cs="Times New Roman"/>
        </w:rPr>
        <w:t xml:space="preserve"> od 7.933.576</w:t>
      </w:r>
      <w:r w:rsidR="00A07F67" w:rsidRPr="00526AD1">
        <w:rPr>
          <w:rFonts w:ascii="Times New Roman" w:hAnsi="Times New Roman" w:cs="Times New Roman"/>
        </w:rPr>
        <w:t xml:space="preserve"> kn.</w:t>
      </w:r>
    </w:p>
    <w:p w:rsidR="00A07F67" w:rsidRDefault="00A07F67" w:rsidP="00A07F6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  <w:highlight w:val="yellow"/>
        </w:rPr>
      </w:pPr>
    </w:p>
    <w:p w:rsidR="00A07F67" w:rsidRDefault="00A07F67" w:rsidP="00A07F6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  <w:highlight w:val="yellow"/>
        </w:rPr>
      </w:pPr>
    </w:p>
    <w:p w:rsidR="00EB2FC4" w:rsidRDefault="00EB2FC4" w:rsidP="00A07F6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A07F67" w:rsidRPr="00526AD1" w:rsidRDefault="00A07F67" w:rsidP="00A07F6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DA5CA0">
        <w:rPr>
          <w:rFonts w:ascii="Times New Roman" w:hAnsi="Times New Roman" w:cs="Times New Roman"/>
          <w:b/>
        </w:rPr>
        <w:lastRenderedPageBreak/>
        <w:t>BILJEŠKA br. 5</w:t>
      </w:r>
      <w:r w:rsidR="00EB2FC4">
        <w:rPr>
          <w:rFonts w:ascii="Times New Roman" w:hAnsi="Times New Roman" w:cs="Times New Roman"/>
          <w:b/>
        </w:rPr>
        <w:t>7</w:t>
      </w:r>
      <w:r w:rsidRPr="00DA5CA0">
        <w:rPr>
          <w:rFonts w:ascii="Times New Roman" w:hAnsi="Times New Roman" w:cs="Times New Roman"/>
          <w:b/>
        </w:rPr>
        <w:t>.</w:t>
      </w:r>
    </w:p>
    <w:p w:rsidR="00F418AA" w:rsidRPr="00A07F67" w:rsidRDefault="00F418AA" w:rsidP="00F418AA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:rsidR="0046231D" w:rsidRDefault="00A07F67" w:rsidP="00A07F6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A07F67">
        <w:rPr>
          <w:rFonts w:ascii="Times New Roman" w:hAnsi="Times New Roman" w:cs="Times New Roman"/>
        </w:rPr>
        <w:t xml:space="preserve">Potraživanja za kazne i upravne mjere te ostale prihode (AOP155) </w:t>
      </w:r>
      <w:r>
        <w:rPr>
          <w:rFonts w:ascii="Times New Roman" w:hAnsi="Times New Roman" w:cs="Times New Roman"/>
        </w:rPr>
        <w:t>–</w:t>
      </w:r>
      <w:r w:rsidRPr="00A07F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iznose 5.553.820 kn i za 246.315 kn su veće nego 2018 godine</w:t>
      </w:r>
      <w:r w:rsidRPr="00A07F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zbog evidentiranja </w:t>
      </w:r>
      <w:r w:rsidRPr="00F418AA">
        <w:rPr>
          <w:rFonts w:ascii="Times New Roman" w:hAnsi="Times New Roman" w:cs="Times New Roman"/>
        </w:rPr>
        <w:t>prisilnih naplata gradskih novčanih kazni, uplatni račun 4804</w:t>
      </w:r>
      <w:r w:rsidR="00DA5C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 iznosu od 441.472 kn</w:t>
      </w:r>
      <w:r w:rsidR="00DA5CA0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 xml:space="preserve"> sukladno </w:t>
      </w:r>
      <w:r w:rsidRPr="00DA5CA0">
        <w:rPr>
          <w:rFonts w:ascii="Times New Roman" w:hAnsi="Times New Roman" w:cs="Times New Roman"/>
        </w:rPr>
        <w:t>bilješci broj 5</w:t>
      </w:r>
      <w:r w:rsidR="00F26F66">
        <w:rPr>
          <w:rFonts w:ascii="Times New Roman" w:hAnsi="Times New Roman" w:cs="Times New Roman"/>
        </w:rPr>
        <w:t>2</w:t>
      </w:r>
      <w:r w:rsidRPr="00DA5CA0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  <w:color w:val="FF0000"/>
        </w:rPr>
        <w:t xml:space="preserve"> </w:t>
      </w:r>
      <w:r w:rsidRPr="00A07F67">
        <w:rPr>
          <w:rFonts w:ascii="Times New Roman" w:hAnsi="Times New Roman" w:cs="Times New Roman"/>
        </w:rPr>
        <w:t>dok su se ostala potraživanja u navedenoj skupini smanjila.</w:t>
      </w:r>
      <w:r>
        <w:rPr>
          <w:rFonts w:ascii="Times New Roman" w:hAnsi="Times New Roman" w:cs="Times New Roman"/>
        </w:rPr>
        <w:t xml:space="preserve"> </w:t>
      </w:r>
    </w:p>
    <w:p w:rsidR="00EB2FC4" w:rsidRDefault="0046231D" w:rsidP="00A07F6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Unutar podskupine evidentirano je potraživanje za sudski spor koji vodi proračunski korisnik- škola protiv bivše djelatnice. </w:t>
      </w:r>
    </w:p>
    <w:p w:rsidR="0046231D" w:rsidRDefault="0046231D" w:rsidP="00A07F6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su pravomoćno naplaćena sa računa Grada, međutim ta je odluka kasnije ukinuta Rješenjem Vrhovnog suda ali ista nisu vraćena jer proces još nije okončan.</w:t>
      </w:r>
    </w:p>
    <w:p w:rsidR="00A07F67" w:rsidRDefault="00A07F67" w:rsidP="00A07F6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</w:rPr>
        <w:t xml:space="preserve">Potraživanja </w:t>
      </w:r>
      <w:r w:rsidRPr="00A07F67">
        <w:rPr>
          <w:rFonts w:ascii="Times New Roman" w:hAnsi="Times New Roman" w:cs="Times New Roman"/>
        </w:rPr>
        <w:t>za kazne i upravne mjere te ostale prihode</w:t>
      </w:r>
      <w:r>
        <w:rPr>
          <w:rFonts w:ascii="Times New Roman" w:hAnsi="Times New Roman" w:cs="Times New Roman"/>
        </w:rPr>
        <w:t xml:space="preserve"> u cijelosti čine dospjela potraživanja.</w:t>
      </w:r>
    </w:p>
    <w:p w:rsidR="004F4E58" w:rsidRDefault="004F4E58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:rsidR="00DA5CA0" w:rsidRDefault="00DA5CA0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:rsidR="001512F5" w:rsidRPr="00526AD1" w:rsidRDefault="001512F5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DA5CA0">
        <w:rPr>
          <w:rFonts w:ascii="Times New Roman" w:hAnsi="Times New Roman" w:cs="Times New Roman"/>
          <w:b/>
        </w:rPr>
        <w:t xml:space="preserve">BILJEŠKA br. </w:t>
      </w:r>
      <w:r w:rsidR="00EB2FC4">
        <w:rPr>
          <w:rFonts w:ascii="Times New Roman" w:hAnsi="Times New Roman" w:cs="Times New Roman"/>
          <w:b/>
        </w:rPr>
        <w:t>58</w:t>
      </w:r>
      <w:r w:rsidR="00DA5CA0" w:rsidRPr="00DA5CA0">
        <w:rPr>
          <w:rFonts w:ascii="Times New Roman" w:hAnsi="Times New Roman" w:cs="Times New Roman"/>
          <w:b/>
        </w:rPr>
        <w:t>.</w:t>
      </w:r>
    </w:p>
    <w:p w:rsidR="004F4E58" w:rsidRDefault="004F4E58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:rsidR="00F522EC" w:rsidRDefault="001A115F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Ukupna p</w:t>
      </w:r>
      <w:r w:rsidR="00F50CBF" w:rsidRPr="00526AD1">
        <w:rPr>
          <w:rFonts w:ascii="Times New Roman" w:hAnsi="Times New Roman" w:cs="Times New Roman"/>
        </w:rPr>
        <w:t xml:space="preserve">otraživanja za prihode poslovanja iznose </w:t>
      </w:r>
      <w:r>
        <w:rPr>
          <w:rFonts w:ascii="Times New Roman" w:hAnsi="Times New Roman" w:cs="Times New Roman"/>
        </w:rPr>
        <w:t>94.252.724</w:t>
      </w:r>
      <w:r w:rsidR="00F50CBF" w:rsidRPr="00526AD1">
        <w:rPr>
          <w:rFonts w:ascii="Times New Roman" w:hAnsi="Times New Roman" w:cs="Times New Roman"/>
        </w:rPr>
        <w:t xml:space="preserve"> kn</w:t>
      </w:r>
      <w:r>
        <w:rPr>
          <w:rFonts w:ascii="Times New Roman" w:hAnsi="Times New Roman" w:cs="Times New Roman"/>
        </w:rPr>
        <w:t>, a ispravak vrijednosti  istih 61.983.340 kn</w:t>
      </w:r>
      <w:r w:rsidRPr="001A1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 proizlazi da d</w:t>
      </w:r>
      <w:r w:rsidRPr="00526AD1">
        <w:rPr>
          <w:rFonts w:ascii="Times New Roman" w:hAnsi="Times New Roman" w:cs="Times New Roman"/>
        </w:rPr>
        <w:t>ospjela potraživanja za prihode poslovanja</w:t>
      </w:r>
      <w:r>
        <w:rPr>
          <w:rFonts w:ascii="Times New Roman" w:hAnsi="Times New Roman" w:cs="Times New Roman"/>
        </w:rPr>
        <w:t xml:space="preserve"> iznose 32.269.384 kn (AOP248) dok su n</w:t>
      </w:r>
      <w:r w:rsidR="00F50CBF" w:rsidRPr="00526AD1">
        <w:rPr>
          <w:rFonts w:ascii="Times New Roman" w:hAnsi="Times New Roman" w:cs="Times New Roman"/>
        </w:rPr>
        <w:t>edospjela</w:t>
      </w:r>
      <w:r w:rsidR="001512F5">
        <w:rPr>
          <w:rFonts w:ascii="Times New Roman" w:hAnsi="Times New Roman" w:cs="Times New Roman"/>
        </w:rPr>
        <w:t xml:space="preserve"> potraživanja za prihode poslovanja</w:t>
      </w:r>
      <w:r w:rsidR="00F50CBF" w:rsidRPr="00526A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evidentirana u iznosu od </w:t>
      </w:r>
      <w:r w:rsidR="00F50CBF" w:rsidRPr="00526A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9.305.909</w:t>
      </w:r>
      <w:r w:rsidR="00F50CBF" w:rsidRPr="00526AD1">
        <w:rPr>
          <w:rFonts w:ascii="Times New Roman" w:hAnsi="Times New Roman" w:cs="Times New Roman"/>
        </w:rPr>
        <w:t xml:space="preserve"> kn</w:t>
      </w:r>
      <w:r w:rsidR="00883357" w:rsidRPr="00526AD1">
        <w:rPr>
          <w:rFonts w:ascii="Times New Roman" w:hAnsi="Times New Roman" w:cs="Times New Roman"/>
        </w:rPr>
        <w:t xml:space="preserve"> (AOP249)</w:t>
      </w:r>
      <w:r>
        <w:rPr>
          <w:rFonts w:ascii="Times New Roman" w:hAnsi="Times New Roman" w:cs="Times New Roman"/>
        </w:rPr>
        <w:t>.</w:t>
      </w:r>
    </w:p>
    <w:p w:rsidR="009848FB" w:rsidRDefault="009848FB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DA5CA0" w:rsidRDefault="00DA5CA0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F522EC" w:rsidRDefault="00F522EC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DA5CA0">
        <w:rPr>
          <w:rFonts w:ascii="Times New Roman" w:hAnsi="Times New Roman" w:cs="Times New Roman"/>
          <w:b/>
        </w:rPr>
        <w:t xml:space="preserve">BILJEŠKA br. </w:t>
      </w:r>
      <w:r w:rsidR="00EB2FC4">
        <w:rPr>
          <w:rFonts w:ascii="Times New Roman" w:hAnsi="Times New Roman" w:cs="Times New Roman"/>
          <w:b/>
        </w:rPr>
        <w:t>59</w:t>
      </w:r>
      <w:r w:rsidRPr="00DA5CA0">
        <w:rPr>
          <w:rFonts w:ascii="Times New Roman" w:hAnsi="Times New Roman" w:cs="Times New Roman"/>
          <w:b/>
        </w:rPr>
        <w:t>.</w:t>
      </w:r>
    </w:p>
    <w:p w:rsidR="001A115F" w:rsidRPr="00526AD1" w:rsidRDefault="001A115F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1A115F" w:rsidRDefault="001A115F" w:rsidP="001A115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Grad je proveo knjiženja vezana za ispravak vrijednosti potraživanja sukladno I</w:t>
      </w:r>
      <w:r w:rsidR="00F26F66">
        <w:rPr>
          <w:rFonts w:ascii="Times New Roman" w:hAnsi="Times New Roman" w:cs="Times New Roman"/>
          <w:sz w:val="24"/>
          <w:szCs w:val="24"/>
        </w:rPr>
        <w:t>zm</w:t>
      </w:r>
      <w:r w:rsidRPr="00DC0226">
        <w:rPr>
          <w:rFonts w:ascii="Times New Roman" w:hAnsi="Times New Roman" w:cs="Times New Roman"/>
          <w:sz w:val="24"/>
          <w:szCs w:val="24"/>
        </w:rPr>
        <w:t xml:space="preserve">jene Pravilnika o financijskom računovodstvu i računskom planu </w:t>
      </w:r>
      <w:r>
        <w:rPr>
          <w:rFonts w:ascii="Times New Roman" w:hAnsi="Times New Roman" w:cs="Times New Roman"/>
          <w:sz w:val="24"/>
          <w:szCs w:val="24"/>
        </w:rPr>
        <w:t>(„Narodne novine</w:t>
      </w:r>
      <w:r w:rsidR="00DA5CA0">
        <w:rPr>
          <w:rFonts w:ascii="Times New Roman" w:hAnsi="Times New Roman" w:cs="Times New Roman"/>
          <w:sz w:val="24"/>
          <w:szCs w:val="24"/>
        </w:rPr>
        <w:t xml:space="preserve">“, broj 124/14, 115/15, 87/16, </w:t>
      </w:r>
      <w:r>
        <w:rPr>
          <w:rFonts w:ascii="Times New Roman" w:hAnsi="Times New Roman" w:cs="Times New Roman"/>
          <w:sz w:val="24"/>
          <w:szCs w:val="24"/>
        </w:rPr>
        <w:t>3/18</w:t>
      </w:r>
      <w:r w:rsidR="00DA5CA0">
        <w:rPr>
          <w:rFonts w:ascii="Times New Roman" w:hAnsi="Times New Roman" w:cs="Times New Roman"/>
          <w:sz w:val="24"/>
          <w:szCs w:val="24"/>
        </w:rPr>
        <w:t xml:space="preserve"> i 126/19</w:t>
      </w:r>
      <w:r>
        <w:rPr>
          <w:rFonts w:ascii="Times New Roman" w:hAnsi="Times New Roman" w:cs="Times New Roman"/>
          <w:sz w:val="24"/>
          <w:szCs w:val="24"/>
        </w:rPr>
        <w:t>) odnosno članku</w:t>
      </w:r>
      <w:r w:rsidRPr="00DC0226">
        <w:rPr>
          <w:rFonts w:ascii="Times New Roman" w:hAnsi="Times New Roman" w:cs="Times New Roman"/>
          <w:sz w:val="24"/>
          <w:szCs w:val="24"/>
        </w:rPr>
        <w:t xml:space="preserve"> 37.a koji nalaže provedbu ispravka vrijednosti potraživanja </w:t>
      </w:r>
      <w:r w:rsidRPr="00DC022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uzimajući u</w:t>
      </w:r>
      <w:r w:rsidRPr="00DC022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Pr="00DC022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obzir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DC022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kašnjenje u naplati preko godine dana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Pr="00DC022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pokretanje stečajnog i/ili likvidacijskog postupka nad dužnikom.</w:t>
      </w:r>
    </w:p>
    <w:p w:rsidR="001A115F" w:rsidRPr="00DC0226" w:rsidRDefault="001A115F" w:rsidP="001A115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C022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Ako se s naplatom potraživanja kasni: između jedne i tri godine, vrijednost potraživanja ispravlja se po stopi od 50 %,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a</w:t>
      </w:r>
      <w:r w:rsidRPr="00DC022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iznad tri godine, vrijednost potraživanja ispravlja se po stopi od 100 %.</w:t>
      </w:r>
    </w:p>
    <w:p w:rsidR="001A115F" w:rsidRPr="00DC0226" w:rsidRDefault="001A115F" w:rsidP="001A115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C022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Ako je nad dužnikom pokrenut stečajni i/ili likvidacijski postupak, vrijednost potraživanja ispravlja se po stopi od 75 %.</w:t>
      </w:r>
    </w:p>
    <w:p w:rsidR="005F1326" w:rsidRDefault="005F1326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1A115F" w:rsidRDefault="001A115F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1A115F" w:rsidRDefault="001A115F" w:rsidP="001A115F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715A4F">
        <w:rPr>
          <w:rFonts w:ascii="Times New Roman" w:hAnsi="Times New Roman" w:cs="Times New Roman"/>
          <w:b/>
        </w:rPr>
        <w:t>BILJEŠKA br</w:t>
      </w:r>
      <w:r w:rsidR="00715A4F" w:rsidRPr="00715A4F">
        <w:rPr>
          <w:rFonts w:ascii="Times New Roman" w:hAnsi="Times New Roman" w:cs="Times New Roman"/>
          <w:b/>
        </w:rPr>
        <w:t xml:space="preserve">. </w:t>
      </w:r>
      <w:r w:rsidR="00EB2FC4">
        <w:rPr>
          <w:rFonts w:ascii="Times New Roman" w:hAnsi="Times New Roman" w:cs="Times New Roman"/>
          <w:b/>
        </w:rPr>
        <w:t>60</w:t>
      </w:r>
      <w:r w:rsidR="00715A4F" w:rsidRPr="00715A4F">
        <w:rPr>
          <w:rFonts w:ascii="Times New Roman" w:hAnsi="Times New Roman" w:cs="Times New Roman"/>
          <w:b/>
        </w:rPr>
        <w:t>.</w:t>
      </w:r>
    </w:p>
    <w:p w:rsidR="001A115F" w:rsidRPr="00526AD1" w:rsidRDefault="001A115F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AB2EE7" w:rsidRPr="00526AD1" w:rsidRDefault="00AB2EE7" w:rsidP="00CA0C8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  <w:r w:rsidRPr="00526AD1">
        <w:rPr>
          <w:rFonts w:ascii="Times New Roman" w:hAnsi="Times New Roman" w:cs="Times New Roman"/>
          <w:b/>
        </w:rPr>
        <w:t xml:space="preserve">Potraživanja od prodaje nefinancijske imovine (AOP157) </w:t>
      </w:r>
      <w:r w:rsidR="003A7E83" w:rsidRPr="00526AD1">
        <w:rPr>
          <w:rFonts w:ascii="Times New Roman" w:hAnsi="Times New Roman" w:cs="Times New Roman"/>
          <w:b/>
        </w:rPr>
        <w:t>-</w:t>
      </w:r>
      <w:r w:rsidRPr="00526AD1">
        <w:rPr>
          <w:rFonts w:ascii="Times New Roman" w:hAnsi="Times New Roman" w:cs="Times New Roman"/>
          <w:b/>
        </w:rPr>
        <w:t xml:space="preserve"> </w:t>
      </w:r>
      <w:r w:rsidRPr="00526AD1">
        <w:rPr>
          <w:rFonts w:ascii="Times New Roman" w:hAnsi="Times New Roman" w:cs="Times New Roman"/>
        </w:rPr>
        <w:t xml:space="preserve">iznose </w:t>
      </w:r>
      <w:r w:rsidR="0046231D">
        <w:rPr>
          <w:rFonts w:ascii="Times New Roman" w:hAnsi="Times New Roman" w:cs="Times New Roman"/>
        </w:rPr>
        <w:t>7.313.653</w:t>
      </w:r>
      <w:r w:rsidRPr="00526AD1">
        <w:rPr>
          <w:rFonts w:ascii="Times New Roman" w:hAnsi="Times New Roman" w:cs="Times New Roman"/>
        </w:rPr>
        <w:t xml:space="preserve"> kn,</w:t>
      </w:r>
      <w:r w:rsidR="00F522EC">
        <w:rPr>
          <w:rFonts w:ascii="Times New Roman" w:hAnsi="Times New Roman" w:cs="Times New Roman"/>
        </w:rPr>
        <w:t xml:space="preserve"> što je za </w:t>
      </w:r>
      <w:r w:rsidR="0046231D">
        <w:rPr>
          <w:rFonts w:ascii="Times New Roman" w:hAnsi="Times New Roman" w:cs="Times New Roman"/>
        </w:rPr>
        <w:t>34,2</w:t>
      </w:r>
      <w:r w:rsidR="00F522EC">
        <w:rPr>
          <w:rFonts w:ascii="Times New Roman" w:hAnsi="Times New Roman" w:cs="Times New Roman"/>
        </w:rPr>
        <w:t xml:space="preserve">% manje nego u </w:t>
      </w:r>
      <w:r w:rsidR="00685BE8">
        <w:rPr>
          <w:rFonts w:ascii="Times New Roman" w:hAnsi="Times New Roman" w:cs="Times New Roman"/>
        </w:rPr>
        <w:t>2018.</w:t>
      </w:r>
      <w:r w:rsidR="00F522EC">
        <w:rPr>
          <w:rFonts w:ascii="Times New Roman" w:hAnsi="Times New Roman" w:cs="Times New Roman"/>
        </w:rPr>
        <w:t xml:space="preserve"> godini u istom razdoblju izvještavanja</w:t>
      </w:r>
      <w:r w:rsidR="0046231D">
        <w:rPr>
          <w:rFonts w:ascii="Times New Roman" w:hAnsi="Times New Roman" w:cs="Times New Roman"/>
        </w:rPr>
        <w:t>. Ukupna</w:t>
      </w:r>
      <w:r w:rsidR="00F522EC">
        <w:rPr>
          <w:rFonts w:ascii="Times New Roman" w:hAnsi="Times New Roman" w:cs="Times New Roman"/>
        </w:rPr>
        <w:t xml:space="preserve"> </w:t>
      </w:r>
      <w:r w:rsidR="0046231D">
        <w:rPr>
          <w:rFonts w:ascii="Times New Roman" w:hAnsi="Times New Roman" w:cs="Times New Roman"/>
        </w:rPr>
        <w:t>d</w:t>
      </w:r>
      <w:r w:rsidRPr="00526AD1">
        <w:rPr>
          <w:rFonts w:ascii="Times New Roman" w:hAnsi="Times New Roman" w:cs="Times New Roman"/>
        </w:rPr>
        <w:t>ospjela potraživanj</w:t>
      </w:r>
      <w:r w:rsidR="0046231D">
        <w:rPr>
          <w:rFonts w:ascii="Times New Roman" w:hAnsi="Times New Roman" w:cs="Times New Roman"/>
        </w:rPr>
        <w:t xml:space="preserve">a od prodaje nefinancijske imovine iznose 4.808.565 kn, </w:t>
      </w:r>
      <w:r w:rsidR="0046231D" w:rsidRPr="0046231D">
        <w:rPr>
          <w:rFonts w:ascii="Times New Roman" w:hAnsi="Times New Roman" w:cs="Times New Roman"/>
        </w:rPr>
        <w:t xml:space="preserve"> </w:t>
      </w:r>
      <w:r w:rsidR="0046231D">
        <w:rPr>
          <w:rFonts w:ascii="Times New Roman" w:hAnsi="Times New Roman" w:cs="Times New Roman"/>
        </w:rPr>
        <w:t>a ispravak vrijednosti  istih 3.940.319 kn</w:t>
      </w:r>
      <w:r w:rsidR="0046231D" w:rsidRPr="001A115F">
        <w:rPr>
          <w:rFonts w:ascii="Times New Roman" w:hAnsi="Times New Roman" w:cs="Times New Roman"/>
        </w:rPr>
        <w:t xml:space="preserve"> </w:t>
      </w:r>
      <w:r w:rsidR="0046231D">
        <w:rPr>
          <w:rFonts w:ascii="Times New Roman" w:hAnsi="Times New Roman" w:cs="Times New Roman"/>
        </w:rPr>
        <w:t>te proizlazi da d</w:t>
      </w:r>
      <w:r w:rsidR="0046231D" w:rsidRPr="00526AD1">
        <w:rPr>
          <w:rFonts w:ascii="Times New Roman" w:hAnsi="Times New Roman" w:cs="Times New Roman"/>
        </w:rPr>
        <w:t>ospjela potraživanj</w:t>
      </w:r>
      <w:r w:rsidR="0046231D">
        <w:rPr>
          <w:rFonts w:ascii="Times New Roman" w:hAnsi="Times New Roman" w:cs="Times New Roman"/>
        </w:rPr>
        <w:t>a od prodaje nefinancijske imovine iznose 868.246</w:t>
      </w:r>
      <w:r w:rsidRPr="00526AD1">
        <w:rPr>
          <w:rFonts w:ascii="Times New Roman" w:hAnsi="Times New Roman" w:cs="Times New Roman"/>
        </w:rPr>
        <w:t xml:space="preserve"> kn</w:t>
      </w:r>
      <w:r w:rsidR="00883357" w:rsidRPr="00526AD1">
        <w:rPr>
          <w:rFonts w:ascii="Times New Roman" w:hAnsi="Times New Roman" w:cs="Times New Roman"/>
        </w:rPr>
        <w:t xml:space="preserve"> (AOP250)</w:t>
      </w:r>
      <w:r w:rsidRPr="00526AD1">
        <w:rPr>
          <w:rFonts w:ascii="Times New Roman" w:hAnsi="Times New Roman" w:cs="Times New Roman"/>
        </w:rPr>
        <w:t xml:space="preserve">, a nedospjela </w:t>
      </w:r>
      <w:r w:rsidR="0046231D">
        <w:rPr>
          <w:rFonts w:ascii="Times New Roman" w:hAnsi="Times New Roman" w:cs="Times New Roman"/>
        </w:rPr>
        <w:t>6.445.407</w:t>
      </w:r>
      <w:r w:rsidR="0046231D" w:rsidRPr="00526AD1">
        <w:rPr>
          <w:rFonts w:ascii="Times New Roman" w:hAnsi="Times New Roman" w:cs="Times New Roman"/>
        </w:rPr>
        <w:t xml:space="preserve"> </w:t>
      </w:r>
      <w:r w:rsidRPr="00526AD1">
        <w:rPr>
          <w:rFonts w:ascii="Times New Roman" w:hAnsi="Times New Roman" w:cs="Times New Roman"/>
        </w:rPr>
        <w:t>kn</w:t>
      </w:r>
      <w:r w:rsidR="00883357" w:rsidRPr="00526AD1">
        <w:rPr>
          <w:rFonts w:ascii="Times New Roman" w:hAnsi="Times New Roman" w:cs="Times New Roman"/>
        </w:rPr>
        <w:t xml:space="preserve"> (AOP251)</w:t>
      </w:r>
      <w:r w:rsidRPr="00526AD1">
        <w:rPr>
          <w:rFonts w:ascii="Times New Roman" w:hAnsi="Times New Roman" w:cs="Times New Roman"/>
        </w:rPr>
        <w:t>.</w:t>
      </w:r>
    </w:p>
    <w:p w:rsidR="00883357" w:rsidRDefault="00883357" w:rsidP="00CA0C87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</w:p>
    <w:p w:rsidR="00CA0C87" w:rsidRPr="00526AD1" w:rsidRDefault="00CA0C87" w:rsidP="00CA0C87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</w:p>
    <w:p w:rsidR="00BE5B55" w:rsidRDefault="00BE5B55" w:rsidP="00CA0C87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  <w:r w:rsidRPr="00715A4F">
        <w:rPr>
          <w:rFonts w:ascii="Times New Roman" w:hAnsi="Times New Roman" w:cs="Times New Roman"/>
          <w:b/>
        </w:rPr>
        <w:lastRenderedPageBreak/>
        <w:t xml:space="preserve">BILJEŠKA br. </w:t>
      </w:r>
      <w:r w:rsidR="00715A4F" w:rsidRPr="00715A4F">
        <w:rPr>
          <w:rFonts w:ascii="Times New Roman" w:hAnsi="Times New Roman" w:cs="Times New Roman"/>
          <w:b/>
        </w:rPr>
        <w:t>6</w:t>
      </w:r>
      <w:r w:rsidR="00EB2FC4">
        <w:rPr>
          <w:rFonts w:ascii="Times New Roman" w:hAnsi="Times New Roman" w:cs="Times New Roman"/>
          <w:b/>
        </w:rPr>
        <w:t>1</w:t>
      </w:r>
      <w:r w:rsidR="00715A4F">
        <w:rPr>
          <w:rFonts w:ascii="Times New Roman" w:hAnsi="Times New Roman" w:cs="Times New Roman"/>
          <w:b/>
        </w:rPr>
        <w:t>.</w:t>
      </w:r>
    </w:p>
    <w:p w:rsidR="00CA0C87" w:rsidRPr="00526AD1" w:rsidRDefault="00CA0C87" w:rsidP="00CA0C87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</w:p>
    <w:tbl>
      <w:tblPr>
        <w:tblW w:w="9694" w:type="dxa"/>
        <w:jc w:val="center"/>
        <w:tblInd w:w="37" w:type="dxa"/>
        <w:tblLook w:val="04A0"/>
      </w:tblPr>
      <w:tblGrid>
        <w:gridCol w:w="857"/>
        <w:gridCol w:w="2968"/>
        <w:gridCol w:w="596"/>
        <w:gridCol w:w="1604"/>
        <w:gridCol w:w="1653"/>
        <w:gridCol w:w="737"/>
        <w:gridCol w:w="1279"/>
      </w:tblGrid>
      <w:tr w:rsidR="0092089F" w:rsidRPr="0092089F" w:rsidTr="0092089F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73D4E" w:rsidRPr="0092089F" w:rsidRDefault="0092089F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bookmarkStart w:id="2" w:name="OLE_LINK1" w:colFirst="1" w:colLast="6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Razred</w:t>
            </w:r>
            <w:r w:rsidR="00173D4E" w:rsidRPr="009208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/ Skupina</w:t>
            </w:r>
          </w:p>
        </w:tc>
        <w:tc>
          <w:tcPr>
            <w:tcW w:w="2968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73D4E" w:rsidRPr="0092089F" w:rsidRDefault="00173D4E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9208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73D4E" w:rsidRPr="0092089F" w:rsidRDefault="00173D4E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9208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AOP</w:t>
            </w:r>
          </w:p>
        </w:tc>
        <w:tc>
          <w:tcPr>
            <w:tcW w:w="160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73D4E" w:rsidRPr="0092089F" w:rsidRDefault="00173D4E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9208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Stanje 1.siječnja</w:t>
            </w:r>
          </w:p>
        </w:tc>
        <w:tc>
          <w:tcPr>
            <w:tcW w:w="1653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73D4E" w:rsidRPr="0092089F" w:rsidRDefault="00173D4E" w:rsidP="0092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9208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 xml:space="preserve">Stanje </w:t>
            </w:r>
            <w:r w:rsidR="009208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3</w:t>
            </w:r>
            <w:r w:rsidRPr="009208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1.</w:t>
            </w:r>
            <w:r w:rsidR="009208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p</w:t>
            </w:r>
            <w:r w:rsidRPr="009208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rosinca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173D4E" w:rsidRPr="0092089F" w:rsidRDefault="00173D4E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9208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73D4E" w:rsidRPr="0092089F" w:rsidRDefault="00173D4E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9208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Povećanje / Smanjenje</w:t>
            </w:r>
          </w:p>
        </w:tc>
      </w:tr>
      <w:tr w:rsidR="0092089F" w:rsidRPr="0092089F" w:rsidTr="0092089F">
        <w:trPr>
          <w:trHeight w:val="315"/>
          <w:jc w:val="center"/>
        </w:trPr>
        <w:tc>
          <w:tcPr>
            <w:tcW w:w="8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73D4E" w:rsidRPr="0092089F" w:rsidRDefault="00173D4E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68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73D4E" w:rsidRPr="0092089F" w:rsidRDefault="00173D4E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73D4E" w:rsidRPr="0092089F" w:rsidRDefault="00173D4E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04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73D4E" w:rsidRPr="0092089F" w:rsidRDefault="00173D4E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73D4E" w:rsidRPr="0092089F" w:rsidRDefault="00173D4E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173D4E" w:rsidRPr="0092089F" w:rsidRDefault="00173D4E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208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(5/4)</w:t>
            </w: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173D4E" w:rsidRPr="0092089F" w:rsidRDefault="00173D4E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bookmarkEnd w:id="2"/>
      <w:tr w:rsidR="0092089F" w:rsidRPr="0092089F" w:rsidTr="0092089F">
        <w:trPr>
          <w:trHeight w:val="315"/>
          <w:jc w:val="center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089F" w:rsidRPr="0092089F" w:rsidRDefault="0092089F" w:rsidP="0071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208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089F" w:rsidRPr="0092089F" w:rsidRDefault="0092089F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208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Obveze za rashode poslovanja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089F" w:rsidRPr="0092089F" w:rsidRDefault="0092089F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20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  <w:t>164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9F" w:rsidRPr="0092089F" w:rsidRDefault="00C414B3" w:rsidP="00783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23.809.354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9F" w:rsidRPr="0092089F" w:rsidRDefault="00C414B3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29.897.523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9F" w:rsidRPr="0092089F" w:rsidRDefault="00C414B3" w:rsidP="0092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125,6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9F" w:rsidRPr="0092089F" w:rsidRDefault="00C414B3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6.088.169</w:t>
            </w:r>
          </w:p>
        </w:tc>
      </w:tr>
      <w:tr w:rsidR="0092089F" w:rsidRPr="0092089F" w:rsidTr="0092089F">
        <w:trPr>
          <w:trHeight w:val="327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9F" w:rsidRPr="0092089F" w:rsidRDefault="0092089F" w:rsidP="0071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2089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9F" w:rsidRPr="0092089F" w:rsidRDefault="0092089F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2089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nabavu nefinancijske imovine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9F" w:rsidRPr="0092089F" w:rsidRDefault="0092089F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2089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9F" w:rsidRPr="0092089F" w:rsidRDefault="00C414B3" w:rsidP="00783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9.962.145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9F" w:rsidRPr="0092089F" w:rsidRDefault="00C414B3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8.102.966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9F" w:rsidRPr="0092089F" w:rsidRDefault="00C414B3" w:rsidP="0092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81,3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9F" w:rsidRPr="0092089F" w:rsidRDefault="00C414B3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-1.859.179</w:t>
            </w:r>
          </w:p>
        </w:tc>
      </w:tr>
      <w:tr w:rsidR="0092089F" w:rsidRPr="0092089F" w:rsidTr="0092089F">
        <w:trPr>
          <w:trHeight w:val="300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9F" w:rsidRPr="0092089F" w:rsidRDefault="0092089F" w:rsidP="0071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2089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9F" w:rsidRPr="0092089F" w:rsidRDefault="0092089F" w:rsidP="001E1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2089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Obveze za kredite i zajmove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9F" w:rsidRPr="0092089F" w:rsidRDefault="0092089F" w:rsidP="001E1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2089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9F" w:rsidRPr="0092089F" w:rsidRDefault="00C414B3" w:rsidP="00783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59.640.845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9F" w:rsidRPr="0092089F" w:rsidRDefault="00C414B3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53.406.249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9F" w:rsidRPr="0092089F" w:rsidRDefault="00C414B3" w:rsidP="0092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9F" w:rsidRPr="0092089F" w:rsidRDefault="00C414B3" w:rsidP="001E12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-6.234.596</w:t>
            </w:r>
          </w:p>
        </w:tc>
      </w:tr>
      <w:tr w:rsidR="00091621" w:rsidRPr="0092089F" w:rsidTr="00091621">
        <w:trPr>
          <w:trHeight w:val="315"/>
          <w:jc w:val="center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2089F" w:rsidRPr="0092089F" w:rsidRDefault="0092089F" w:rsidP="0092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208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2089F" w:rsidRPr="0092089F" w:rsidRDefault="0092089F" w:rsidP="0092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208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2089F" w:rsidRPr="0092089F" w:rsidRDefault="00C414B3" w:rsidP="0092089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93.412.344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2089F" w:rsidRPr="0092089F" w:rsidRDefault="00C414B3" w:rsidP="0092089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91.406.738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2089F" w:rsidRPr="0092089F" w:rsidRDefault="00C414B3" w:rsidP="0071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97,9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2089F" w:rsidRPr="0092089F" w:rsidRDefault="00C414B3" w:rsidP="0092089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-2.005.606</w:t>
            </w:r>
          </w:p>
        </w:tc>
      </w:tr>
    </w:tbl>
    <w:p w:rsidR="0060111E" w:rsidRPr="00526AD1" w:rsidRDefault="0060111E" w:rsidP="005F132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2A1F" w:rsidRPr="00526AD1" w:rsidRDefault="00AB2EE7" w:rsidP="0052542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AD1">
        <w:rPr>
          <w:rFonts w:ascii="Times New Roman" w:hAnsi="Times New Roman" w:cs="Times New Roman"/>
          <w:bCs/>
          <w:sz w:val="24"/>
          <w:szCs w:val="24"/>
        </w:rPr>
        <w:t xml:space="preserve">UKUPNE OBVEZE (AOP163) </w:t>
      </w:r>
      <w:r w:rsidR="003A7E83" w:rsidRPr="00526AD1">
        <w:rPr>
          <w:rFonts w:ascii="Times New Roman" w:hAnsi="Times New Roman" w:cs="Times New Roman"/>
          <w:bCs/>
          <w:sz w:val="24"/>
          <w:szCs w:val="24"/>
        </w:rPr>
        <w:t>-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iznose </w:t>
      </w:r>
      <w:r w:rsidR="00C414B3">
        <w:rPr>
          <w:rFonts w:ascii="Times New Roman" w:hAnsi="Times New Roman" w:cs="Times New Roman"/>
          <w:bCs/>
          <w:sz w:val="24"/>
          <w:szCs w:val="24"/>
        </w:rPr>
        <w:t>91.406.738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kn i razlikuju se od stanja obveza na kraju izvještajnog</w:t>
      </w:r>
      <w:r w:rsidR="00173D4E" w:rsidRPr="00526A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razdoblj</w:t>
      </w:r>
      <w:r w:rsidR="003E5EE9" w:rsidRPr="00526AD1">
        <w:rPr>
          <w:rFonts w:ascii="Times New Roman" w:hAnsi="Times New Roman" w:cs="Times New Roman"/>
          <w:bCs/>
          <w:sz w:val="24"/>
          <w:szCs w:val="24"/>
        </w:rPr>
        <w:t>a</w:t>
      </w:r>
      <w:r w:rsidR="00AE37F0" w:rsidRPr="00526AD1">
        <w:rPr>
          <w:rFonts w:ascii="Times New Roman" w:hAnsi="Times New Roman" w:cs="Times New Roman"/>
          <w:bCs/>
          <w:sz w:val="24"/>
          <w:szCs w:val="24"/>
        </w:rPr>
        <w:t xml:space="preserve"> iskazanih</w:t>
      </w:r>
      <w:r w:rsidR="003E5EE9" w:rsidRPr="00526AD1">
        <w:rPr>
          <w:rFonts w:ascii="Times New Roman" w:hAnsi="Times New Roman" w:cs="Times New Roman"/>
          <w:bCs/>
          <w:sz w:val="24"/>
          <w:szCs w:val="24"/>
        </w:rPr>
        <w:t xml:space="preserve"> o obrascu O</w:t>
      </w:r>
      <w:r w:rsidR="009968CB" w:rsidRPr="00526AD1">
        <w:rPr>
          <w:rFonts w:ascii="Times New Roman" w:hAnsi="Times New Roman" w:cs="Times New Roman"/>
          <w:bCs/>
          <w:sz w:val="24"/>
          <w:szCs w:val="24"/>
        </w:rPr>
        <w:t>bveze</w:t>
      </w:r>
      <w:r w:rsidR="003E5EE9" w:rsidRPr="00526AD1">
        <w:rPr>
          <w:rFonts w:ascii="Times New Roman" w:hAnsi="Times New Roman" w:cs="Times New Roman"/>
          <w:bCs/>
          <w:sz w:val="24"/>
          <w:szCs w:val="24"/>
        </w:rPr>
        <w:t xml:space="preserve"> (AOP0</w:t>
      </w:r>
      <w:r w:rsidR="00173D4E" w:rsidRPr="00526AD1">
        <w:rPr>
          <w:rFonts w:ascii="Times New Roman" w:hAnsi="Times New Roman" w:cs="Times New Roman"/>
          <w:bCs/>
          <w:sz w:val="24"/>
          <w:szCs w:val="24"/>
        </w:rPr>
        <w:t>36</w:t>
      </w:r>
      <w:r w:rsidR="003E5EE9" w:rsidRPr="00526AD1">
        <w:rPr>
          <w:rFonts w:ascii="Times New Roman" w:hAnsi="Times New Roman" w:cs="Times New Roman"/>
          <w:bCs/>
          <w:sz w:val="24"/>
          <w:szCs w:val="24"/>
        </w:rPr>
        <w:t>) koje iznose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14B3">
        <w:rPr>
          <w:rFonts w:ascii="Times New Roman" w:hAnsi="Times New Roman" w:cs="Times New Roman"/>
          <w:bCs/>
          <w:sz w:val="24"/>
          <w:szCs w:val="24"/>
        </w:rPr>
        <w:t>83.303.523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kn. </w:t>
      </w:r>
      <w:r w:rsidR="00E52947" w:rsidRPr="00526AD1">
        <w:rPr>
          <w:rFonts w:ascii="Times New Roman" w:hAnsi="Times New Roman" w:cs="Times New Roman"/>
          <w:bCs/>
          <w:sz w:val="24"/>
          <w:szCs w:val="24"/>
        </w:rPr>
        <w:t>R</w:t>
      </w:r>
      <w:r w:rsidR="003E5EE9" w:rsidRPr="00526AD1">
        <w:rPr>
          <w:rFonts w:ascii="Times New Roman" w:hAnsi="Times New Roman" w:cs="Times New Roman"/>
          <w:bCs/>
          <w:sz w:val="24"/>
          <w:szCs w:val="24"/>
        </w:rPr>
        <w:t>azlik</w:t>
      </w:r>
      <w:r w:rsidR="00173D4E" w:rsidRPr="00526AD1">
        <w:rPr>
          <w:rFonts w:ascii="Times New Roman" w:hAnsi="Times New Roman" w:cs="Times New Roman"/>
          <w:bCs/>
          <w:sz w:val="24"/>
          <w:szCs w:val="24"/>
        </w:rPr>
        <w:t>a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 w:rsidR="00C414B3">
        <w:rPr>
          <w:rFonts w:ascii="Times New Roman" w:hAnsi="Times New Roman" w:cs="Times New Roman"/>
          <w:bCs/>
          <w:sz w:val="24"/>
          <w:szCs w:val="24"/>
        </w:rPr>
        <w:t>8.103.215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kn odnosi se </w:t>
      </w:r>
      <w:r w:rsidR="009968CB" w:rsidRPr="00526AD1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3E5EE9" w:rsidRPr="00526AD1">
        <w:rPr>
          <w:rFonts w:ascii="Times New Roman" w:hAnsi="Times New Roman" w:cs="Times New Roman"/>
          <w:bCs/>
          <w:sz w:val="24"/>
          <w:szCs w:val="24"/>
        </w:rPr>
        <w:t xml:space="preserve">sveukupno </w:t>
      </w:r>
      <w:r w:rsidR="00293A05" w:rsidRPr="00526AD1">
        <w:rPr>
          <w:rFonts w:ascii="Times New Roman" w:hAnsi="Times New Roman" w:cs="Times New Roman"/>
          <w:bCs/>
          <w:sz w:val="24"/>
          <w:szCs w:val="24"/>
        </w:rPr>
        <w:t xml:space="preserve">iskazane </w:t>
      </w:r>
      <w:r w:rsidR="003E5EE9" w:rsidRPr="00526AD1">
        <w:rPr>
          <w:rFonts w:ascii="Times New Roman" w:hAnsi="Times New Roman" w:cs="Times New Roman"/>
          <w:bCs/>
          <w:sz w:val="24"/>
          <w:szCs w:val="24"/>
        </w:rPr>
        <w:t>obveze za naknade za ure</w:t>
      </w:r>
      <w:r w:rsidR="0064474D">
        <w:rPr>
          <w:rFonts w:ascii="Times New Roman" w:hAnsi="Times New Roman" w:cs="Times New Roman"/>
          <w:bCs/>
          <w:sz w:val="24"/>
          <w:szCs w:val="24"/>
        </w:rPr>
        <w:t>đenje voda za stambene prostore i</w:t>
      </w:r>
      <w:r w:rsidR="003E5EE9" w:rsidRPr="00526AD1">
        <w:rPr>
          <w:rFonts w:ascii="Times New Roman" w:hAnsi="Times New Roman" w:cs="Times New Roman"/>
          <w:bCs/>
          <w:sz w:val="24"/>
          <w:szCs w:val="24"/>
        </w:rPr>
        <w:t xml:space="preserve"> pos</w:t>
      </w:r>
      <w:r w:rsidR="00AE37F0" w:rsidRPr="00526AD1">
        <w:rPr>
          <w:rFonts w:ascii="Times New Roman" w:hAnsi="Times New Roman" w:cs="Times New Roman"/>
          <w:bCs/>
          <w:sz w:val="24"/>
          <w:szCs w:val="24"/>
        </w:rPr>
        <w:t>lovne prostore</w:t>
      </w:r>
      <w:r w:rsidR="0064474D">
        <w:rPr>
          <w:rFonts w:ascii="Times New Roman" w:hAnsi="Times New Roman" w:cs="Times New Roman"/>
          <w:bCs/>
          <w:sz w:val="24"/>
          <w:szCs w:val="24"/>
        </w:rPr>
        <w:t>.</w:t>
      </w:r>
    </w:p>
    <w:p w:rsidR="005F1326" w:rsidRDefault="005F1326" w:rsidP="0052542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0C87" w:rsidRPr="00526AD1" w:rsidRDefault="00CA0C87" w:rsidP="0052542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6C99" w:rsidRDefault="00836C99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715A4F">
        <w:rPr>
          <w:rFonts w:ascii="Times New Roman" w:hAnsi="Times New Roman" w:cs="Times New Roman"/>
          <w:b/>
        </w:rPr>
        <w:t>BILJEŠKA br. 6</w:t>
      </w:r>
      <w:r w:rsidR="00EB2FC4">
        <w:rPr>
          <w:rFonts w:ascii="Times New Roman" w:hAnsi="Times New Roman" w:cs="Times New Roman"/>
          <w:b/>
        </w:rPr>
        <w:t>2</w:t>
      </w:r>
      <w:r w:rsidRPr="00715A4F">
        <w:rPr>
          <w:rFonts w:ascii="Times New Roman" w:hAnsi="Times New Roman" w:cs="Times New Roman"/>
          <w:b/>
        </w:rPr>
        <w:t>.</w:t>
      </w:r>
    </w:p>
    <w:p w:rsidR="00836C99" w:rsidRDefault="00836C99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  <w:bCs/>
        </w:rPr>
      </w:pPr>
    </w:p>
    <w:p w:rsidR="00836C99" w:rsidRDefault="00293A05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Cs/>
        </w:rPr>
      </w:pPr>
      <w:r w:rsidRPr="00526AD1">
        <w:rPr>
          <w:rFonts w:ascii="Times New Roman" w:hAnsi="Times New Roman" w:cs="Times New Roman"/>
          <w:b/>
          <w:bCs/>
        </w:rPr>
        <w:t>Obveze za rashode poslovanja (AOP164)</w:t>
      </w:r>
      <w:r w:rsidRPr="00526AD1">
        <w:rPr>
          <w:rFonts w:ascii="Times New Roman" w:hAnsi="Times New Roman" w:cs="Times New Roman"/>
          <w:bCs/>
        </w:rPr>
        <w:t xml:space="preserve"> </w:t>
      </w:r>
      <w:r w:rsidR="00715A4F">
        <w:rPr>
          <w:rFonts w:ascii="Times New Roman" w:hAnsi="Times New Roman" w:cs="Times New Roman"/>
          <w:bCs/>
        </w:rPr>
        <w:t xml:space="preserve">- </w:t>
      </w:r>
      <w:r w:rsidRPr="00526AD1">
        <w:rPr>
          <w:rFonts w:ascii="Times New Roman" w:hAnsi="Times New Roman" w:cs="Times New Roman"/>
          <w:bCs/>
        </w:rPr>
        <w:t xml:space="preserve">iznose </w:t>
      </w:r>
      <w:r w:rsidR="00C414B3">
        <w:rPr>
          <w:rFonts w:ascii="Times New Roman" w:hAnsi="Times New Roman" w:cs="Times New Roman"/>
          <w:bCs/>
        </w:rPr>
        <w:t>29.897.523</w:t>
      </w:r>
      <w:r w:rsidRPr="00526AD1">
        <w:rPr>
          <w:rFonts w:ascii="Times New Roman" w:hAnsi="Times New Roman" w:cs="Times New Roman"/>
          <w:bCs/>
        </w:rPr>
        <w:t xml:space="preserve"> kn</w:t>
      </w:r>
      <w:r w:rsidR="00904ACD" w:rsidRPr="00526AD1">
        <w:rPr>
          <w:rFonts w:ascii="Times New Roman" w:hAnsi="Times New Roman" w:cs="Times New Roman"/>
          <w:bCs/>
        </w:rPr>
        <w:t xml:space="preserve"> i čine </w:t>
      </w:r>
      <w:r w:rsidR="00C414B3">
        <w:rPr>
          <w:rFonts w:ascii="Times New Roman" w:hAnsi="Times New Roman" w:cs="Times New Roman"/>
          <w:bCs/>
        </w:rPr>
        <w:t>32,7</w:t>
      </w:r>
      <w:r w:rsidR="00904ACD" w:rsidRPr="00526AD1">
        <w:rPr>
          <w:rFonts w:ascii="Times New Roman" w:hAnsi="Times New Roman" w:cs="Times New Roman"/>
          <w:bCs/>
        </w:rPr>
        <w:t>% ukupn</w:t>
      </w:r>
      <w:r w:rsidR="00AE37F0" w:rsidRPr="00526AD1">
        <w:rPr>
          <w:rFonts w:ascii="Times New Roman" w:hAnsi="Times New Roman" w:cs="Times New Roman"/>
          <w:bCs/>
        </w:rPr>
        <w:t xml:space="preserve">ih </w:t>
      </w:r>
      <w:r w:rsidR="00904ACD" w:rsidRPr="00526AD1">
        <w:rPr>
          <w:rFonts w:ascii="Times New Roman" w:hAnsi="Times New Roman" w:cs="Times New Roman"/>
          <w:bCs/>
        </w:rPr>
        <w:t>obveza</w:t>
      </w:r>
      <w:r w:rsidR="00836C99">
        <w:rPr>
          <w:rFonts w:ascii="Times New Roman" w:hAnsi="Times New Roman" w:cs="Times New Roman"/>
          <w:bCs/>
        </w:rPr>
        <w:t xml:space="preserve">. Obveze za rashode poslovanja </w:t>
      </w:r>
      <w:r w:rsidR="00C414B3">
        <w:rPr>
          <w:rFonts w:ascii="Times New Roman" w:hAnsi="Times New Roman" w:cs="Times New Roman"/>
          <w:bCs/>
        </w:rPr>
        <w:t xml:space="preserve">povećane </w:t>
      </w:r>
      <w:r w:rsidR="00836C99">
        <w:rPr>
          <w:rFonts w:ascii="Times New Roman" w:hAnsi="Times New Roman" w:cs="Times New Roman"/>
          <w:bCs/>
        </w:rPr>
        <w:t xml:space="preserve"> su u odnosu na </w:t>
      </w:r>
      <w:r w:rsidR="00685BE8">
        <w:rPr>
          <w:rFonts w:ascii="Times New Roman" w:hAnsi="Times New Roman" w:cs="Times New Roman"/>
          <w:bCs/>
        </w:rPr>
        <w:t>2018.</w:t>
      </w:r>
      <w:r w:rsidR="00836C99">
        <w:rPr>
          <w:rFonts w:ascii="Times New Roman" w:hAnsi="Times New Roman" w:cs="Times New Roman"/>
          <w:bCs/>
        </w:rPr>
        <w:t xml:space="preserve"> godinu za </w:t>
      </w:r>
      <w:r w:rsidR="00C414B3">
        <w:rPr>
          <w:rFonts w:ascii="Times New Roman" w:hAnsi="Times New Roman" w:cs="Times New Roman"/>
          <w:bCs/>
        </w:rPr>
        <w:t>25,6</w:t>
      </w:r>
      <w:r w:rsidR="00836C99">
        <w:rPr>
          <w:rFonts w:ascii="Times New Roman" w:hAnsi="Times New Roman" w:cs="Times New Roman"/>
          <w:bCs/>
        </w:rPr>
        <w:t xml:space="preserve">% ili za </w:t>
      </w:r>
      <w:r w:rsidR="00C414B3">
        <w:rPr>
          <w:rFonts w:ascii="Times New Roman" w:hAnsi="Times New Roman" w:cs="Times New Roman"/>
          <w:bCs/>
        </w:rPr>
        <w:t>6.088.169</w:t>
      </w:r>
      <w:r w:rsidR="00836C99">
        <w:rPr>
          <w:rFonts w:ascii="Times New Roman" w:hAnsi="Times New Roman" w:cs="Times New Roman"/>
          <w:bCs/>
        </w:rPr>
        <w:t xml:space="preserve"> kn. </w:t>
      </w:r>
    </w:p>
    <w:p w:rsidR="002B62CC" w:rsidRDefault="002B62CC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Cs/>
        </w:rPr>
      </w:pPr>
    </w:p>
    <w:p w:rsidR="00836C99" w:rsidRDefault="00836C99" w:rsidP="00C414B3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Unutar navedene skupine, najznačajnije </w:t>
      </w:r>
      <w:r w:rsidR="00C414B3">
        <w:rPr>
          <w:rFonts w:ascii="Times New Roman" w:hAnsi="Times New Roman" w:cs="Times New Roman"/>
          <w:bCs/>
        </w:rPr>
        <w:t>povećanje</w:t>
      </w:r>
      <w:r>
        <w:rPr>
          <w:rFonts w:ascii="Times New Roman" w:hAnsi="Times New Roman" w:cs="Times New Roman"/>
          <w:bCs/>
        </w:rPr>
        <w:t xml:space="preserve"> obveza u odnosu na isto razdoblje i</w:t>
      </w:r>
      <w:r w:rsidR="00C414B3">
        <w:rPr>
          <w:rFonts w:ascii="Times New Roman" w:hAnsi="Times New Roman" w:cs="Times New Roman"/>
          <w:bCs/>
        </w:rPr>
        <w:t xml:space="preserve">zvještavanja zabilježeno je kod </w:t>
      </w:r>
      <w:r w:rsidR="00293A05" w:rsidRPr="0064474D">
        <w:rPr>
          <w:rFonts w:ascii="Times New Roman" w:hAnsi="Times New Roman" w:cs="Times New Roman"/>
          <w:bCs/>
        </w:rPr>
        <w:t xml:space="preserve">Obveze za materijalne rashode (AOP166) </w:t>
      </w:r>
      <w:r w:rsidR="00C414B3">
        <w:rPr>
          <w:rFonts w:ascii="Times New Roman" w:hAnsi="Times New Roman" w:cs="Times New Roman"/>
          <w:bCs/>
        </w:rPr>
        <w:t>- iznose 13.045.723</w:t>
      </w:r>
      <w:r w:rsidR="00293A05" w:rsidRPr="0064474D">
        <w:rPr>
          <w:rFonts w:ascii="Times New Roman" w:hAnsi="Times New Roman" w:cs="Times New Roman"/>
          <w:bCs/>
        </w:rPr>
        <w:t xml:space="preserve"> kn i </w:t>
      </w:r>
      <w:r w:rsidR="00E04A36" w:rsidRPr="0064474D">
        <w:rPr>
          <w:rFonts w:ascii="Times New Roman" w:hAnsi="Times New Roman" w:cs="Times New Roman"/>
          <w:bCs/>
        </w:rPr>
        <w:t xml:space="preserve">za </w:t>
      </w:r>
      <w:r w:rsidR="00C414B3">
        <w:rPr>
          <w:rFonts w:ascii="Times New Roman" w:hAnsi="Times New Roman" w:cs="Times New Roman"/>
          <w:bCs/>
        </w:rPr>
        <w:t>45,1</w:t>
      </w:r>
      <w:r w:rsidR="00E04A36" w:rsidRPr="0064474D">
        <w:rPr>
          <w:rFonts w:ascii="Times New Roman" w:hAnsi="Times New Roman" w:cs="Times New Roman"/>
          <w:bCs/>
        </w:rPr>
        <w:t xml:space="preserve">% </w:t>
      </w:r>
      <w:r w:rsidR="00C414B3">
        <w:rPr>
          <w:rFonts w:ascii="Times New Roman" w:hAnsi="Times New Roman" w:cs="Times New Roman"/>
          <w:bCs/>
        </w:rPr>
        <w:t xml:space="preserve">ili 4.053.357 kn </w:t>
      </w:r>
      <w:r w:rsidR="00E04A36" w:rsidRPr="0064474D">
        <w:rPr>
          <w:rFonts w:ascii="Times New Roman" w:hAnsi="Times New Roman" w:cs="Times New Roman"/>
          <w:bCs/>
        </w:rPr>
        <w:t xml:space="preserve">su </w:t>
      </w:r>
      <w:r w:rsidR="00C414B3">
        <w:rPr>
          <w:rFonts w:ascii="Times New Roman" w:hAnsi="Times New Roman" w:cs="Times New Roman"/>
          <w:bCs/>
        </w:rPr>
        <w:t>veće</w:t>
      </w:r>
      <w:r w:rsidR="00E04A36" w:rsidRPr="0064474D">
        <w:rPr>
          <w:rFonts w:ascii="Times New Roman" w:hAnsi="Times New Roman" w:cs="Times New Roman"/>
          <w:bCs/>
        </w:rPr>
        <w:t xml:space="preserve"> </w:t>
      </w:r>
      <w:r w:rsidR="00293A05" w:rsidRPr="0064474D">
        <w:rPr>
          <w:rFonts w:ascii="Times New Roman" w:hAnsi="Times New Roman" w:cs="Times New Roman"/>
          <w:bCs/>
        </w:rPr>
        <w:t xml:space="preserve">u odnosu na </w:t>
      </w:r>
      <w:r w:rsidR="00685BE8">
        <w:rPr>
          <w:rFonts w:ascii="Times New Roman" w:hAnsi="Times New Roman" w:cs="Times New Roman"/>
          <w:bCs/>
        </w:rPr>
        <w:t>2018.</w:t>
      </w:r>
      <w:r w:rsidR="00293A05" w:rsidRPr="0064474D">
        <w:rPr>
          <w:rFonts w:ascii="Times New Roman" w:hAnsi="Times New Roman" w:cs="Times New Roman"/>
          <w:bCs/>
        </w:rPr>
        <w:t xml:space="preserve"> godinu</w:t>
      </w:r>
      <w:r w:rsidR="00C414B3">
        <w:rPr>
          <w:rFonts w:ascii="Times New Roman" w:hAnsi="Times New Roman" w:cs="Times New Roman"/>
          <w:bCs/>
        </w:rPr>
        <w:t>. Povećanje čine veće obveze za komunalne usluge odnosno obveze za održavanje nerazvrstanih cesta</w:t>
      </w:r>
      <w:r w:rsidR="00715A4F">
        <w:rPr>
          <w:rFonts w:ascii="Times New Roman" w:hAnsi="Times New Roman" w:cs="Times New Roman"/>
          <w:bCs/>
        </w:rPr>
        <w:t xml:space="preserve">, </w:t>
      </w:r>
      <w:r w:rsidR="00C414B3">
        <w:rPr>
          <w:rFonts w:ascii="Times New Roman" w:hAnsi="Times New Roman" w:cs="Times New Roman"/>
          <w:bCs/>
        </w:rPr>
        <w:t>održavanja javne odvodnje oborinskih voda te već</w:t>
      </w:r>
      <w:r w:rsidR="00715A4F">
        <w:rPr>
          <w:rFonts w:ascii="Times New Roman" w:hAnsi="Times New Roman" w:cs="Times New Roman"/>
          <w:bCs/>
        </w:rPr>
        <w:t>e</w:t>
      </w:r>
      <w:r w:rsidR="00C414B3">
        <w:rPr>
          <w:rFonts w:ascii="Times New Roman" w:hAnsi="Times New Roman" w:cs="Times New Roman"/>
          <w:bCs/>
        </w:rPr>
        <w:t xml:space="preserve"> obvez</w:t>
      </w:r>
      <w:r w:rsidR="00715A4F">
        <w:rPr>
          <w:rFonts w:ascii="Times New Roman" w:hAnsi="Times New Roman" w:cs="Times New Roman"/>
          <w:bCs/>
        </w:rPr>
        <w:t>e</w:t>
      </w:r>
      <w:r w:rsidR="00C414B3">
        <w:rPr>
          <w:rFonts w:ascii="Times New Roman" w:hAnsi="Times New Roman" w:cs="Times New Roman"/>
          <w:bCs/>
        </w:rPr>
        <w:t xml:space="preserve"> za intelektualne usluge sukladno sklopljen</w:t>
      </w:r>
      <w:r w:rsidR="00D865F3">
        <w:rPr>
          <w:rFonts w:ascii="Times New Roman" w:hAnsi="Times New Roman" w:cs="Times New Roman"/>
          <w:bCs/>
        </w:rPr>
        <w:t>i</w:t>
      </w:r>
      <w:r w:rsidR="00C414B3">
        <w:rPr>
          <w:rFonts w:ascii="Times New Roman" w:hAnsi="Times New Roman" w:cs="Times New Roman"/>
          <w:bCs/>
        </w:rPr>
        <w:t>m Ugovor</w:t>
      </w:r>
      <w:r w:rsidR="00D865F3">
        <w:rPr>
          <w:rFonts w:ascii="Times New Roman" w:hAnsi="Times New Roman" w:cs="Times New Roman"/>
          <w:bCs/>
        </w:rPr>
        <w:t>ima</w:t>
      </w:r>
      <w:r w:rsidR="00C414B3">
        <w:rPr>
          <w:rFonts w:ascii="Times New Roman" w:hAnsi="Times New Roman" w:cs="Times New Roman"/>
          <w:bCs/>
        </w:rPr>
        <w:t>.</w:t>
      </w:r>
    </w:p>
    <w:p w:rsidR="00715A4F" w:rsidRDefault="00715A4F" w:rsidP="00C414B3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Cs/>
        </w:rPr>
      </w:pPr>
    </w:p>
    <w:p w:rsidR="00C414B3" w:rsidRDefault="00C414B3" w:rsidP="00C414B3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Cs/>
        </w:rPr>
      </w:pPr>
    </w:p>
    <w:p w:rsidR="00AD6CD9" w:rsidRDefault="00AD6CD9" w:rsidP="00AD6CD9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715A4F">
        <w:rPr>
          <w:rFonts w:ascii="Times New Roman" w:hAnsi="Times New Roman" w:cs="Times New Roman"/>
          <w:b/>
        </w:rPr>
        <w:t>BILJEŠKA br. 6</w:t>
      </w:r>
      <w:r w:rsidR="00EB2FC4">
        <w:rPr>
          <w:rFonts w:ascii="Times New Roman" w:hAnsi="Times New Roman" w:cs="Times New Roman"/>
          <w:b/>
        </w:rPr>
        <w:t>3</w:t>
      </w:r>
      <w:r w:rsidRPr="00715A4F">
        <w:rPr>
          <w:rFonts w:ascii="Times New Roman" w:hAnsi="Times New Roman" w:cs="Times New Roman"/>
          <w:b/>
        </w:rPr>
        <w:t>.</w:t>
      </w:r>
    </w:p>
    <w:p w:rsidR="00AD6CD9" w:rsidRDefault="00AD6CD9" w:rsidP="00C414B3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Cs/>
        </w:rPr>
      </w:pPr>
    </w:p>
    <w:p w:rsidR="00AD6CD9" w:rsidRDefault="00AD6CD9" w:rsidP="00AD6CD9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Cs/>
        </w:rPr>
      </w:pPr>
      <w:r w:rsidRPr="00836C99">
        <w:rPr>
          <w:rFonts w:ascii="Times New Roman" w:hAnsi="Times New Roman" w:cs="Times New Roman"/>
          <w:bCs/>
        </w:rPr>
        <w:t xml:space="preserve">Obveze za </w:t>
      </w:r>
      <w:r>
        <w:rPr>
          <w:rFonts w:ascii="Times New Roman" w:hAnsi="Times New Roman" w:cs="Times New Roman"/>
          <w:bCs/>
        </w:rPr>
        <w:t>kamate na primljene kredite i zajmove</w:t>
      </w:r>
      <w:r w:rsidRPr="00836C99">
        <w:rPr>
          <w:rFonts w:ascii="Times New Roman" w:hAnsi="Times New Roman" w:cs="Times New Roman"/>
          <w:bCs/>
        </w:rPr>
        <w:t xml:space="preserve"> (AOP16</w:t>
      </w:r>
      <w:r>
        <w:rPr>
          <w:rFonts w:ascii="Times New Roman" w:hAnsi="Times New Roman" w:cs="Times New Roman"/>
          <w:bCs/>
        </w:rPr>
        <w:t>9</w:t>
      </w:r>
      <w:r w:rsidRPr="00836C99">
        <w:rPr>
          <w:rFonts w:ascii="Times New Roman" w:hAnsi="Times New Roman" w:cs="Times New Roman"/>
          <w:bCs/>
        </w:rPr>
        <w:t xml:space="preserve">) - iznose </w:t>
      </w:r>
      <w:r>
        <w:rPr>
          <w:rFonts w:ascii="Times New Roman" w:hAnsi="Times New Roman" w:cs="Times New Roman"/>
          <w:bCs/>
        </w:rPr>
        <w:t>102.992</w:t>
      </w:r>
      <w:r w:rsidRPr="00836C99">
        <w:rPr>
          <w:rFonts w:ascii="Times New Roman" w:hAnsi="Times New Roman" w:cs="Times New Roman"/>
          <w:bCs/>
        </w:rPr>
        <w:t xml:space="preserve"> kn i čine zadužene kamate po kreditu za OŠ Veli Vrh, I faza u iznosu od </w:t>
      </w:r>
      <w:r>
        <w:rPr>
          <w:rFonts w:ascii="Times New Roman" w:hAnsi="Times New Roman" w:cs="Times New Roman"/>
          <w:bCs/>
        </w:rPr>
        <w:t>55.003</w:t>
      </w:r>
      <w:r w:rsidRPr="00836C99">
        <w:rPr>
          <w:rFonts w:ascii="Times New Roman" w:hAnsi="Times New Roman" w:cs="Times New Roman"/>
          <w:bCs/>
        </w:rPr>
        <w:t xml:space="preserve"> kn i II faza u iznosu od </w:t>
      </w:r>
      <w:r>
        <w:rPr>
          <w:rFonts w:ascii="Times New Roman" w:hAnsi="Times New Roman" w:cs="Times New Roman"/>
          <w:bCs/>
        </w:rPr>
        <w:t>47.989</w:t>
      </w:r>
      <w:r w:rsidRPr="00836C9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kn. Obveze su smanjene zbog smanjenog obračuna kamata po kreditima za OŠ Veli Vrh I i II faza.</w:t>
      </w:r>
    </w:p>
    <w:p w:rsidR="00AD6CD9" w:rsidRDefault="00AD6CD9" w:rsidP="00C414B3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Cs/>
        </w:rPr>
      </w:pPr>
    </w:p>
    <w:p w:rsidR="00AD6CD9" w:rsidRDefault="00AD6CD9" w:rsidP="00C414B3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Cs/>
        </w:rPr>
      </w:pPr>
    </w:p>
    <w:p w:rsidR="00AD6CD9" w:rsidRDefault="00AD6CD9" w:rsidP="00AD6CD9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715A4F">
        <w:rPr>
          <w:rFonts w:ascii="Times New Roman" w:hAnsi="Times New Roman" w:cs="Times New Roman"/>
          <w:b/>
        </w:rPr>
        <w:t>BILJEŠKA br. 6</w:t>
      </w:r>
      <w:r w:rsidR="00EB2FC4">
        <w:rPr>
          <w:rFonts w:ascii="Times New Roman" w:hAnsi="Times New Roman" w:cs="Times New Roman"/>
          <w:b/>
        </w:rPr>
        <w:t>4</w:t>
      </w:r>
      <w:r w:rsidRPr="00715A4F">
        <w:rPr>
          <w:rFonts w:ascii="Times New Roman" w:hAnsi="Times New Roman" w:cs="Times New Roman"/>
          <w:b/>
        </w:rPr>
        <w:t>.</w:t>
      </w:r>
    </w:p>
    <w:p w:rsidR="00C414B3" w:rsidRDefault="00C414B3" w:rsidP="00C414B3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Cs/>
        </w:rPr>
      </w:pPr>
    </w:p>
    <w:p w:rsidR="00C414B3" w:rsidRDefault="00AD6CD9" w:rsidP="00C414B3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Obveze za ostale financijske rashode  (AOP170) - iznose 79.104 kn i bilježe rast od 83,7% međutim u vrijednosnom iznosu rast je manje značajan i iznosi 36.054 kn. Najznačajnije su obveze za bankarske usluge i usluge platnog prometa te za uplatne račune.</w:t>
      </w:r>
    </w:p>
    <w:p w:rsidR="00C414B3" w:rsidRDefault="00C414B3" w:rsidP="00C414B3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Cs/>
        </w:rPr>
      </w:pPr>
    </w:p>
    <w:p w:rsidR="00EB2FC4" w:rsidRDefault="00EB2FC4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EB2FC4" w:rsidRDefault="00EB2FC4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D865F3" w:rsidRDefault="00D865F3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836C99" w:rsidRDefault="00836C99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526AD1">
        <w:rPr>
          <w:rFonts w:ascii="Times New Roman" w:hAnsi="Times New Roman" w:cs="Times New Roman"/>
          <w:b/>
        </w:rPr>
        <w:lastRenderedPageBreak/>
        <w:t xml:space="preserve">BILJEŠKA br. </w:t>
      </w:r>
      <w:r>
        <w:rPr>
          <w:rFonts w:ascii="Times New Roman" w:hAnsi="Times New Roman" w:cs="Times New Roman"/>
          <w:b/>
        </w:rPr>
        <w:t>6</w:t>
      </w:r>
      <w:r w:rsidR="00EB2FC4">
        <w:rPr>
          <w:rFonts w:ascii="Times New Roman" w:hAnsi="Times New Roman" w:cs="Times New Roman"/>
          <w:b/>
        </w:rPr>
        <w:t>5</w:t>
      </w:r>
      <w:r w:rsidRPr="00526AD1">
        <w:rPr>
          <w:rFonts w:ascii="Times New Roman" w:hAnsi="Times New Roman" w:cs="Times New Roman"/>
          <w:b/>
        </w:rPr>
        <w:t>.</w:t>
      </w:r>
    </w:p>
    <w:p w:rsidR="00836C99" w:rsidRDefault="00836C99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F411C4" w:rsidRDefault="00F411C4" w:rsidP="00525422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 xml:space="preserve">Ostale tekuće obveze (AOP174) </w:t>
      </w:r>
      <w:r w:rsidR="003A7E83" w:rsidRPr="00526AD1">
        <w:rPr>
          <w:rFonts w:ascii="Times New Roman" w:hAnsi="Times New Roman" w:cs="Times New Roman"/>
          <w:sz w:val="24"/>
          <w:szCs w:val="24"/>
        </w:rPr>
        <w:t>-</w:t>
      </w:r>
      <w:r w:rsidR="00BD72B4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sz w:val="24"/>
          <w:szCs w:val="24"/>
        </w:rPr>
        <w:t xml:space="preserve">iznose </w:t>
      </w:r>
      <w:r w:rsidR="00AD6CD9">
        <w:rPr>
          <w:rFonts w:ascii="Times New Roman" w:hAnsi="Times New Roman" w:cs="Times New Roman"/>
          <w:sz w:val="24"/>
          <w:szCs w:val="24"/>
        </w:rPr>
        <w:t>14.428.097</w:t>
      </w:r>
      <w:r w:rsidR="00836C99">
        <w:rPr>
          <w:rFonts w:ascii="Times New Roman" w:hAnsi="Times New Roman" w:cs="Times New Roman"/>
          <w:sz w:val="24"/>
          <w:szCs w:val="24"/>
        </w:rPr>
        <w:t xml:space="preserve"> kn, </w:t>
      </w:r>
      <w:r w:rsidRPr="00526AD1">
        <w:rPr>
          <w:rFonts w:ascii="Times New Roman" w:hAnsi="Times New Roman" w:cs="Times New Roman"/>
          <w:sz w:val="24"/>
          <w:szCs w:val="24"/>
        </w:rPr>
        <w:t>a čine ih obveze za porez na dodanu vrijednost</w:t>
      </w:r>
      <w:r w:rsidR="00883357" w:rsidRPr="00526AD1">
        <w:rPr>
          <w:rFonts w:ascii="Times New Roman" w:hAnsi="Times New Roman" w:cs="Times New Roman"/>
          <w:sz w:val="24"/>
          <w:szCs w:val="24"/>
        </w:rPr>
        <w:t xml:space="preserve"> za prosinac </w:t>
      </w:r>
      <w:r w:rsidR="003C20C6">
        <w:rPr>
          <w:rFonts w:ascii="Times New Roman" w:hAnsi="Times New Roman" w:cs="Times New Roman"/>
          <w:sz w:val="24"/>
          <w:szCs w:val="24"/>
        </w:rPr>
        <w:t>2019.</w:t>
      </w:r>
      <w:r w:rsidR="00883357" w:rsidRPr="00526AD1">
        <w:rPr>
          <w:rFonts w:ascii="Times New Roman" w:hAnsi="Times New Roman" w:cs="Times New Roman"/>
          <w:sz w:val="24"/>
          <w:szCs w:val="24"/>
        </w:rPr>
        <w:t xml:space="preserve"> godine</w:t>
      </w:r>
      <w:r w:rsidRPr="00526AD1">
        <w:rPr>
          <w:rFonts w:ascii="Times New Roman" w:hAnsi="Times New Roman" w:cs="Times New Roman"/>
          <w:sz w:val="24"/>
          <w:szCs w:val="24"/>
        </w:rPr>
        <w:t xml:space="preserve">, obveze za jamčevine, obveze za uplatu 55% sredstava od prodaje stanova u državni proračun temeljem obračuna za prosinac </w:t>
      </w:r>
      <w:r w:rsidR="003C20C6">
        <w:rPr>
          <w:rFonts w:ascii="Times New Roman" w:hAnsi="Times New Roman" w:cs="Times New Roman"/>
          <w:sz w:val="24"/>
          <w:szCs w:val="24"/>
        </w:rPr>
        <w:t>2019.</w:t>
      </w:r>
      <w:r w:rsidRPr="00526AD1">
        <w:rPr>
          <w:rFonts w:ascii="Times New Roman" w:hAnsi="Times New Roman" w:cs="Times New Roman"/>
          <w:sz w:val="24"/>
          <w:szCs w:val="24"/>
        </w:rPr>
        <w:t xml:space="preserve"> godine, povrate u državni proračun za neutrošena decentralizirana sredstva</w:t>
      </w:r>
      <w:r w:rsidR="00BD72B4" w:rsidRPr="00526AD1">
        <w:rPr>
          <w:rFonts w:ascii="Times New Roman" w:hAnsi="Times New Roman" w:cs="Times New Roman"/>
          <w:sz w:val="24"/>
          <w:szCs w:val="24"/>
        </w:rPr>
        <w:t xml:space="preserve"> do 31.12.</w:t>
      </w:r>
      <w:r w:rsidR="003C20C6">
        <w:rPr>
          <w:rFonts w:ascii="Times New Roman" w:hAnsi="Times New Roman" w:cs="Times New Roman"/>
          <w:sz w:val="24"/>
          <w:szCs w:val="24"/>
        </w:rPr>
        <w:t>2019.</w:t>
      </w:r>
      <w:r w:rsidR="00BD72B4" w:rsidRPr="00526AD1">
        <w:rPr>
          <w:rFonts w:ascii="Times New Roman" w:hAnsi="Times New Roman" w:cs="Times New Roman"/>
          <w:sz w:val="24"/>
          <w:szCs w:val="24"/>
        </w:rPr>
        <w:t xml:space="preserve"> godine</w:t>
      </w:r>
      <w:r w:rsidRPr="00526AD1">
        <w:rPr>
          <w:rFonts w:ascii="Times New Roman" w:hAnsi="Times New Roman" w:cs="Times New Roman"/>
          <w:sz w:val="24"/>
          <w:szCs w:val="24"/>
        </w:rPr>
        <w:t xml:space="preserve">, </w:t>
      </w:r>
      <w:r w:rsidR="00BD72B4" w:rsidRPr="00526AD1">
        <w:rPr>
          <w:rFonts w:ascii="Times New Roman" w:hAnsi="Times New Roman" w:cs="Times New Roman"/>
          <w:sz w:val="24"/>
          <w:szCs w:val="24"/>
        </w:rPr>
        <w:t xml:space="preserve">obveze za naplaćene tuđe prihode, naknada za uređenje voda, </w:t>
      </w:r>
      <w:r w:rsidRPr="00526AD1">
        <w:rPr>
          <w:rFonts w:ascii="Times New Roman" w:hAnsi="Times New Roman" w:cs="Times New Roman"/>
          <w:sz w:val="24"/>
          <w:szCs w:val="24"/>
        </w:rPr>
        <w:t>obveze za EU predujmove te za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neutrošene prihode proračunskih korisnika.</w:t>
      </w:r>
    </w:p>
    <w:p w:rsidR="00EB2FC4" w:rsidRDefault="009968CB" w:rsidP="00525422">
      <w:pPr>
        <w:pStyle w:val="Style20"/>
        <w:widowControl/>
        <w:tabs>
          <w:tab w:val="left" w:pos="851"/>
        </w:tabs>
        <w:spacing w:line="276" w:lineRule="auto"/>
        <w:contextualSpacing/>
        <w:rPr>
          <w:rStyle w:val="FontStyle24"/>
          <w:spacing w:val="0"/>
        </w:rPr>
      </w:pPr>
      <w:r w:rsidRPr="00526AD1">
        <w:rPr>
          <w:rStyle w:val="FontStyle24"/>
          <w:spacing w:val="0"/>
        </w:rPr>
        <w:t>Naknada za uređenje voda prihod je Hrvatskih voda,</w:t>
      </w:r>
      <w:r w:rsidRPr="00526AD1">
        <w:rPr>
          <w:rFonts w:ascii="Times New Roman" w:hAnsi="Times New Roman" w:cs="Times New Roman"/>
        </w:rPr>
        <w:t xml:space="preserve"> dok z</w:t>
      </w:r>
      <w:r w:rsidRPr="00526AD1">
        <w:rPr>
          <w:rStyle w:val="FontStyle24"/>
          <w:spacing w:val="0"/>
        </w:rPr>
        <w:t xml:space="preserve">a poslove koje obavlja u ime Hrvatskih </w:t>
      </w:r>
      <w:r w:rsidR="0064474D">
        <w:rPr>
          <w:rStyle w:val="FontStyle24"/>
          <w:spacing w:val="0"/>
        </w:rPr>
        <w:t>voda, Gradu pripada naknada od 10</w:t>
      </w:r>
      <w:r w:rsidRPr="00526AD1">
        <w:rPr>
          <w:rStyle w:val="FontStyle24"/>
          <w:spacing w:val="0"/>
        </w:rPr>
        <w:t xml:space="preserve">% na iznos Hrvatskim vodama uplaćene naknade za uređenje voda. </w:t>
      </w:r>
    </w:p>
    <w:p w:rsidR="00F411C4" w:rsidRDefault="009968CB" w:rsidP="00525422">
      <w:pPr>
        <w:pStyle w:val="Style20"/>
        <w:widowControl/>
        <w:tabs>
          <w:tab w:val="left" w:pos="851"/>
        </w:tabs>
        <w:spacing w:line="276" w:lineRule="auto"/>
        <w:contextualSpacing/>
        <w:rPr>
          <w:rStyle w:val="FontStyle24"/>
          <w:spacing w:val="0"/>
        </w:rPr>
      </w:pPr>
      <w:r w:rsidRPr="00526AD1">
        <w:rPr>
          <w:rStyle w:val="FontStyle24"/>
          <w:spacing w:val="0"/>
        </w:rPr>
        <w:t>Jedinica lokalne samouprave doznačuje naplaćene iznose naknade za uređenje voda na uplatne račune Hrvatskih voda.</w:t>
      </w:r>
      <w:r w:rsidR="00BD72B4" w:rsidRPr="00526AD1">
        <w:rPr>
          <w:rStyle w:val="FontStyle24"/>
          <w:spacing w:val="0"/>
        </w:rPr>
        <w:t xml:space="preserve"> </w:t>
      </w:r>
      <w:r w:rsidRPr="00526AD1">
        <w:rPr>
          <w:rStyle w:val="FontStyle24"/>
          <w:spacing w:val="0"/>
        </w:rPr>
        <w:t>Jedinica lokalne samouprave naplaćuje naknadu za uređenje voda putem uplatnica za komunalnu naknadu, uz koje zasebno iskazuje iznos, obračunske elemente i način obračuna naknade za uređenje voda.</w:t>
      </w:r>
    </w:p>
    <w:p w:rsidR="00AD6CD9" w:rsidRDefault="00AD6CD9" w:rsidP="00525422">
      <w:pPr>
        <w:pStyle w:val="Style20"/>
        <w:widowControl/>
        <w:tabs>
          <w:tab w:val="left" w:pos="851"/>
        </w:tabs>
        <w:spacing w:line="276" w:lineRule="auto"/>
        <w:contextualSpacing/>
        <w:rPr>
          <w:rStyle w:val="FontStyle24"/>
          <w:spacing w:val="0"/>
        </w:rPr>
      </w:pPr>
      <w:r>
        <w:rPr>
          <w:rStyle w:val="FontStyle24"/>
          <w:spacing w:val="0"/>
        </w:rPr>
        <w:t>U odnosu na 2018. godinu značajnije povećanje obveza evidentirano je kod obveza za jamčevine</w:t>
      </w:r>
      <w:r w:rsidR="00D865F3">
        <w:rPr>
          <w:rStyle w:val="FontStyle24"/>
          <w:spacing w:val="0"/>
        </w:rPr>
        <w:t xml:space="preserve"> iz razloga što je natječaj za zakup poslovnih prostora proveden krajem prosinca</w:t>
      </w:r>
      <w:r>
        <w:rPr>
          <w:rStyle w:val="FontStyle24"/>
          <w:spacing w:val="0"/>
        </w:rPr>
        <w:t xml:space="preserve"> te kod obveza za naplaćene tuđe prihode.</w:t>
      </w:r>
    </w:p>
    <w:p w:rsidR="00836C99" w:rsidRDefault="00836C99" w:rsidP="00525422">
      <w:pPr>
        <w:pStyle w:val="Style20"/>
        <w:widowControl/>
        <w:tabs>
          <w:tab w:val="left" w:pos="851"/>
        </w:tabs>
        <w:spacing w:line="276" w:lineRule="auto"/>
        <w:contextualSpacing/>
        <w:rPr>
          <w:rStyle w:val="FontStyle24"/>
          <w:spacing w:val="0"/>
        </w:rPr>
      </w:pPr>
    </w:p>
    <w:p w:rsidR="00836C99" w:rsidRDefault="00836C99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836C99" w:rsidRDefault="00836C99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526AD1">
        <w:rPr>
          <w:rFonts w:ascii="Times New Roman" w:hAnsi="Times New Roman" w:cs="Times New Roman"/>
          <w:b/>
        </w:rPr>
        <w:t xml:space="preserve">BILJEŠKA br. </w:t>
      </w:r>
      <w:r w:rsidR="008B4DEF">
        <w:rPr>
          <w:rFonts w:ascii="Times New Roman" w:hAnsi="Times New Roman" w:cs="Times New Roman"/>
          <w:b/>
        </w:rPr>
        <w:t>6</w:t>
      </w:r>
      <w:r w:rsidR="00EB2FC4">
        <w:rPr>
          <w:rFonts w:ascii="Times New Roman" w:hAnsi="Times New Roman" w:cs="Times New Roman"/>
          <w:b/>
        </w:rPr>
        <w:t>6</w:t>
      </w:r>
      <w:r w:rsidRPr="00526AD1">
        <w:rPr>
          <w:rFonts w:ascii="Times New Roman" w:hAnsi="Times New Roman" w:cs="Times New Roman"/>
          <w:b/>
        </w:rPr>
        <w:t>.</w:t>
      </w:r>
    </w:p>
    <w:p w:rsidR="00CA0C87" w:rsidRDefault="00CA0C87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7D4F80" w:rsidRDefault="00836C99" w:rsidP="0052542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AD1">
        <w:rPr>
          <w:rFonts w:ascii="Times New Roman" w:hAnsi="Times New Roman" w:cs="Times New Roman"/>
          <w:b/>
          <w:bCs/>
          <w:sz w:val="24"/>
          <w:szCs w:val="24"/>
        </w:rPr>
        <w:t xml:space="preserve">Obveze za nabavu nefinancijske imovine (AOP175) - 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AD6CD9">
        <w:rPr>
          <w:rFonts w:ascii="Times New Roman" w:hAnsi="Times New Roman" w:cs="Times New Roman"/>
          <w:bCs/>
          <w:sz w:val="24"/>
          <w:szCs w:val="24"/>
        </w:rPr>
        <w:t>8.102.966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kn i za </w:t>
      </w:r>
      <w:r w:rsidR="00AD6CD9">
        <w:rPr>
          <w:rFonts w:ascii="Times New Roman" w:hAnsi="Times New Roman" w:cs="Times New Roman"/>
          <w:bCs/>
          <w:sz w:val="24"/>
          <w:szCs w:val="24"/>
        </w:rPr>
        <w:t>1.859.179 kn ili 18,7</w:t>
      </w:r>
      <w:r w:rsidRPr="00526AD1">
        <w:rPr>
          <w:rFonts w:ascii="Times New Roman" w:hAnsi="Times New Roman" w:cs="Times New Roman"/>
          <w:bCs/>
          <w:sz w:val="24"/>
          <w:szCs w:val="24"/>
        </w:rPr>
        <w:t>% su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6CD9">
        <w:rPr>
          <w:rFonts w:ascii="Times New Roman" w:hAnsi="Times New Roman" w:cs="Times New Roman"/>
          <w:bCs/>
          <w:sz w:val="24"/>
          <w:szCs w:val="24"/>
        </w:rPr>
        <w:t>manje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nego </w:t>
      </w:r>
      <w:r w:rsidR="00685BE8">
        <w:rPr>
          <w:rFonts w:ascii="Times New Roman" w:hAnsi="Times New Roman" w:cs="Times New Roman"/>
          <w:bCs/>
          <w:sz w:val="24"/>
          <w:szCs w:val="24"/>
        </w:rPr>
        <w:t>2018.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godine u istom izvještajnom razdoblju.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6C99" w:rsidRDefault="00AD6CD9" w:rsidP="0052542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Otvorene o</w:t>
      </w:r>
      <w:r w:rsidR="00836C99">
        <w:rPr>
          <w:rFonts w:ascii="Times New Roman" w:hAnsi="Times New Roman" w:cs="Times New Roman"/>
          <w:bCs/>
          <w:sz w:val="24"/>
          <w:szCs w:val="24"/>
        </w:rPr>
        <w:t xml:space="preserve">bveze se odnose na </w:t>
      </w:r>
      <w:r w:rsidR="00836C99" w:rsidRPr="00526AD1">
        <w:rPr>
          <w:rFonts w:ascii="Times New Roman" w:hAnsi="Times New Roman" w:cs="Times New Roman"/>
          <w:bCs/>
          <w:sz w:val="24"/>
          <w:szCs w:val="24"/>
        </w:rPr>
        <w:t xml:space="preserve">obveze za nabavu </w:t>
      </w:r>
      <w:r>
        <w:rPr>
          <w:rFonts w:ascii="Times New Roman" w:hAnsi="Times New Roman" w:cs="Times New Roman"/>
          <w:bCs/>
          <w:sz w:val="24"/>
          <w:szCs w:val="24"/>
        </w:rPr>
        <w:t>ne</w:t>
      </w:r>
      <w:r w:rsidR="00836C99" w:rsidRPr="00526AD1">
        <w:rPr>
          <w:rFonts w:ascii="Times New Roman" w:hAnsi="Times New Roman" w:cs="Times New Roman"/>
          <w:bCs/>
          <w:sz w:val="24"/>
          <w:szCs w:val="24"/>
        </w:rPr>
        <w:t>proizvedene dugotrajne imovine</w:t>
      </w:r>
      <w:r w:rsidR="00836C99"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bCs/>
          <w:sz w:val="24"/>
          <w:szCs w:val="24"/>
        </w:rPr>
        <w:t>242.731</w:t>
      </w:r>
      <w:r w:rsidR="00836C99">
        <w:rPr>
          <w:rFonts w:ascii="Times New Roman" w:hAnsi="Times New Roman" w:cs="Times New Roman"/>
          <w:bCs/>
          <w:sz w:val="24"/>
          <w:szCs w:val="24"/>
        </w:rPr>
        <w:t xml:space="preserve"> kn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26AD1">
        <w:rPr>
          <w:rFonts w:ascii="Times New Roman" w:hAnsi="Times New Roman" w:cs="Times New Roman"/>
          <w:bCs/>
          <w:sz w:val="24"/>
          <w:szCs w:val="24"/>
        </w:rPr>
        <w:t>obveze za nabavu proizvedene dugotrajne imovine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 7.848.440 kn</w:t>
      </w:r>
      <w:r w:rsidR="00836C99">
        <w:rPr>
          <w:rFonts w:ascii="Times New Roman" w:hAnsi="Times New Roman" w:cs="Times New Roman"/>
          <w:bCs/>
          <w:sz w:val="24"/>
          <w:szCs w:val="24"/>
        </w:rPr>
        <w:t xml:space="preserve"> i na </w:t>
      </w:r>
      <w:r w:rsidR="00836C99" w:rsidRPr="00526AD1">
        <w:rPr>
          <w:rFonts w:ascii="Times New Roman" w:hAnsi="Times New Roman" w:cs="Times New Roman"/>
          <w:bCs/>
          <w:sz w:val="24"/>
          <w:szCs w:val="24"/>
        </w:rPr>
        <w:t>obveze za dodatna ulaganja na nefinancijskoj imovini</w:t>
      </w:r>
      <w:r w:rsidR="00836C99"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bCs/>
          <w:sz w:val="24"/>
          <w:szCs w:val="24"/>
        </w:rPr>
        <w:t>11.79</w:t>
      </w:r>
      <w:r w:rsidR="00715A4F">
        <w:rPr>
          <w:rFonts w:ascii="Times New Roman" w:hAnsi="Times New Roman" w:cs="Times New Roman"/>
          <w:bCs/>
          <w:sz w:val="24"/>
          <w:szCs w:val="24"/>
        </w:rPr>
        <w:t>5</w:t>
      </w:r>
      <w:r w:rsidR="00836C99">
        <w:rPr>
          <w:rFonts w:ascii="Times New Roman" w:hAnsi="Times New Roman" w:cs="Times New Roman"/>
          <w:bCs/>
          <w:sz w:val="24"/>
          <w:szCs w:val="24"/>
        </w:rPr>
        <w:t xml:space="preserve"> kn.</w:t>
      </w:r>
    </w:p>
    <w:p w:rsidR="00836C99" w:rsidRPr="00526AD1" w:rsidRDefault="00836C99" w:rsidP="0052542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6C99" w:rsidRPr="00526AD1" w:rsidRDefault="00836C99" w:rsidP="0052542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AD1">
        <w:rPr>
          <w:rFonts w:ascii="Times New Roman" w:hAnsi="Times New Roman" w:cs="Times New Roman"/>
          <w:bCs/>
          <w:sz w:val="24"/>
          <w:szCs w:val="24"/>
        </w:rPr>
        <w:t>Dospjele</w:t>
      </w:r>
      <w:r w:rsidRPr="00526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obveze za nabavu nefinancijske imovine iznose </w:t>
      </w:r>
      <w:r w:rsidR="00AD6CD9">
        <w:rPr>
          <w:rFonts w:ascii="Times New Roman" w:hAnsi="Times New Roman" w:cs="Times New Roman"/>
          <w:bCs/>
          <w:sz w:val="24"/>
          <w:szCs w:val="24"/>
        </w:rPr>
        <w:t>1.089.620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kn</w:t>
      </w:r>
      <w:r>
        <w:rPr>
          <w:rFonts w:ascii="Times New Roman" w:hAnsi="Times New Roman" w:cs="Times New Roman"/>
          <w:bCs/>
          <w:sz w:val="24"/>
          <w:szCs w:val="24"/>
        </w:rPr>
        <w:t xml:space="preserve"> (AOP277)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, dok se iznos od </w:t>
      </w:r>
      <w:r w:rsidR="00715A4F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D6CD9">
        <w:rPr>
          <w:rFonts w:ascii="Times New Roman" w:hAnsi="Times New Roman" w:cs="Times New Roman"/>
          <w:bCs/>
          <w:sz w:val="24"/>
          <w:szCs w:val="24"/>
        </w:rPr>
        <w:t>013.345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kn odnosi na nedospjele obveze</w:t>
      </w:r>
      <w:r>
        <w:rPr>
          <w:rFonts w:ascii="Times New Roman" w:hAnsi="Times New Roman" w:cs="Times New Roman"/>
          <w:bCs/>
          <w:sz w:val="24"/>
          <w:szCs w:val="24"/>
        </w:rPr>
        <w:t xml:space="preserve"> (AOP278).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6C99" w:rsidRDefault="00836C99" w:rsidP="00525422">
      <w:pPr>
        <w:pStyle w:val="Style20"/>
        <w:widowControl/>
        <w:tabs>
          <w:tab w:val="left" w:pos="851"/>
        </w:tabs>
        <w:spacing w:line="276" w:lineRule="auto"/>
        <w:contextualSpacing/>
        <w:rPr>
          <w:rStyle w:val="FontStyle24"/>
          <w:spacing w:val="0"/>
        </w:rPr>
      </w:pPr>
    </w:p>
    <w:p w:rsidR="00CA0C87" w:rsidRDefault="00CA0C87" w:rsidP="005254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836C99" w:rsidRDefault="00836C99" w:rsidP="00CA0C8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AD6CD9">
        <w:rPr>
          <w:rFonts w:ascii="Times New Roman" w:hAnsi="Times New Roman" w:cs="Times New Roman"/>
          <w:b/>
        </w:rPr>
        <w:t>BILJEŠKA br. 6</w:t>
      </w:r>
      <w:r w:rsidR="00EB2FC4">
        <w:rPr>
          <w:rFonts w:ascii="Times New Roman" w:hAnsi="Times New Roman" w:cs="Times New Roman"/>
          <w:b/>
        </w:rPr>
        <w:t>7</w:t>
      </w:r>
      <w:r w:rsidRPr="00AD6CD9">
        <w:rPr>
          <w:rFonts w:ascii="Times New Roman" w:hAnsi="Times New Roman" w:cs="Times New Roman"/>
          <w:b/>
        </w:rPr>
        <w:t>.</w:t>
      </w:r>
    </w:p>
    <w:p w:rsidR="00CA0C87" w:rsidRDefault="00CA0C87" w:rsidP="00CA0C8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65284A" w:rsidRDefault="00836C99" w:rsidP="00CA0C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AD1">
        <w:rPr>
          <w:rFonts w:ascii="Times New Roman" w:hAnsi="Times New Roman" w:cs="Times New Roman"/>
          <w:b/>
          <w:bCs/>
          <w:sz w:val="24"/>
          <w:szCs w:val="24"/>
        </w:rPr>
        <w:t xml:space="preserve">Obveze za kredite i zajmove (AOP192) - 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65284A">
        <w:rPr>
          <w:rFonts w:ascii="Times New Roman" w:hAnsi="Times New Roman" w:cs="Times New Roman"/>
          <w:bCs/>
          <w:sz w:val="24"/>
          <w:szCs w:val="24"/>
        </w:rPr>
        <w:t>53.406.249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kn</w:t>
      </w:r>
      <w:r>
        <w:rPr>
          <w:rFonts w:ascii="Times New Roman" w:hAnsi="Times New Roman" w:cs="Times New Roman"/>
          <w:bCs/>
          <w:sz w:val="24"/>
          <w:szCs w:val="24"/>
        </w:rPr>
        <w:t xml:space="preserve"> i za</w:t>
      </w:r>
      <w:r w:rsidR="00AD6CD9">
        <w:rPr>
          <w:rFonts w:ascii="Times New Roman" w:hAnsi="Times New Roman" w:cs="Times New Roman"/>
          <w:bCs/>
          <w:sz w:val="24"/>
          <w:szCs w:val="24"/>
        </w:rPr>
        <w:t xml:space="preserve"> 10,5%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6CD9">
        <w:rPr>
          <w:rFonts w:ascii="Times New Roman" w:hAnsi="Times New Roman" w:cs="Times New Roman"/>
          <w:bCs/>
          <w:sz w:val="24"/>
          <w:szCs w:val="24"/>
        </w:rPr>
        <w:t>su manje</w:t>
      </w:r>
      <w:r>
        <w:rPr>
          <w:rFonts w:ascii="Times New Roman" w:hAnsi="Times New Roman" w:cs="Times New Roman"/>
          <w:bCs/>
          <w:sz w:val="24"/>
          <w:szCs w:val="24"/>
        </w:rPr>
        <w:t xml:space="preserve"> nego 201</w:t>
      </w:r>
      <w:r w:rsidR="0065284A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D6CD9">
        <w:rPr>
          <w:rFonts w:ascii="Times New Roman" w:hAnsi="Times New Roman" w:cs="Times New Roman"/>
          <w:bCs/>
          <w:sz w:val="24"/>
          <w:szCs w:val="24"/>
        </w:rPr>
        <w:t xml:space="preserve">godine iz razloga što se u </w:t>
      </w:r>
      <w:r w:rsidR="003C20C6" w:rsidRPr="00AD6CD9">
        <w:rPr>
          <w:rFonts w:ascii="Times New Roman" w:hAnsi="Times New Roman" w:cs="Times New Roman"/>
          <w:bCs/>
          <w:sz w:val="24"/>
          <w:szCs w:val="24"/>
        </w:rPr>
        <w:t>2019.</w:t>
      </w:r>
      <w:r w:rsidRPr="00AD6CD9">
        <w:rPr>
          <w:rFonts w:ascii="Times New Roman" w:hAnsi="Times New Roman" w:cs="Times New Roman"/>
          <w:bCs/>
          <w:sz w:val="24"/>
          <w:szCs w:val="24"/>
        </w:rPr>
        <w:t xml:space="preserve"> godini </w:t>
      </w:r>
      <w:r w:rsidR="00AD6CD9">
        <w:rPr>
          <w:rFonts w:ascii="Times New Roman" w:hAnsi="Times New Roman" w:cs="Times New Roman"/>
          <w:bCs/>
          <w:sz w:val="24"/>
          <w:szCs w:val="24"/>
        </w:rPr>
        <w:t>otplatilo 3.718.689 kn glavnice kredita te vratio zajam u iznosu od 2.650.000 kn.</w:t>
      </w:r>
    </w:p>
    <w:p w:rsidR="00836C99" w:rsidRDefault="00836C99" w:rsidP="00CA0C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Obveze</w:t>
      </w:r>
      <w:r w:rsidR="0084303D">
        <w:rPr>
          <w:rFonts w:ascii="Times New Roman" w:hAnsi="Times New Roman" w:cs="Times New Roman"/>
          <w:bCs/>
          <w:sz w:val="24"/>
          <w:szCs w:val="24"/>
        </w:rPr>
        <w:t xml:space="preserve"> su nedospjele, 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bCs/>
          <w:sz w:val="24"/>
          <w:szCs w:val="24"/>
        </w:rPr>
        <w:t>odnose se na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836C99" w:rsidRDefault="00836C99" w:rsidP="0095249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C99">
        <w:rPr>
          <w:rFonts w:ascii="Times New Roman" w:hAnsi="Times New Roman" w:cs="Times New Roman"/>
          <w:bCs/>
          <w:sz w:val="24"/>
          <w:szCs w:val="24"/>
        </w:rPr>
        <w:t xml:space="preserve">zaduženje kredita za OŠ Veli Vrh I faza u iznosu od </w:t>
      </w:r>
      <w:r w:rsidR="0065284A">
        <w:rPr>
          <w:rFonts w:ascii="Times New Roman" w:hAnsi="Times New Roman" w:cs="Times New Roman"/>
          <w:bCs/>
          <w:sz w:val="24"/>
          <w:szCs w:val="24"/>
        </w:rPr>
        <w:t>17.695.874</w:t>
      </w:r>
      <w:r w:rsidRPr="00836C99">
        <w:rPr>
          <w:rFonts w:ascii="Times New Roman" w:hAnsi="Times New Roman" w:cs="Times New Roman"/>
          <w:bCs/>
          <w:sz w:val="24"/>
          <w:szCs w:val="24"/>
        </w:rPr>
        <w:t xml:space="preserve"> kn i II faza u iznosu od </w:t>
      </w:r>
      <w:r w:rsidR="0065284A">
        <w:rPr>
          <w:rFonts w:ascii="Times New Roman" w:hAnsi="Times New Roman" w:cs="Times New Roman"/>
          <w:bCs/>
          <w:sz w:val="24"/>
          <w:szCs w:val="24"/>
        </w:rPr>
        <w:t>22.510.375</w:t>
      </w:r>
      <w:r w:rsidRPr="00836C99">
        <w:rPr>
          <w:rFonts w:ascii="Times New Roman" w:hAnsi="Times New Roman" w:cs="Times New Roman"/>
          <w:bCs/>
          <w:sz w:val="24"/>
          <w:szCs w:val="24"/>
        </w:rPr>
        <w:t xml:space="preserve"> kn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836C99" w:rsidRPr="00836C99" w:rsidRDefault="00836C99" w:rsidP="0095249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zaduženje za financijski zajam</w:t>
      </w:r>
      <w:r w:rsidRPr="00836C99">
        <w:rPr>
          <w:rFonts w:ascii="Times New Roman" w:hAnsi="Times New Roman" w:cs="Times New Roman"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sz w:val="24"/>
          <w:szCs w:val="24"/>
        </w:rPr>
        <w:t>za financiranje izgradnje kružnog toka uz prateću komunalnu infrastrukturu na cesti Prekomorskih brigada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5284A">
        <w:rPr>
          <w:rFonts w:ascii="Times New Roman" w:hAnsi="Times New Roman" w:cs="Times New Roman"/>
          <w:sz w:val="24"/>
          <w:szCs w:val="24"/>
        </w:rPr>
        <w:t>13.200.000</w:t>
      </w:r>
      <w:r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836C99" w:rsidRPr="00836C99" w:rsidRDefault="00836C99" w:rsidP="0009162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6C99" w:rsidRDefault="00836C99" w:rsidP="00CA0C8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B55522">
        <w:rPr>
          <w:rFonts w:ascii="Times New Roman" w:hAnsi="Times New Roman" w:cs="Times New Roman"/>
          <w:b/>
        </w:rPr>
        <w:lastRenderedPageBreak/>
        <w:t xml:space="preserve">BILJEŠKA br. </w:t>
      </w:r>
      <w:r w:rsidR="00EB2FC4">
        <w:rPr>
          <w:rFonts w:ascii="Times New Roman" w:hAnsi="Times New Roman" w:cs="Times New Roman"/>
          <w:b/>
        </w:rPr>
        <w:t>68</w:t>
      </w:r>
      <w:r w:rsidRPr="00B55522">
        <w:rPr>
          <w:rFonts w:ascii="Times New Roman" w:hAnsi="Times New Roman" w:cs="Times New Roman"/>
          <w:b/>
        </w:rPr>
        <w:t>.</w:t>
      </w:r>
    </w:p>
    <w:p w:rsidR="0095249B" w:rsidRDefault="0095249B" w:rsidP="00CA0C8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836C99" w:rsidRDefault="00836C99" w:rsidP="00CA0C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Vlastit</w:t>
      </w:r>
      <w:r w:rsidR="00B55522">
        <w:rPr>
          <w:rFonts w:ascii="Times New Roman" w:hAnsi="Times New Roman" w:cs="Times New Roman"/>
          <w:bCs/>
          <w:sz w:val="24"/>
          <w:szCs w:val="24"/>
        </w:rPr>
        <w:t>i izvori iz proračuna (AOP226) -</w:t>
      </w:r>
      <w:r>
        <w:rPr>
          <w:rFonts w:ascii="Times New Roman" w:hAnsi="Times New Roman" w:cs="Times New Roman"/>
          <w:bCs/>
          <w:sz w:val="24"/>
          <w:szCs w:val="24"/>
        </w:rPr>
        <w:t xml:space="preserve"> iznos</w:t>
      </w:r>
      <w:r w:rsidR="00177F63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F14">
        <w:rPr>
          <w:rFonts w:ascii="Times New Roman" w:hAnsi="Times New Roman" w:cs="Times New Roman"/>
          <w:bCs/>
          <w:sz w:val="24"/>
          <w:szCs w:val="24"/>
        </w:rPr>
        <w:t>6.794.527.222</w:t>
      </w:r>
      <w:r>
        <w:rPr>
          <w:rFonts w:ascii="Times New Roman" w:hAnsi="Times New Roman" w:cs="Times New Roman"/>
          <w:bCs/>
          <w:sz w:val="24"/>
          <w:szCs w:val="24"/>
        </w:rPr>
        <w:t xml:space="preserve"> kn i jednak</w:t>
      </w:r>
      <w:r w:rsidR="00177F63">
        <w:rPr>
          <w:rFonts w:ascii="Times New Roman" w:hAnsi="Times New Roman" w:cs="Times New Roman"/>
          <w:bCs/>
          <w:sz w:val="24"/>
          <w:szCs w:val="24"/>
        </w:rPr>
        <w:t>i su</w:t>
      </w:r>
      <w:r>
        <w:rPr>
          <w:rFonts w:ascii="Times New Roman" w:hAnsi="Times New Roman" w:cs="Times New Roman"/>
          <w:bCs/>
          <w:sz w:val="24"/>
          <w:szCs w:val="24"/>
        </w:rPr>
        <w:t xml:space="preserve"> ukupno iskazanoj nefinancijskoj imovini (AOP002)</w:t>
      </w:r>
      <w:r w:rsidR="00177F63">
        <w:rPr>
          <w:rFonts w:ascii="Times New Roman" w:hAnsi="Times New Roman" w:cs="Times New Roman"/>
          <w:bCs/>
          <w:sz w:val="24"/>
          <w:szCs w:val="24"/>
        </w:rPr>
        <w:t>.</w:t>
      </w:r>
    </w:p>
    <w:p w:rsidR="00836C99" w:rsidRDefault="00836C99" w:rsidP="00CA0C8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0C87" w:rsidRDefault="00CA0C87" w:rsidP="00CA0C8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6C99" w:rsidRDefault="00836C99" w:rsidP="00CA0C87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526AD1">
        <w:rPr>
          <w:rFonts w:ascii="Times New Roman" w:hAnsi="Times New Roman" w:cs="Times New Roman"/>
          <w:b/>
        </w:rPr>
        <w:t xml:space="preserve">BILJEŠKA br. </w:t>
      </w:r>
      <w:r w:rsidR="00EB2FC4">
        <w:rPr>
          <w:rFonts w:ascii="Times New Roman" w:hAnsi="Times New Roman" w:cs="Times New Roman"/>
          <w:b/>
        </w:rPr>
        <w:t>69</w:t>
      </w:r>
      <w:r w:rsidRPr="00526AD1">
        <w:rPr>
          <w:rFonts w:ascii="Times New Roman" w:hAnsi="Times New Roman" w:cs="Times New Roman"/>
          <w:b/>
        </w:rPr>
        <w:t>.</w:t>
      </w:r>
    </w:p>
    <w:p w:rsidR="00836C99" w:rsidRDefault="00836C99" w:rsidP="00CA0C87">
      <w:pPr>
        <w:pStyle w:val="Style20"/>
        <w:widowControl/>
        <w:tabs>
          <w:tab w:val="left" w:pos="851"/>
        </w:tabs>
        <w:spacing w:line="276" w:lineRule="auto"/>
        <w:contextualSpacing/>
        <w:rPr>
          <w:rStyle w:val="FontStyle24"/>
          <w:spacing w:val="0"/>
        </w:rPr>
      </w:pPr>
    </w:p>
    <w:p w:rsidR="00836C99" w:rsidRDefault="00836C99" w:rsidP="00CA0C87">
      <w:pPr>
        <w:pStyle w:val="Style20"/>
        <w:widowControl/>
        <w:tabs>
          <w:tab w:val="left" w:pos="851"/>
        </w:tabs>
        <w:spacing w:line="276" w:lineRule="auto"/>
        <w:contextualSpacing/>
        <w:rPr>
          <w:rStyle w:val="FontStyle24"/>
          <w:spacing w:val="0"/>
        </w:rPr>
      </w:pPr>
      <w:r>
        <w:rPr>
          <w:rStyle w:val="FontStyle24"/>
          <w:spacing w:val="0"/>
        </w:rPr>
        <w:t>Rezultat poslovanja na osnovnim računima po kategorijama</w:t>
      </w:r>
      <w:r w:rsidRPr="00836C99">
        <w:rPr>
          <w:rStyle w:val="FontStyle24"/>
          <w:spacing w:val="0"/>
        </w:rPr>
        <w:t xml:space="preserve"> </w:t>
      </w:r>
      <w:r>
        <w:rPr>
          <w:rStyle w:val="FontStyle24"/>
          <w:spacing w:val="0"/>
        </w:rPr>
        <w:t xml:space="preserve">iskazan je nakon izvršene obvezne korekcije za kapitalne prijenose ostvarene tijekom </w:t>
      </w:r>
      <w:r w:rsidR="003C20C6">
        <w:rPr>
          <w:rStyle w:val="FontStyle24"/>
          <w:spacing w:val="0"/>
        </w:rPr>
        <w:t>2019.</w:t>
      </w:r>
      <w:r>
        <w:rPr>
          <w:rStyle w:val="FontStyle24"/>
          <w:spacing w:val="0"/>
        </w:rPr>
        <w:t xml:space="preserve"> godine.</w:t>
      </w:r>
    </w:p>
    <w:p w:rsidR="0095249B" w:rsidRDefault="0095249B" w:rsidP="0095249B">
      <w:pPr>
        <w:pStyle w:val="Style20"/>
        <w:widowControl/>
        <w:tabs>
          <w:tab w:val="left" w:pos="851"/>
        </w:tabs>
        <w:spacing w:line="276" w:lineRule="auto"/>
        <w:contextualSpacing/>
        <w:rPr>
          <w:rStyle w:val="FontStyle24"/>
          <w:spacing w:val="0"/>
        </w:rPr>
      </w:pPr>
    </w:p>
    <w:tbl>
      <w:tblPr>
        <w:tblW w:w="8280" w:type="dxa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0"/>
        <w:gridCol w:w="2224"/>
        <w:gridCol w:w="2268"/>
        <w:gridCol w:w="28"/>
      </w:tblGrid>
      <w:tr w:rsidR="00AD6CD9" w:rsidRPr="00836C99" w:rsidTr="00AD6CD9">
        <w:trPr>
          <w:trHeight w:val="427"/>
          <w:jc w:val="center"/>
        </w:trPr>
        <w:tc>
          <w:tcPr>
            <w:tcW w:w="3760" w:type="dxa"/>
            <w:shd w:val="clear" w:color="auto" w:fill="D9D9D9" w:themeFill="background1" w:themeFillShade="D9"/>
            <w:noWrap/>
            <w:vAlign w:val="center"/>
            <w:hideMark/>
          </w:tcPr>
          <w:p w:rsidR="00AD6CD9" w:rsidRPr="00836C99" w:rsidRDefault="00AD6CD9" w:rsidP="007D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36C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Naziv računa</w:t>
            </w:r>
          </w:p>
        </w:tc>
        <w:tc>
          <w:tcPr>
            <w:tcW w:w="2224" w:type="dxa"/>
            <w:shd w:val="clear" w:color="auto" w:fill="D9D9D9" w:themeFill="background1" w:themeFillShade="D9"/>
            <w:noWrap/>
            <w:vAlign w:val="center"/>
            <w:hideMark/>
          </w:tcPr>
          <w:p w:rsidR="00AD6CD9" w:rsidRPr="00836C99" w:rsidRDefault="00AD6CD9" w:rsidP="007D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36C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Iznos prije korekcije</w:t>
            </w:r>
          </w:p>
        </w:tc>
        <w:tc>
          <w:tcPr>
            <w:tcW w:w="229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AD6CD9" w:rsidRPr="00836C99" w:rsidRDefault="00AD6CD9" w:rsidP="007D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36C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Iznos nakon korekcije</w:t>
            </w:r>
          </w:p>
        </w:tc>
      </w:tr>
      <w:tr w:rsidR="00AD6CD9" w:rsidRPr="00836C99" w:rsidTr="00AD6CD9">
        <w:trPr>
          <w:trHeight w:val="24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AD6CD9" w:rsidRPr="00836C99" w:rsidRDefault="00AD6CD9" w:rsidP="00836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3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Višak prihoda poslovanja</w:t>
            </w: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AD6CD9" w:rsidRPr="00836C99" w:rsidRDefault="00AD6CD9" w:rsidP="0083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186.709.024</w:t>
            </w:r>
          </w:p>
        </w:tc>
        <w:tc>
          <w:tcPr>
            <w:tcW w:w="2296" w:type="dxa"/>
            <w:gridSpan w:val="2"/>
            <w:shd w:val="clear" w:color="auto" w:fill="auto"/>
            <w:noWrap/>
            <w:vAlign w:val="bottom"/>
            <w:hideMark/>
          </w:tcPr>
          <w:p w:rsidR="00AD6CD9" w:rsidRPr="00836C99" w:rsidRDefault="00AD6CD9" w:rsidP="0083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199.037.895</w:t>
            </w:r>
          </w:p>
        </w:tc>
      </w:tr>
      <w:tr w:rsidR="00AD6CD9" w:rsidRPr="00836C99" w:rsidTr="00AD6CD9">
        <w:trPr>
          <w:trHeight w:val="24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AD6CD9" w:rsidRPr="00836C99" w:rsidRDefault="00AD6CD9" w:rsidP="00836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3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Manjak prihoda od nefinancijske imovine</w:t>
            </w: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AD6CD9" w:rsidRPr="00836C99" w:rsidRDefault="00AD6CD9" w:rsidP="0083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142.638.233</w:t>
            </w:r>
          </w:p>
        </w:tc>
        <w:tc>
          <w:tcPr>
            <w:tcW w:w="2296" w:type="dxa"/>
            <w:gridSpan w:val="2"/>
            <w:shd w:val="clear" w:color="auto" w:fill="auto"/>
            <w:noWrap/>
            <w:vAlign w:val="bottom"/>
            <w:hideMark/>
          </w:tcPr>
          <w:p w:rsidR="00AD6CD9" w:rsidRPr="00836C99" w:rsidRDefault="00AD6CD9" w:rsidP="0083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161.335.793</w:t>
            </w:r>
          </w:p>
        </w:tc>
      </w:tr>
      <w:tr w:rsidR="00AD6CD9" w:rsidRPr="00836C99" w:rsidTr="00AD6CD9">
        <w:trPr>
          <w:trHeight w:val="24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AD6CD9" w:rsidRPr="00836C99" w:rsidRDefault="00AD6CD9" w:rsidP="00836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Manjak</w:t>
            </w:r>
            <w:r w:rsidRPr="0083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primitaka od financijske imovine</w:t>
            </w: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AD6CD9" w:rsidRPr="00836C99" w:rsidRDefault="00AD6CD9" w:rsidP="0083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2.252.906</w:t>
            </w:r>
          </w:p>
        </w:tc>
        <w:tc>
          <w:tcPr>
            <w:tcW w:w="2296" w:type="dxa"/>
            <w:gridSpan w:val="2"/>
            <w:shd w:val="clear" w:color="auto" w:fill="auto"/>
            <w:noWrap/>
            <w:vAlign w:val="bottom"/>
            <w:hideMark/>
          </w:tcPr>
          <w:p w:rsidR="00AD6CD9" w:rsidRPr="00836C99" w:rsidRDefault="00AD6CD9" w:rsidP="00AD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AD6CD9" w:rsidRPr="00836C99" w:rsidTr="00AD6CD9">
        <w:trPr>
          <w:trHeight w:val="24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AD6CD9" w:rsidRDefault="00AD6CD9" w:rsidP="00836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Višak</w:t>
            </w:r>
            <w:r w:rsidRPr="0083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primitaka od financijske imovine</w:t>
            </w: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AD6CD9" w:rsidRDefault="00AD6CD9" w:rsidP="0083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296" w:type="dxa"/>
            <w:gridSpan w:val="2"/>
            <w:shd w:val="clear" w:color="auto" w:fill="auto"/>
            <w:noWrap/>
            <w:vAlign w:val="bottom"/>
            <w:hideMark/>
          </w:tcPr>
          <w:p w:rsidR="00AD6CD9" w:rsidRPr="00836C99" w:rsidRDefault="00AD6CD9" w:rsidP="0083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4.115.783</w:t>
            </w:r>
          </w:p>
        </w:tc>
      </w:tr>
      <w:tr w:rsidR="00AD6CD9" w:rsidRPr="00836C99" w:rsidTr="00AD6CD9">
        <w:trPr>
          <w:gridAfter w:val="1"/>
          <w:wAfter w:w="28" w:type="dxa"/>
          <w:trHeight w:val="373"/>
          <w:jc w:val="center"/>
        </w:trPr>
        <w:tc>
          <w:tcPr>
            <w:tcW w:w="598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AD6CD9" w:rsidRPr="00836C99" w:rsidRDefault="00AD6CD9" w:rsidP="007D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41.817.885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center"/>
            <w:hideMark/>
          </w:tcPr>
          <w:p w:rsidR="00AD6CD9" w:rsidRPr="00836C99" w:rsidRDefault="00AD6CD9" w:rsidP="007D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41.817.885</w:t>
            </w:r>
          </w:p>
        </w:tc>
      </w:tr>
    </w:tbl>
    <w:p w:rsidR="00836C99" w:rsidRDefault="00836C99" w:rsidP="00CA0C87">
      <w:pPr>
        <w:pStyle w:val="Style20"/>
        <w:widowControl/>
        <w:tabs>
          <w:tab w:val="left" w:pos="851"/>
        </w:tabs>
        <w:spacing w:line="276" w:lineRule="auto"/>
        <w:contextualSpacing/>
        <w:rPr>
          <w:rFonts w:ascii="Times New Roman" w:hAnsi="Times New Roman" w:cs="Times New Roman"/>
        </w:rPr>
      </w:pPr>
    </w:p>
    <w:p w:rsidR="00CA0C87" w:rsidRDefault="00CA0C87" w:rsidP="00CA0C87">
      <w:pPr>
        <w:pStyle w:val="Style20"/>
        <w:widowControl/>
        <w:tabs>
          <w:tab w:val="left" w:pos="851"/>
        </w:tabs>
        <w:spacing w:line="276" w:lineRule="auto"/>
        <w:contextualSpacing/>
        <w:rPr>
          <w:rFonts w:ascii="Times New Roman" w:hAnsi="Times New Roman" w:cs="Times New Roman"/>
        </w:rPr>
      </w:pPr>
    </w:p>
    <w:p w:rsidR="00091621" w:rsidRDefault="00B55522" w:rsidP="00CA0C87">
      <w:pPr>
        <w:pStyle w:val="Style20"/>
        <w:widowControl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BILJEŠKA br. 7</w:t>
      </w:r>
      <w:r w:rsidR="00EB2FC4">
        <w:rPr>
          <w:rFonts w:ascii="Times New Roman" w:hAnsi="Times New Roman" w:cs="Times New Roman"/>
          <w:b/>
        </w:rPr>
        <w:t>0</w:t>
      </w:r>
      <w:r w:rsidR="00091621" w:rsidRPr="00B55522">
        <w:rPr>
          <w:rFonts w:ascii="Times New Roman" w:hAnsi="Times New Roman" w:cs="Times New Roman"/>
          <w:b/>
        </w:rPr>
        <w:t>.</w:t>
      </w:r>
    </w:p>
    <w:p w:rsidR="00091621" w:rsidRPr="00526AD1" w:rsidRDefault="00091621" w:rsidP="00091621">
      <w:pPr>
        <w:pStyle w:val="Style20"/>
        <w:widowControl/>
        <w:spacing w:line="240" w:lineRule="auto"/>
        <w:rPr>
          <w:rFonts w:ascii="Times New Roman" w:hAnsi="Times New Roman" w:cs="Times New Roman"/>
          <w:b/>
        </w:rPr>
      </w:pPr>
    </w:p>
    <w:p w:rsidR="00091621" w:rsidRPr="00177F63" w:rsidRDefault="00177F63" w:rsidP="00952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Izvanbilančni z</w:t>
      </w:r>
      <w:r w:rsidR="00091621" w:rsidRPr="00177F63">
        <w:rPr>
          <w:rFonts w:ascii="Times New Roman" w:hAnsi="Times New Roman" w:cs="Times New Roman"/>
          <w:b/>
          <w:sz w:val="24"/>
          <w:szCs w:val="24"/>
        </w:rPr>
        <w:t xml:space="preserve">apisi (AOP244/255) -  </w:t>
      </w:r>
      <w:r w:rsidR="00091621" w:rsidRPr="00177F63">
        <w:rPr>
          <w:rFonts w:ascii="Times New Roman" w:hAnsi="Times New Roman" w:cs="Times New Roman"/>
          <w:sz w:val="24"/>
          <w:szCs w:val="24"/>
        </w:rPr>
        <w:t xml:space="preserve">Sadrže podatke koji nisu uključeni u bilančne kategorije, ali u određenim okolnostima i/ili s vremenskim pomakom iskazani podaci mogu imati značajan utjecaj na uspješnost poslovanja i vrijednost neto imovine, a iznose </w:t>
      </w:r>
      <w:r w:rsidR="00C03F14">
        <w:rPr>
          <w:rFonts w:ascii="Times New Roman" w:hAnsi="Times New Roman" w:cs="Times New Roman"/>
          <w:sz w:val="24"/>
          <w:szCs w:val="24"/>
        </w:rPr>
        <w:t>741.477.263</w:t>
      </w:r>
      <w:r w:rsidR="00091621" w:rsidRPr="00177F63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091621" w:rsidRDefault="00091621" w:rsidP="00091621">
      <w:pPr>
        <w:pStyle w:val="Style20"/>
        <w:widowControl/>
        <w:spacing w:line="240" w:lineRule="auto"/>
        <w:contextualSpacing/>
        <w:rPr>
          <w:rFonts w:ascii="Times New Roman" w:hAnsi="Times New Roman" w:cs="Times New Roman"/>
          <w:b/>
        </w:rPr>
      </w:pPr>
    </w:p>
    <w:p w:rsidR="00091621" w:rsidRDefault="00091621" w:rsidP="00091621">
      <w:pPr>
        <w:pStyle w:val="Style20"/>
        <w:widowControl/>
        <w:spacing w:line="240" w:lineRule="auto"/>
        <w:contextualSpacing/>
        <w:rPr>
          <w:rFonts w:ascii="Times New Roman" w:hAnsi="Times New Roman" w:cs="Times New Roman"/>
          <w:b/>
        </w:rPr>
      </w:pPr>
    </w:p>
    <w:p w:rsidR="00091621" w:rsidRDefault="00091621" w:rsidP="00091621">
      <w:pPr>
        <w:pStyle w:val="Style20"/>
        <w:widowControl/>
        <w:spacing w:line="240" w:lineRule="auto"/>
        <w:contextualSpacing/>
        <w:rPr>
          <w:rFonts w:ascii="Times New Roman" w:hAnsi="Times New Roman" w:cs="Times New Roman"/>
          <w:b/>
        </w:rPr>
      </w:pPr>
      <w:r w:rsidRPr="00B55522">
        <w:rPr>
          <w:rFonts w:ascii="Times New Roman" w:hAnsi="Times New Roman" w:cs="Times New Roman"/>
          <w:b/>
        </w:rPr>
        <w:t xml:space="preserve">BILJEŠKA br. </w:t>
      </w:r>
      <w:r w:rsidR="00B55522" w:rsidRPr="00B55522">
        <w:rPr>
          <w:rFonts w:ascii="Times New Roman" w:hAnsi="Times New Roman" w:cs="Times New Roman"/>
          <w:b/>
        </w:rPr>
        <w:t>7</w:t>
      </w:r>
      <w:r w:rsidR="00EB2FC4">
        <w:rPr>
          <w:rFonts w:ascii="Times New Roman" w:hAnsi="Times New Roman" w:cs="Times New Roman"/>
          <w:b/>
        </w:rPr>
        <w:t>1</w:t>
      </w:r>
      <w:r w:rsidRPr="00B55522">
        <w:rPr>
          <w:rFonts w:ascii="Times New Roman" w:hAnsi="Times New Roman" w:cs="Times New Roman"/>
          <w:b/>
        </w:rPr>
        <w:t>.</w:t>
      </w:r>
    </w:p>
    <w:p w:rsidR="00091621" w:rsidRPr="00526AD1" w:rsidRDefault="00091621" w:rsidP="00091621">
      <w:pPr>
        <w:pStyle w:val="Style20"/>
        <w:widowControl/>
        <w:spacing w:line="240" w:lineRule="auto"/>
        <w:contextualSpacing/>
        <w:rPr>
          <w:rFonts w:ascii="Times New Roman" w:hAnsi="Times New Roman" w:cs="Times New Roman"/>
          <w:b/>
        </w:rPr>
      </w:pPr>
    </w:p>
    <w:p w:rsidR="00091621" w:rsidRDefault="00091621" w:rsidP="0095249B">
      <w:pPr>
        <w:pStyle w:val="Style4"/>
        <w:widowControl/>
        <w:spacing w:line="276" w:lineRule="auto"/>
        <w:ind w:firstLine="0"/>
        <w:contextualSpacing/>
        <w:rPr>
          <w:rStyle w:val="FontStyle24"/>
          <w:spacing w:val="0"/>
        </w:rPr>
      </w:pPr>
      <w:r>
        <w:rPr>
          <w:rStyle w:val="FontStyle24"/>
          <w:spacing w:val="0"/>
        </w:rPr>
        <w:t>T</w:t>
      </w:r>
      <w:r w:rsidRPr="00526AD1">
        <w:rPr>
          <w:rStyle w:val="FontStyle24"/>
          <w:spacing w:val="0"/>
        </w:rPr>
        <w:t xml:space="preserve">uđa imovina dobivena na korištenje </w:t>
      </w:r>
      <w:r>
        <w:rPr>
          <w:rStyle w:val="FontStyle24"/>
          <w:spacing w:val="0"/>
        </w:rPr>
        <w:t>- č</w:t>
      </w:r>
      <w:r w:rsidRPr="00526AD1">
        <w:rPr>
          <w:rStyle w:val="FontStyle24"/>
          <w:spacing w:val="0"/>
        </w:rPr>
        <w:t xml:space="preserve">ini imovinu koju Grad ima u najmu evidentirana je sukladno čl. 85. Pravilnika o proračunskom računovodstvu i računskom planu, a temeljem sklopljenih Ugovora između </w:t>
      </w:r>
      <w:r>
        <w:rPr>
          <w:rStyle w:val="FontStyle24"/>
          <w:spacing w:val="0"/>
        </w:rPr>
        <w:t>Grada i davaoca imovine u najam.</w:t>
      </w:r>
    </w:p>
    <w:p w:rsidR="00CA0C87" w:rsidRDefault="00CA0C87" w:rsidP="0095249B">
      <w:pPr>
        <w:pStyle w:val="Style4"/>
        <w:widowControl/>
        <w:spacing w:line="276" w:lineRule="auto"/>
        <w:ind w:firstLine="0"/>
        <w:contextualSpacing/>
        <w:rPr>
          <w:rStyle w:val="FontStyle24"/>
          <w:spacing w:val="0"/>
        </w:rPr>
      </w:pPr>
    </w:p>
    <w:tbl>
      <w:tblPr>
        <w:tblW w:w="0" w:type="auto"/>
        <w:jc w:val="center"/>
        <w:tblInd w:w="-1098" w:type="dxa"/>
        <w:tblLook w:val="04A0"/>
      </w:tblPr>
      <w:tblGrid>
        <w:gridCol w:w="2091"/>
        <w:gridCol w:w="1801"/>
        <w:gridCol w:w="2000"/>
      </w:tblGrid>
      <w:tr w:rsidR="00C03F14" w:rsidRPr="007D4F80" w:rsidTr="00C03F14">
        <w:trPr>
          <w:trHeight w:val="431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C03F14" w:rsidRPr="007D4F80" w:rsidRDefault="00C03F14" w:rsidP="00C0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4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Odjeljak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03F14" w:rsidRDefault="00C03F14" w:rsidP="00C0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C03F14" w:rsidRPr="007D4F80" w:rsidRDefault="00C03F14" w:rsidP="00C0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4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Naziv najma</w:t>
            </w:r>
          </w:p>
          <w:p w:rsidR="00C03F14" w:rsidRPr="007D4F80" w:rsidRDefault="00C03F14" w:rsidP="00C0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03F14" w:rsidRPr="007D4F80" w:rsidRDefault="00C03F14" w:rsidP="007D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4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</w:tr>
      <w:tr w:rsidR="00801AE3" w:rsidRPr="007D4F80" w:rsidTr="00C03F14">
        <w:trPr>
          <w:trHeight w:val="213"/>
          <w:jc w:val="center"/>
        </w:trPr>
        <w:tc>
          <w:tcPr>
            <w:tcW w:w="2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E3" w:rsidRPr="007D4F80" w:rsidRDefault="00801AE3" w:rsidP="00C0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4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AE3" w:rsidRPr="007D4F80" w:rsidRDefault="007D4F80" w:rsidP="005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Informatička oprema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AE3" w:rsidRPr="007D4F80" w:rsidRDefault="00801AE3" w:rsidP="00586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4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232.860</w:t>
            </w:r>
          </w:p>
        </w:tc>
      </w:tr>
      <w:tr w:rsidR="00C03F14" w:rsidRPr="007D4F80" w:rsidTr="00C03F14">
        <w:trPr>
          <w:trHeight w:val="131"/>
          <w:jc w:val="center"/>
        </w:trPr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14" w:rsidRPr="007D4F80" w:rsidRDefault="00C03F14" w:rsidP="005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14" w:rsidRPr="007D4F80" w:rsidRDefault="00C03F14" w:rsidP="00C03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4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oftver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14" w:rsidRPr="007D4F80" w:rsidRDefault="00C03F14" w:rsidP="00586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4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105.000</w:t>
            </w:r>
          </w:p>
        </w:tc>
      </w:tr>
      <w:tr w:rsidR="00801AE3" w:rsidRPr="007D4F80" w:rsidTr="00C03F14">
        <w:trPr>
          <w:trHeight w:val="240"/>
          <w:jc w:val="center"/>
        </w:trPr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AE3" w:rsidRPr="007D4F80" w:rsidRDefault="00801AE3" w:rsidP="005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AE3" w:rsidRPr="007D4F80" w:rsidRDefault="007D4F80" w:rsidP="005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Osobni automobili</w:t>
            </w:r>
            <w:r w:rsidR="00801AE3" w:rsidRPr="007D4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- 7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AE3" w:rsidRPr="007D4F80" w:rsidRDefault="00C03F14" w:rsidP="00586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1.011.504</w:t>
            </w:r>
          </w:p>
        </w:tc>
      </w:tr>
      <w:tr w:rsidR="00801AE3" w:rsidRPr="007D4F80" w:rsidTr="00C03F14">
        <w:trPr>
          <w:trHeight w:val="240"/>
          <w:jc w:val="center"/>
        </w:trPr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AE3" w:rsidRPr="007D4F80" w:rsidRDefault="00801AE3" w:rsidP="005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AE3" w:rsidRPr="007D4F80" w:rsidRDefault="007D4F80" w:rsidP="005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Osobni automobili</w:t>
            </w:r>
            <w:r w:rsidR="00801AE3" w:rsidRPr="007D4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- 4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AE3" w:rsidRPr="007D4F80" w:rsidRDefault="00801AE3" w:rsidP="00586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4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391.241</w:t>
            </w:r>
          </w:p>
        </w:tc>
      </w:tr>
      <w:tr w:rsidR="00C03F14" w:rsidRPr="007D4F80" w:rsidTr="00C03F14">
        <w:trPr>
          <w:trHeight w:val="240"/>
          <w:jc w:val="center"/>
        </w:trPr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14" w:rsidRPr="007D4F80" w:rsidRDefault="00C03F14" w:rsidP="005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14" w:rsidRPr="007D4F80" w:rsidRDefault="00C03F14" w:rsidP="00C03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Fotokopirni uređaji</w:t>
            </w:r>
            <w:r w:rsidRPr="007D4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F14" w:rsidRPr="007D4F80" w:rsidRDefault="00C03F14" w:rsidP="00586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135.000</w:t>
            </w:r>
          </w:p>
        </w:tc>
      </w:tr>
      <w:tr w:rsidR="00C03F14" w:rsidRPr="007D4F80" w:rsidTr="00C03F14">
        <w:trPr>
          <w:trHeight w:val="240"/>
          <w:jc w:val="center"/>
        </w:trPr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14" w:rsidRPr="007D4F80" w:rsidRDefault="00C03F14" w:rsidP="005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14" w:rsidRPr="007D4F80" w:rsidRDefault="00C03F14" w:rsidP="00C03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Skloništa</w:t>
            </w:r>
            <w:r w:rsidRPr="007D4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14" w:rsidRPr="007D4F80" w:rsidRDefault="00C03F14" w:rsidP="00586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4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12.713.280</w:t>
            </w:r>
          </w:p>
        </w:tc>
      </w:tr>
      <w:tr w:rsidR="00801AE3" w:rsidRPr="007D4F80" w:rsidTr="00C03F14">
        <w:trPr>
          <w:trHeight w:val="300"/>
          <w:jc w:val="center"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01AE3" w:rsidRPr="007D4F80" w:rsidRDefault="00801AE3" w:rsidP="00586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4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Sveukupno</w:t>
            </w:r>
            <w:r w:rsidR="00EB2F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7D4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9911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01AE3" w:rsidRPr="007D4F80" w:rsidRDefault="00C03F14" w:rsidP="00586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14.588.885</w:t>
            </w:r>
          </w:p>
        </w:tc>
      </w:tr>
    </w:tbl>
    <w:p w:rsidR="002D7391" w:rsidRDefault="002D7391" w:rsidP="0095249B">
      <w:pPr>
        <w:pStyle w:val="Style4"/>
        <w:widowControl/>
        <w:spacing w:line="276" w:lineRule="auto"/>
        <w:ind w:firstLine="0"/>
        <w:contextualSpacing/>
        <w:rPr>
          <w:rStyle w:val="FontStyle24"/>
          <w:spacing w:val="0"/>
        </w:rPr>
      </w:pPr>
    </w:p>
    <w:p w:rsidR="00853D5A" w:rsidRDefault="00801AE3" w:rsidP="00853D5A">
      <w:pPr>
        <w:pStyle w:val="Style4"/>
        <w:widowControl/>
        <w:spacing w:line="276" w:lineRule="auto"/>
        <w:ind w:firstLine="0"/>
        <w:contextualSpacing/>
        <w:rPr>
          <w:rStyle w:val="FontStyle24"/>
          <w:spacing w:val="0"/>
        </w:rPr>
      </w:pPr>
      <w:r>
        <w:rPr>
          <w:rStyle w:val="FontStyle24"/>
          <w:spacing w:val="0"/>
        </w:rPr>
        <w:t>Tuđu imovinu dobivenu na korištenje čini:</w:t>
      </w:r>
    </w:p>
    <w:p w:rsidR="00801AE3" w:rsidRPr="00526AD1" w:rsidRDefault="00801AE3" w:rsidP="00853D5A">
      <w:pPr>
        <w:pStyle w:val="Style4"/>
        <w:widowControl/>
        <w:numPr>
          <w:ilvl w:val="0"/>
          <w:numId w:val="20"/>
        </w:numPr>
        <w:spacing w:line="276" w:lineRule="auto"/>
        <w:contextualSpacing/>
        <w:rPr>
          <w:rStyle w:val="FontStyle24"/>
          <w:spacing w:val="0"/>
        </w:rPr>
      </w:pPr>
      <w:r w:rsidRPr="00526AD1">
        <w:rPr>
          <w:rStyle w:val="FontStyle24"/>
          <w:spacing w:val="0"/>
        </w:rPr>
        <w:lastRenderedPageBreak/>
        <w:t>informatička oprema</w:t>
      </w:r>
      <w:r w:rsidR="00B55522">
        <w:rPr>
          <w:rStyle w:val="FontStyle24"/>
          <w:spacing w:val="0"/>
        </w:rPr>
        <w:t>,</w:t>
      </w:r>
      <w:r w:rsidRPr="00526AD1">
        <w:rPr>
          <w:rStyle w:val="FontStyle24"/>
          <w:spacing w:val="0"/>
        </w:rPr>
        <w:t xml:space="preserve"> 200 računala i monitora, bez operativnog sustava sveukupne vrijednosti </w:t>
      </w:r>
      <w:r>
        <w:rPr>
          <w:rStyle w:val="FontStyle24"/>
          <w:spacing w:val="0"/>
        </w:rPr>
        <w:t>228.345</w:t>
      </w:r>
      <w:r w:rsidRPr="00526AD1">
        <w:rPr>
          <w:rStyle w:val="FontStyle24"/>
          <w:spacing w:val="0"/>
        </w:rPr>
        <w:t xml:space="preserve"> kn, za službene potrebe Grada</w:t>
      </w:r>
      <w:r w:rsidR="00177F63">
        <w:rPr>
          <w:rStyle w:val="FontStyle24"/>
          <w:spacing w:val="0"/>
        </w:rPr>
        <w:t xml:space="preserve"> Pule sukladno Ugovoru o najmu te najam</w:t>
      </w:r>
      <w:r w:rsidRPr="00526AD1">
        <w:rPr>
          <w:rStyle w:val="FontStyle24"/>
          <w:spacing w:val="0"/>
        </w:rPr>
        <w:t xml:space="preserve"> servera sveukupne vrijednosti 4.</w:t>
      </w:r>
      <w:r>
        <w:rPr>
          <w:rStyle w:val="FontStyle24"/>
          <w:spacing w:val="0"/>
        </w:rPr>
        <w:t>515</w:t>
      </w:r>
      <w:r w:rsidRPr="00526AD1">
        <w:rPr>
          <w:rStyle w:val="FontStyle24"/>
          <w:spacing w:val="0"/>
        </w:rPr>
        <w:t xml:space="preserve"> kn sukladno Ugovoru o najmu informatičke opreme,</w:t>
      </w:r>
    </w:p>
    <w:p w:rsidR="00091621" w:rsidRPr="00526AD1" w:rsidRDefault="00091621" w:rsidP="00853D5A">
      <w:pPr>
        <w:pStyle w:val="Style4"/>
        <w:widowControl/>
        <w:numPr>
          <w:ilvl w:val="0"/>
          <w:numId w:val="20"/>
        </w:numPr>
        <w:spacing w:line="276" w:lineRule="auto"/>
        <w:contextualSpacing/>
        <w:rPr>
          <w:rStyle w:val="FontStyle24"/>
          <w:spacing w:val="0"/>
        </w:rPr>
      </w:pPr>
      <w:r w:rsidRPr="00526AD1">
        <w:rPr>
          <w:rStyle w:val="FontStyle24"/>
          <w:spacing w:val="0"/>
        </w:rPr>
        <w:t xml:space="preserve">11 osobnih automobila sveukupne vrijednosti </w:t>
      </w:r>
      <w:r w:rsidR="00801AE3">
        <w:rPr>
          <w:rStyle w:val="FontStyle24"/>
          <w:spacing w:val="0"/>
        </w:rPr>
        <w:t>1.</w:t>
      </w:r>
      <w:r w:rsidR="00747629">
        <w:rPr>
          <w:rStyle w:val="FontStyle24"/>
          <w:spacing w:val="0"/>
        </w:rPr>
        <w:t>402.745</w:t>
      </w:r>
      <w:r w:rsidRPr="00526AD1">
        <w:rPr>
          <w:rStyle w:val="FontStyle24"/>
          <w:spacing w:val="0"/>
        </w:rPr>
        <w:t xml:space="preserve"> kn za službene potrebe Grada Pule sukladno Ugovoru o najmu osobnih automobila, </w:t>
      </w:r>
    </w:p>
    <w:p w:rsidR="00091621" w:rsidRPr="00526AD1" w:rsidRDefault="00091621" w:rsidP="00853D5A">
      <w:pPr>
        <w:pStyle w:val="Style4"/>
        <w:widowControl/>
        <w:numPr>
          <w:ilvl w:val="0"/>
          <w:numId w:val="20"/>
        </w:numPr>
        <w:spacing w:line="276" w:lineRule="auto"/>
        <w:contextualSpacing/>
        <w:rPr>
          <w:rStyle w:val="FontStyle24"/>
          <w:spacing w:val="0"/>
        </w:rPr>
      </w:pPr>
      <w:r w:rsidRPr="00526AD1">
        <w:rPr>
          <w:rStyle w:val="FontStyle24"/>
          <w:spacing w:val="0"/>
        </w:rPr>
        <w:t xml:space="preserve">12 fotokopirnih aparata sveukupne vrijednosti  </w:t>
      </w:r>
      <w:r w:rsidR="00747629">
        <w:rPr>
          <w:rStyle w:val="FontStyle24"/>
          <w:spacing w:val="0"/>
        </w:rPr>
        <w:t>135.000</w:t>
      </w:r>
      <w:r w:rsidRPr="00526AD1">
        <w:rPr>
          <w:rStyle w:val="FontStyle24"/>
          <w:spacing w:val="0"/>
        </w:rPr>
        <w:t xml:space="preserve"> kn smještenih po upravnim tijelima, i uredima za službene potrebe Grada Pule sukladno Ugovoru o najmu,</w:t>
      </w:r>
    </w:p>
    <w:p w:rsidR="00091621" w:rsidRPr="00526AD1" w:rsidRDefault="00091621" w:rsidP="00853D5A">
      <w:pPr>
        <w:pStyle w:val="Style4"/>
        <w:widowControl/>
        <w:numPr>
          <w:ilvl w:val="0"/>
          <w:numId w:val="20"/>
        </w:numPr>
        <w:spacing w:line="276" w:lineRule="auto"/>
        <w:contextualSpacing/>
        <w:rPr>
          <w:rStyle w:val="FontStyle24"/>
          <w:spacing w:val="0"/>
        </w:rPr>
      </w:pPr>
      <w:r w:rsidRPr="00526AD1">
        <w:rPr>
          <w:rStyle w:val="FontStyle24"/>
          <w:spacing w:val="0"/>
        </w:rPr>
        <w:t xml:space="preserve">najam softvera - 200 kom operativnih sustava, sveukupne vrijednosti </w:t>
      </w:r>
      <w:r w:rsidR="00801AE3">
        <w:rPr>
          <w:rStyle w:val="FontStyle24"/>
          <w:spacing w:val="0"/>
        </w:rPr>
        <w:t>105.000</w:t>
      </w:r>
      <w:r w:rsidRPr="00526AD1">
        <w:rPr>
          <w:rStyle w:val="FontStyle24"/>
          <w:spacing w:val="0"/>
        </w:rPr>
        <w:t xml:space="preserve"> kn sukladno Ugovoru o najmu softvera, </w:t>
      </w:r>
    </w:p>
    <w:p w:rsidR="00091621" w:rsidRPr="00526AD1" w:rsidRDefault="00091621" w:rsidP="00853D5A">
      <w:pPr>
        <w:pStyle w:val="Style4"/>
        <w:widowControl/>
        <w:numPr>
          <w:ilvl w:val="0"/>
          <w:numId w:val="20"/>
        </w:numPr>
        <w:spacing w:line="276" w:lineRule="auto"/>
        <w:contextualSpacing/>
        <w:rPr>
          <w:rStyle w:val="FontStyle24"/>
          <w:spacing w:val="0"/>
        </w:rPr>
      </w:pPr>
      <w:r w:rsidRPr="00526AD1">
        <w:rPr>
          <w:rStyle w:val="FontStyle24"/>
          <w:spacing w:val="0"/>
        </w:rPr>
        <w:t>29 atomskih skloništa pojačane i osnovne zaštite ukupne vrijednosti 12.713.280 kn.</w:t>
      </w:r>
    </w:p>
    <w:p w:rsidR="00091621" w:rsidRDefault="00091621" w:rsidP="0095249B">
      <w:pPr>
        <w:pStyle w:val="Style4"/>
        <w:widowControl/>
        <w:spacing w:line="276" w:lineRule="auto"/>
        <w:ind w:firstLine="0"/>
        <w:contextualSpacing/>
        <w:rPr>
          <w:rStyle w:val="FontStyle24"/>
          <w:spacing w:val="0"/>
        </w:rPr>
      </w:pPr>
    </w:p>
    <w:p w:rsidR="002D7391" w:rsidRDefault="002D7391" w:rsidP="0095249B">
      <w:pPr>
        <w:pStyle w:val="Style4"/>
        <w:widowControl/>
        <w:spacing w:line="276" w:lineRule="auto"/>
        <w:ind w:firstLine="0"/>
        <w:contextualSpacing/>
        <w:rPr>
          <w:rStyle w:val="FontStyle24"/>
          <w:spacing w:val="0"/>
        </w:rPr>
      </w:pPr>
    </w:p>
    <w:p w:rsidR="00801AE3" w:rsidRDefault="00801AE3" w:rsidP="0095249B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B55522">
        <w:rPr>
          <w:rFonts w:ascii="Times New Roman" w:hAnsi="Times New Roman" w:cs="Times New Roman"/>
          <w:b/>
        </w:rPr>
        <w:t>BILJEŠKA br. 7</w:t>
      </w:r>
      <w:r w:rsidR="00EB2FC4">
        <w:rPr>
          <w:rFonts w:ascii="Times New Roman" w:hAnsi="Times New Roman" w:cs="Times New Roman"/>
          <w:b/>
        </w:rPr>
        <w:t>2</w:t>
      </w:r>
      <w:r w:rsidRPr="00B55522">
        <w:rPr>
          <w:rFonts w:ascii="Times New Roman" w:hAnsi="Times New Roman" w:cs="Times New Roman"/>
          <w:b/>
        </w:rPr>
        <w:t>.</w:t>
      </w:r>
    </w:p>
    <w:p w:rsidR="002D7391" w:rsidRDefault="002D7391" w:rsidP="0095249B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801AE3" w:rsidRDefault="00801AE3" w:rsidP="00B55522">
      <w:pPr>
        <w:pStyle w:val="Style4"/>
        <w:widowControl/>
        <w:spacing w:line="276" w:lineRule="auto"/>
        <w:ind w:firstLine="0"/>
        <w:contextualSpacing/>
        <w:rPr>
          <w:rStyle w:val="FontStyle24"/>
          <w:spacing w:val="0"/>
        </w:rPr>
      </w:pPr>
      <w:r>
        <w:rPr>
          <w:rStyle w:val="FontStyle24"/>
          <w:spacing w:val="0"/>
        </w:rPr>
        <w:t>I</w:t>
      </w:r>
      <w:r w:rsidR="00B55522">
        <w:rPr>
          <w:rStyle w:val="FontStyle24"/>
          <w:spacing w:val="0"/>
        </w:rPr>
        <w:t>nstrumenti osiguranja plaćanja -</w:t>
      </w:r>
      <w:r>
        <w:rPr>
          <w:rStyle w:val="FontStyle24"/>
          <w:spacing w:val="0"/>
        </w:rPr>
        <w:t xml:space="preserve"> iznose </w:t>
      </w:r>
      <w:r w:rsidR="002A5374">
        <w:rPr>
          <w:rStyle w:val="FontStyle24"/>
          <w:spacing w:val="0"/>
        </w:rPr>
        <w:t>342.973.724</w:t>
      </w:r>
      <w:r>
        <w:rPr>
          <w:rStyle w:val="FontStyle24"/>
          <w:spacing w:val="0"/>
        </w:rPr>
        <w:t xml:space="preserve"> kn, odnosno:</w:t>
      </w:r>
    </w:p>
    <w:p w:rsidR="00801AE3" w:rsidRPr="002D7391" w:rsidRDefault="00801AE3" w:rsidP="00B55522">
      <w:pPr>
        <w:pStyle w:val="Style4"/>
        <w:widowControl/>
        <w:numPr>
          <w:ilvl w:val="0"/>
          <w:numId w:val="20"/>
        </w:numPr>
        <w:spacing w:line="276" w:lineRule="auto"/>
        <w:contextualSpacing/>
        <w:rPr>
          <w:rStyle w:val="FontStyle24"/>
          <w:spacing w:val="0"/>
        </w:rPr>
      </w:pPr>
      <w:r w:rsidRPr="002D7391">
        <w:rPr>
          <w:rFonts w:ascii="Times New Roman" w:hAnsi="Times New Roman" w:cs="Times New Roman"/>
        </w:rPr>
        <w:t xml:space="preserve">Izdani instrumenti osiguranja plaćanja  - u </w:t>
      </w:r>
      <w:r w:rsidR="003C20C6">
        <w:rPr>
          <w:rStyle w:val="FontStyle24"/>
          <w:spacing w:val="0"/>
        </w:rPr>
        <w:t>2019.</w:t>
      </w:r>
      <w:r w:rsidRPr="002D7391">
        <w:rPr>
          <w:rStyle w:val="FontStyle24"/>
          <w:spacing w:val="0"/>
        </w:rPr>
        <w:t xml:space="preserve"> godini Grad je izdao </w:t>
      </w:r>
      <w:r w:rsidR="002A5374">
        <w:rPr>
          <w:rStyle w:val="FontStyle24"/>
          <w:spacing w:val="0"/>
        </w:rPr>
        <w:t xml:space="preserve">4 </w:t>
      </w:r>
      <w:r w:rsidRPr="002D7391">
        <w:rPr>
          <w:rStyle w:val="FontStyle24"/>
          <w:spacing w:val="0"/>
        </w:rPr>
        <w:t>zadužnic</w:t>
      </w:r>
      <w:r w:rsidR="002A5374">
        <w:rPr>
          <w:rStyle w:val="FontStyle24"/>
          <w:spacing w:val="0"/>
        </w:rPr>
        <w:t>e</w:t>
      </w:r>
      <w:r w:rsidRPr="002D7391">
        <w:rPr>
          <w:rStyle w:val="FontStyle24"/>
          <w:spacing w:val="0"/>
        </w:rPr>
        <w:t xml:space="preserve">  ukupne vrijednosti </w:t>
      </w:r>
      <w:r w:rsidR="002A5374">
        <w:rPr>
          <w:rStyle w:val="FontStyle24"/>
          <w:spacing w:val="0"/>
        </w:rPr>
        <w:t>1.700</w:t>
      </w:r>
      <w:r w:rsidRPr="002D7391">
        <w:rPr>
          <w:rStyle w:val="FontStyle24"/>
          <w:spacing w:val="0"/>
        </w:rPr>
        <w:t xml:space="preserve">.000 kn, dok sveukupno ima izdano 46 mjenica i zadužnica sveukupne vrijednosti </w:t>
      </w:r>
      <w:r w:rsidR="002A5374">
        <w:rPr>
          <w:rStyle w:val="FontStyle24"/>
          <w:spacing w:val="0"/>
        </w:rPr>
        <w:t>113.905.000</w:t>
      </w:r>
      <w:r w:rsidRPr="002D7391">
        <w:rPr>
          <w:rStyle w:val="FontStyle24"/>
          <w:spacing w:val="0"/>
        </w:rPr>
        <w:t xml:space="preserve"> kn.</w:t>
      </w:r>
    </w:p>
    <w:p w:rsidR="00801AE3" w:rsidRPr="002D7391" w:rsidRDefault="00801AE3" w:rsidP="00B5552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D7391">
        <w:rPr>
          <w:rFonts w:ascii="Times New Roman" w:hAnsi="Times New Roman" w:cs="Times New Roman"/>
          <w:sz w:val="24"/>
          <w:szCs w:val="24"/>
        </w:rPr>
        <w:t>Primljeni instrumenti osiguranja plaćanja - Grad Pula ima sveukupno zaprimljeno 2.</w:t>
      </w:r>
      <w:r w:rsidR="002A5374">
        <w:rPr>
          <w:rFonts w:ascii="Times New Roman" w:hAnsi="Times New Roman" w:cs="Times New Roman"/>
          <w:sz w:val="24"/>
          <w:szCs w:val="24"/>
        </w:rPr>
        <w:t>224</w:t>
      </w:r>
      <w:r w:rsidRPr="002D7391">
        <w:rPr>
          <w:rFonts w:ascii="Times New Roman" w:hAnsi="Times New Roman" w:cs="Times New Roman"/>
          <w:sz w:val="24"/>
          <w:szCs w:val="24"/>
        </w:rPr>
        <w:t xml:space="preserve"> instrumenat osiguranja plaćanja sveukupne vrijednosti  </w:t>
      </w:r>
      <w:r w:rsidR="002A5374">
        <w:rPr>
          <w:rFonts w:ascii="Times New Roman" w:hAnsi="Times New Roman" w:cs="Times New Roman"/>
          <w:sz w:val="24"/>
          <w:szCs w:val="24"/>
        </w:rPr>
        <w:t>226.737.74</w:t>
      </w:r>
      <w:r w:rsidR="00B55522">
        <w:rPr>
          <w:rFonts w:ascii="Times New Roman" w:hAnsi="Times New Roman" w:cs="Times New Roman"/>
          <w:sz w:val="24"/>
          <w:szCs w:val="24"/>
        </w:rPr>
        <w:t>8</w:t>
      </w:r>
      <w:r w:rsidRPr="002D7391">
        <w:rPr>
          <w:rFonts w:ascii="Times New Roman" w:hAnsi="Times New Roman" w:cs="Times New Roman"/>
          <w:sz w:val="24"/>
          <w:szCs w:val="24"/>
        </w:rPr>
        <w:t xml:space="preserve"> kn, i to: </w:t>
      </w:r>
    </w:p>
    <w:p w:rsidR="00801AE3" w:rsidRPr="002D7391" w:rsidRDefault="002A5374" w:rsidP="00B55522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garancija</w:t>
      </w:r>
      <w:r w:rsidR="00801AE3" w:rsidRPr="002D7391">
        <w:rPr>
          <w:rFonts w:ascii="Times New Roman" w:hAnsi="Times New Roman" w:cs="Times New Roman"/>
          <w:sz w:val="24"/>
          <w:szCs w:val="24"/>
        </w:rPr>
        <w:t xml:space="preserve"> ukupne vrijednosti </w:t>
      </w:r>
      <w:r>
        <w:rPr>
          <w:rFonts w:ascii="Times New Roman" w:hAnsi="Times New Roman" w:cs="Times New Roman"/>
          <w:sz w:val="24"/>
          <w:szCs w:val="24"/>
        </w:rPr>
        <w:t>39.354.633</w:t>
      </w:r>
      <w:r w:rsidR="00801AE3" w:rsidRPr="002D7391">
        <w:rPr>
          <w:rFonts w:ascii="Times New Roman" w:hAnsi="Times New Roman" w:cs="Times New Roman"/>
          <w:sz w:val="24"/>
          <w:szCs w:val="24"/>
        </w:rPr>
        <w:t xml:space="preserve"> kn;</w:t>
      </w:r>
    </w:p>
    <w:p w:rsidR="00801AE3" w:rsidRPr="00177F63" w:rsidRDefault="00801AE3" w:rsidP="00B55522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D7391">
        <w:rPr>
          <w:rFonts w:ascii="Times New Roman" w:hAnsi="Times New Roman" w:cs="Times New Roman"/>
          <w:sz w:val="24"/>
          <w:szCs w:val="24"/>
        </w:rPr>
        <w:t>226 mjenica ukupne vrijednosti 8.076.27</w:t>
      </w:r>
      <w:r w:rsidR="00177F63">
        <w:rPr>
          <w:rFonts w:ascii="Times New Roman" w:hAnsi="Times New Roman" w:cs="Times New Roman"/>
          <w:sz w:val="24"/>
          <w:szCs w:val="24"/>
        </w:rPr>
        <w:t>8</w:t>
      </w:r>
      <w:r w:rsidRPr="00177F63">
        <w:rPr>
          <w:rFonts w:ascii="Times New Roman" w:hAnsi="Times New Roman" w:cs="Times New Roman"/>
          <w:sz w:val="24"/>
          <w:szCs w:val="24"/>
        </w:rPr>
        <w:t xml:space="preserve"> kn;</w:t>
      </w:r>
    </w:p>
    <w:p w:rsidR="00801AE3" w:rsidRPr="002D7391" w:rsidRDefault="00801AE3" w:rsidP="00B55522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D7391">
        <w:rPr>
          <w:rFonts w:ascii="Times New Roman" w:hAnsi="Times New Roman" w:cs="Times New Roman"/>
          <w:sz w:val="24"/>
          <w:szCs w:val="24"/>
        </w:rPr>
        <w:t>1.</w:t>
      </w:r>
      <w:r w:rsidR="002A5374">
        <w:rPr>
          <w:rFonts w:ascii="Times New Roman" w:hAnsi="Times New Roman" w:cs="Times New Roman"/>
          <w:sz w:val="24"/>
          <w:szCs w:val="24"/>
        </w:rPr>
        <w:t>797 zadužnica</w:t>
      </w:r>
      <w:r w:rsidRPr="002D7391">
        <w:rPr>
          <w:rFonts w:ascii="Times New Roman" w:hAnsi="Times New Roman" w:cs="Times New Roman"/>
          <w:sz w:val="24"/>
          <w:szCs w:val="24"/>
        </w:rPr>
        <w:t xml:space="preserve"> ukupne vrijednosti </w:t>
      </w:r>
      <w:r w:rsidR="002A5374">
        <w:rPr>
          <w:rFonts w:ascii="Times New Roman" w:hAnsi="Times New Roman" w:cs="Times New Roman"/>
          <w:sz w:val="24"/>
          <w:szCs w:val="24"/>
        </w:rPr>
        <w:t>179.306.83</w:t>
      </w:r>
      <w:r w:rsidR="00B55522">
        <w:rPr>
          <w:rFonts w:ascii="Times New Roman" w:hAnsi="Times New Roman" w:cs="Times New Roman"/>
          <w:sz w:val="24"/>
          <w:szCs w:val="24"/>
        </w:rPr>
        <w:t>7</w:t>
      </w:r>
      <w:r w:rsidRPr="002D7391">
        <w:rPr>
          <w:rFonts w:ascii="Times New Roman" w:hAnsi="Times New Roman" w:cs="Times New Roman"/>
          <w:sz w:val="24"/>
          <w:szCs w:val="24"/>
        </w:rPr>
        <w:t xml:space="preserve"> kn; </w:t>
      </w:r>
    </w:p>
    <w:p w:rsidR="00801AE3" w:rsidRPr="002D7391" w:rsidRDefault="00801AE3" w:rsidP="00B55522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D7391">
        <w:rPr>
          <w:rFonts w:ascii="Times New Roman" w:hAnsi="Times New Roman" w:cs="Times New Roman"/>
          <w:sz w:val="24"/>
          <w:szCs w:val="24"/>
        </w:rPr>
        <w:t xml:space="preserve">1 bjanko ček, zaprimljen prije </w:t>
      </w:r>
      <w:r w:rsidR="003C20C6">
        <w:rPr>
          <w:rFonts w:ascii="Times New Roman" w:hAnsi="Times New Roman" w:cs="Times New Roman"/>
          <w:sz w:val="24"/>
          <w:szCs w:val="24"/>
        </w:rPr>
        <w:t>2019.</w:t>
      </w:r>
      <w:r w:rsidRPr="002D7391">
        <w:rPr>
          <w:rFonts w:ascii="Times New Roman" w:hAnsi="Times New Roman" w:cs="Times New Roman"/>
          <w:sz w:val="24"/>
          <w:szCs w:val="24"/>
        </w:rPr>
        <w:t xml:space="preserve"> godine.</w:t>
      </w:r>
    </w:p>
    <w:p w:rsidR="002D7391" w:rsidRPr="002D7391" w:rsidRDefault="002D7391" w:rsidP="00B5552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Style w:val="FontStyle24"/>
          <w:spacing w:val="0"/>
        </w:rPr>
      </w:pPr>
      <w:r w:rsidRPr="002D7391">
        <w:rPr>
          <w:rFonts w:ascii="Times New Roman" w:hAnsi="Times New Roman" w:cs="Times New Roman"/>
          <w:sz w:val="24"/>
          <w:szCs w:val="24"/>
        </w:rPr>
        <w:t>Obustava ovrhe uknjižbom založnog prava -</w:t>
      </w:r>
      <w:r w:rsidR="00177F63">
        <w:rPr>
          <w:rFonts w:ascii="Times New Roman" w:hAnsi="Times New Roman" w:cs="Times New Roman"/>
          <w:sz w:val="24"/>
          <w:szCs w:val="24"/>
        </w:rPr>
        <w:t xml:space="preserve"> </w:t>
      </w:r>
      <w:r w:rsidRPr="002D7391">
        <w:rPr>
          <w:rFonts w:ascii="Times New Roman" w:hAnsi="Times New Roman" w:cs="Times New Roman"/>
          <w:sz w:val="24"/>
          <w:szCs w:val="24"/>
        </w:rPr>
        <w:t>na stambenoj zgradi, dvorište 613 m² temeljem Rješenja Općinskog suda u Puli-Pola od 20.04.2016 godine u iznosu od 330.977 kn.</w:t>
      </w:r>
    </w:p>
    <w:p w:rsidR="00801AE3" w:rsidRPr="002D7391" w:rsidRDefault="00177F63" w:rsidP="00B55522">
      <w:pPr>
        <w:pStyle w:val="ListParagraph"/>
        <w:numPr>
          <w:ilvl w:val="0"/>
          <w:numId w:val="20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Zalog</w:t>
      </w:r>
      <w:r w:rsidR="00801AE3" w:rsidRPr="002D7391">
        <w:rPr>
          <w:rFonts w:ascii="Times New Roman" w:hAnsi="Times New Roman" w:cs="Times New Roman"/>
          <w:sz w:val="24"/>
          <w:szCs w:val="24"/>
        </w:rPr>
        <w:t xml:space="preserve"> na nekretnini u vlasništvu Grada u iznosu od 2.000.000 kn - u korist poslovne banke za potrebe realizacije projekta p</w:t>
      </w:r>
      <w:r w:rsidR="00EB2FC4">
        <w:rPr>
          <w:rFonts w:ascii="Times New Roman" w:hAnsi="Times New Roman" w:cs="Times New Roman"/>
          <w:sz w:val="24"/>
          <w:szCs w:val="24"/>
        </w:rPr>
        <w:t>od nazivom „Verudela Art Park“ -</w:t>
      </w:r>
      <w:r w:rsidR="00801AE3" w:rsidRPr="002D7391">
        <w:rPr>
          <w:rFonts w:ascii="Times New Roman" w:hAnsi="Times New Roman" w:cs="Times New Roman"/>
          <w:sz w:val="24"/>
          <w:szCs w:val="24"/>
        </w:rPr>
        <w:t xml:space="preserve"> Odluka o dozvoli upisa prava zaloga na nekretnini u vlasništvu Gra</w:t>
      </w:r>
      <w:r w:rsidR="0064474D">
        <w:rPr>
          <w:rFonts w:ascii="Times New Roman" w:hAnsi="Times New Roman" w:cs="Times New Roman"/>
          <w:sz w:val="24"/>
          <w:szCs w:val="24"/>
        </w:rPr>
        <w:t>da Pule radi osiguranja kredita</w:t>
      </w:r>
      <w:r w:rsidR="00801AE3" w:rsidRPr="002D7391">
        <w:rPr>
          <w:rFonts w:ascii="Times New Roman" w:hAnsi="Times New Roman" w:cs="Times New Roman"/>
          <w:sz w:val="24"/>
          <w:szCs w:val="24"/>
        </w:rPr>
        <w:t xml:space="preserve"> od 30. siječnja </w:t>
      </w:r>
      <w:r w:rsidR="003C20C6">
        <w:rPr>
          <w:rFonts w:ascii="Times New Roman" w:hAnsi="Times New Roman" w:cs="Times New Roman"/>
          <w:sz w:val="24"/>
          <w:szCs w:val="24"/>
        </w:rPr>
        <w:t>2019.</w:t>
      </w:r>
      <w:r w:rsidR="00801AE3" w:rsidRPr="002D7391">
        <w:rPr>
          <w:rFonts w:ascii="Times New Roman" w:hAnsi="Times New Roman" w:cs="Times New Roman"/>
          <w:sz w:val="24"/>
          <w:szCs w:val="24"/>
        </w:rPr>
        <w:t xml:space="preserve"> godine.</w:t>
      </w:r>
    </w:p>
    <w:p w:rsidR="00801AE3" w:rsidRDefault="00801AE3" w:rsidP="0095249B">
      <w:pPr>
        <w:pStyle w:val="ListParagraph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CA0C87" w:rsidRPr="00801AE3" w:rsidRDefault="00CA0C87" w:rsidP="00B5552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D7391" w:rsidRDefault="002D7391" w:rsidP="00B555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B55522">
        <w:rPr>
          <w:rFonts w:ascii="Times New Roman" w:hAnsi="Times New Roman" w:cs="Times New Roman"/>
          <w:b/>
        </w:rPr>
        <w:t xml:space="preserve">BILJEŠKA br. </w:t>
      </w:r>
      <w:r w:rsidR="00B55522" w:rsidRPr="00B55522">
        <w:rPr>
          <w:rFonts w:ascii="Times New Roman" w:hAnsi="Times New Roman" w:cs="Times New Roman"/>
          <w:b/>
        </w:rPr>
        <w:t>7</w:t>
      </w:r>
      <w:r w:rsidR="00EB2FC4">
        <w:rPr>
          <w:rFonts w:ascii="Times New Roman" w:hAnsi="Times New Roman" w:cs="Times New Roman"/>
          <w:b/>
        </w:rPr>
        <w:t>3</w:t>
      </w:r>
      <w:r w:rsidRPr="00B55522">
        <w:rPr>
          <w:rFonts w:ascii="Times New Roman" w:hAnsi="Times New Roman" w:cs="Times New Roman"/>
          <w:b/>
        </w:rPr>
        <w:t>.</w:t>
      </w:r>
    </w:p>
    <w:p w:rsidR="00CA0C87" w:rsidRDefault="00CA0C87" w:rsidP="00B55522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DF1EAF" w:rsidRDefault="002D7391" w:rsidP="00B5552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6CF">
        <w:rPr>
          <w:rFonts w:ascii="Times New Roman" w:hAnsi="Times New Roman" w:cs="Times New Roman"/>
          <w:sz w:val="24"/>
          <w:szCs w:val="24"/>
        </w:rPr>
        <w:t xml:space="preserve">Grad u izvanbilančnoj evidenciji vodi sudske postupke koji </w:t>
      </w:r>
      <w:r w:rsidR="00DF1EAF">
        <w:rPr>
          <w:rFonts w:ascii="Times New Roman" w:hAnsi="Times New Roman" w:cs="Times New Roman"/>
          <w:sz w:val="24"/>
          <w:szCs w:val="24"/>
        </w:rPr>
        <w:t>na dan</w:t>
      </w:r>
      <w:r w:rsidRPr="00F616CF">
        <w:rPr>
          <w:rFonts w:ascii="Times New Roman" w:hAnsi="Times New Roman" w:cs="Times New Roman"/>
          <w:sz w:val="24"/>
          <w:szCs w:val="24"/>
        </w:rPr>
        <w:t xml:space="preserve"> 31. prosinca </w:t>
      </w:r>
      <w:r w:rsidR="003C20C6">
        <w:rPr>
          <w:rFonts w:ascii="Times New Roman" w:hAnsi="Times New Roman" w:cs="Times New Roman"/>
          <w:sz w:val="24"/>
          <w:szCs w:val="24"/>
        </w:rPr>
        <w:t>2019.</w:t>
      </w:r>
      <w:r w:rsidRPr="00F616CF">
        <w:rPr>
          <w:rFonts w:ascii="Times New Roman" w:hAnsi="Times New Roman" w:cs="Times New Roman"/>
          <w:sz w:val="24"/>
          <w:szCs w:val="24"/>
        </w:rPr>
        <w:t xml:space="preserve"> godine iznose </w:t>
      </w:r>
      <w:r w:rsidR="00DF1EAF">
        <w:rPr>
          <w:rFonts w:ascii="Times New Roman" w:hAnsi="Times New Roman" w:cs="Times New Roman"/>
          <w:sz w:val="24"/>
          <w:szCs w:val="24"/>
        </w:rPr>
        <w:t>130.965.858</w:t>
      </w:r>
      <w:r w:rsidRPr="00F616CF">
        <w:rPr>
          <w:rFonts w:ascii="Times New Roman" w:hAnsi="Times New Roman" w:cs="Times New Roman"/>
          <w:sz w:val="24"/>
          <w:szCs w:val="24"/>
        </w:rPr>
        <w:t xml:space="preserve"> kn i bilježe sveukupno 1</w:t>
      </w:r>
      <w:r w:rsidR="00DF1EAF">
        <w:rPr>
          <w:rFonts w:ascii="Times New Roman" w:hAnsi="Times New Roman" w:cs="Times New Roman"/>
          <w:sz w:val="24"/>
          <w:szCs w:val="24"/>
        </w:rPr>
        <w:t>09</w:t>
      </w:r>
      <w:r w:rsidRPr="00F616CF">
        <w:rPr>
          <w:rFonts w:ascii="Times New Roman" w:hAnsi="Times New Roman" w:cs="Times New Roman"/>
          <w:sz w:val="24"/>
          <w:szCs w:val="24"/>
        </w:rPr>
        <w:t xml:space="preserve"> postupaka. Od navedenog iznosa, Grad je tužitelj u </w:t>
      </w:r>
      <w:r w:rsidR="00DF1EAF">
        <w:rPr>
          <w:rFonts w:ascii="Times New Roman" w:hAnsi="Times New Roman" w:cs="Times New Roman"/>
          <w:sz w:val="24"/>
          <w:szCs w:val="24"/>
        </w:rPr>
        <w:t>42</w:t>
      </w:r>
      <w:r w:rsidRPr="00F616CF">
        <w:rPr>
          <w:rFonts w:ascii="Times New Roman" w:hAnsi="Times New Roman" w:cs="Times New Roman"/>
          <w:sz w:val="24"/>
          <w:szCs w:val="24"/>
        </w:rPr>
        <w:t xml:space="preserve"> predmeta, za iznos od </w:t>
      </w:r>
      <w:r w:rsidR="00DF1EAF">
        <w:rPr>
          <w:rFonts w:ascii="Times New Roman" w:hAnsi="Times New Roman" w:cs="Times New Roman"/>
          <w:sz w:val="24"/>
          <w:szCs w:val="24"/>
        </w:rPr>
        <w:t>9.992.283</w:t>
      </w:r>
      <w:r w:rsidRPr="00F616CF">
        <w:rPr>
          <w:rFonts w:ascii="Times New Roman" w:hAnsi="Times New Roman" w:cs="Times New Roman"/>
          <w:sz w:val="24"/>
          <w:szCs w:val="24"/>
        </w:rPr>
        <w:t xml:space="preserve"> kn</w:t>
      </w:r>
      <w:r w:rsidR="0064474D">
        <w:rPr>
          <w:rFonts w:ascii="Times New Roman" w:hAnsi="Times New Roman" w:cs="Times New Roman"/>
          <w:sz w:val="24"/>
          <w:szCs w:val="24"/>
        </w:rPr>
        <w:t>, a</w:t>
      </w:r>
      <w:r w:rsidRPr="00F616CF">
        <w:rPr>
          <w:rFonts w:ascii="Times New Roman" w:hAnsi="Times New Roman" w:cs="Times New Roman"/>
          <w:sz w:val="24"/>
          <w:szCs w:val="24"/>
        </w:rPr>
        <w:t xml:space="preserve"> tuženik u </w:t>
      </w:r>
      <w:r w:rsidR="00DF1EAF">
        <w:rPr>
          <w:rFonts w:ascii="Times New Roman" w:hAnsi="Times New Roman" w:cs="Times New Roman"/>
          <w:sz w:val="24"/>
          <w:szCs w:val="24"/>
        </w:rPr>
        <w:t>67</w:t>
      </w:r>
      <w:r w:rsidRPr="00F616CF">
        <w:rPr>
          <w:rFonts w:ascii="Times New Roman" w:hAnsi="Times New Roman" w:cs="Times New Roman"/>
          <w:sz w:val="24"/>
          <w:szCs w:val="24"/>
        </w:rPr>
        <w:t xml:space="preserve"> predmeta u iznosu od 1</w:t>
      </w:r>
      <w:r w:rsidR="00DF1EAF">
        <w:rPr>
          <w:rFonts w:ascii="Times New Roman" w:hAnsi="Times New Roman" w:cs="Times New Roman"/>
          <w:sz w:val="24"/>
          <w:szCs w:val="24"/>
        </w:rPr>
        <w:t>20.973.575 kn (od toga protutužitelj u 4 parnice i protutuženik u jednoj parnici).</w:t>
      </w:r>
      <w:r w:rsidRPr="00F61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FC4" w:rsidRDefault="00DF1EAF" w:rsidP="00B5552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ukupnog broja zaprimljenih i pokrenutih parnica (ukupno 39 predmeta) u 2019. godini u tijeku su evidentirane 24 parnice</w:t>
      </w:r>
      <w:r w:rsidR="00B5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ukupne vrijednosti 2.100.578 kn. </w:t>
      </w:r>
    </w:p>
    <w:p w:rsidR="00DF1EAF" w:rsidRDefault="00DF1EAF" w:rsidP="00B5552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je tužitelj u 9 parnica ukupne vrijednosti 376.432 kn, a tuženik u 15 parnica ukupne vrijednosti 1.724.145 kn. </w:t>
      </w:r>
    </w:p>
    <w:p w:rsidR="00DF1EAF" w:rsidRDefault="00DF1EAF" w:rsidP="00952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391" w:rsidRDefault="007B1DC6" w:rsidP="00B55522">
      <w:pPr>
        <w:pStyle w:val="Style20"/>
        <w:widowControl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55522">
        <w:rPr>
          <w:rFonts w:ascii="Times New Roman" w:hAnsi="Times New Roman" w:cs="Times New Roman"/>
          <w:b/>
        </w:rPr>
        <w:lastRenderedPageBreak/>
        <w:t>Pregled sudskih sporova u tijeku</w:t>
      </w:r>
      <w:r w:rsidR="00B55522">
        <w:rPr>
          <w:rFonts w:ascii="Times New Roman" w:hAnsi="Times New Roman" w:cs="Times New Roman"/>
          <w:b/>
        </w:rPr>
        <w:t xml:space="preserve"> -</w:t>
      </w:r>
      <w:r w:rsidR="002D7391" w:rsidRPr="00B55522">
        <w:rPr>
          <w:rFonts w:ascii="Times New Roman" w:hAnsi="Times New Roman" w:cs="Times New Roman"/>
          <w:b/>
        </w:rPr>
        <w:t xml:space="preserve"> </w:t>
      </w:r>
      <w:r w:rsidRPr="00B55522">
        <w:rPr>
          <w:rFonts w:ascii="Times New Roman" w:hAnsi="Times New Roman" w:cs="Times New Roman"/>
          <w:b/>
        </w:rPr>
        <w:t>stanje</w:t>
      </w:r>
      <w:r w:rsidR="002D7391" w:rsidRPr="00B55522">
        <w:rPr>
          <w:rFonts w:ascii="Times New Roman" w:hAnsi="Times New Roman" w:cs="Times New Roman"/>
          <w:b/>
        </w:rPr>
        <w:t xml:space="preserve"> 31.12.</w:t>
      </w:r>
      <w:r w:rsidR="003C20C6" w:rsidRPr="00B55522">
        <w:rPr>
          <w:rFonts w:ascii="Times New Roman" w:hAnsi="Times New Roman" w:cs="Times New Roman"/>
          <w:b/>
        </w:rPr>
        <w:t>2019.</w:t>
      </w:r>
      <w:r w:rsidR="002D7391" w:rsidRPr="00B55522">
        <w:rPr>
          <w:rFonts w:ascii="Times New Roman" w:hAnsi="Times New Roman" w:cs="Times New Roman"/>
          <w:b/>
        </w:rPr>
        <w:t xml:space="preserve"> godine</w:t>
      </w:r>
    </w:p>
    <w:p w:rsidR="000B3ECF" w:rsidRPr="007B1DC6" w:rsidRDefault="000B3ECF" w:rsidP="00B55522">
      <w:pPr>
        <w:pStyle w:val="Style20"/>
        <w:widowControl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0119" w:type="dxa"/>
        <w:tblInd w:w="96" w:type="dxa"/>
        <w:tblLayout w:type="fixed"/>
        <w:tblLook w:val="04A0"/>
      </w:tblPr>
      <w:tblGrid>
        <w:gridCol w:w="579"/>
        <w:gridCol w:w="1418"/>
        <w:gridCol w:w="1417"/>
        <w:gridCol w:w="1134"/>
        <w:gridCol w:w="1134"/>
        <w:gridCol w:w="1418"/>
        <w:gridCol w:w="1417"/>
        <w:gridCol w:w="1602"/>
      </w:tblGrid>
      <w:tr w:rsidR="003C20C6" w:rsidRPr="003C20C6" w:rsidTr="00B55522">
        <w:trPr>
          <w:trHeight w:val="4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Red. br.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Tužitelj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Tuženik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Datum pokretanja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Oznaka spora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Vrsta predmeta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Vrijednost spora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Mogući odljev/priljev sredstava 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10.09.2001.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P-975/01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195.200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odljev-kraj 2021.g.</w:t>
            </w:r>
          </w:p>
        </w:tc>
      </w:tr>
      <w:tr w:rsidR="003C20C6" w:rsidRPr="003C20C6" w:rsidTr="002674FF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13.04.2006.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P-1753/06,       P-1551/11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</w:t>
            </w: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tvrđ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enja </w:t>
            </w: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prava vlasn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ištva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101.000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14.02.2007.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P-96/07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48.63</w:t>
            </w:r>
            <w:r w:rsidR="002674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priljev-kraj 2020.g.</w:t>
            </w:r>
          </w:p>
        </w:tc>
      </w:tr>
      <w:tr w:rsidR="003C20C6" w:rsidRPr="003C20C6" w:rsidTr="002674FF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 (u stečaju)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28.01.2009.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P-63/09,          P-31/18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436.200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odljev-početak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16.12.2009.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P-2299/09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štete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2.920.000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odljev-početak 2021.g.</w:t>
            </w:r>
          </w:p>
        </w:tc>
      </w:tr>
      <w:tr w:rsidR="003C20C6" w:rsidRPr="003C20C6" w:rsidTr="002674FF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16.06.2010.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P-569/10,         P-792/11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stjecanja bez osnove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4.106.344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priljev-početak 2021.g.</w:t>
            </w:r>
          </w:p>
        </w:tc>
      </w:tr>
      <w:tr w:rsidR="003C20C6" w:rsidRPr="003C20C6" w:rsidTr="000B3ECF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Grad Pula-Pola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15.10.2010.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P-871/10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raskida ugovora i isplate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1.109.11</w:t>
            </w:r>
            <w:r w:rsidR="0066534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 - početak 2021.g.</w:t>
            </w:r>
          </w:p>
        </w:tc>
      </w:tr>
      <w:tr w:rsidR="003C20C6" w:rsidRPr="003C20C6" w:rsidTr="002674FF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 (protutužba)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15.10.2010.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P-871/10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raskida ugovora i 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536.204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 - početak 2021.g.</w:t>
            </w:r>
          </w:p>
        </w:tc>
      </w:tr>
      <w:tr w:rsidR="003C20C6" w:rsidRPr="003C20C6" w:rsidTr="002674FF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12.07.2011.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P-2969/11,      P-39/15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692.927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 - kraj 2020.g.</w:t>
            </w:r>
          </w:p>
        </w:tc>
      </w:tr>
      <w:tr w:rsidR="003C20C6" w:rsidRPr="003C20C6" w:rsidTr="002674FF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 (u stečaju)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Grad Pula-Pola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12.04. 2012.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P-636/12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1.623.9</w:t>
            </w:r>
            <w:r w:rsidR="0066534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 - kraj 2021.g.</w:t>
            </w:r>
          </w:p>
        </w:tc>
      </w:tr>
      <w:tr w:rsidR="003C20C6" w:rsidRPr="003C20C6" w:rsidTr="002674FF">
        <w:trPr>
          <w:trHeight w:val="58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 (protutužba)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 (u stečaju)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12.04.2012.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P-636/12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1.112.531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priljev - kraj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04.07.2012.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P-1371/12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</w:t>
            </w: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tvrđ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enja </w:t>
            </w: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prava vlasniš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101.000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04.07.2012.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P-1659/12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</w:t>
            </w: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tvrđ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enja</w:t>
            </w: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prava vlasništva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Grad Pula-Pola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 (u stečaju)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25.07.2012.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P-152/15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predaje u posjed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 (u stečaju)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 (protutuženik)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25.07.2012.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P-152/15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predaje u posjed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1.014.51</w:t>
            </w:r>
            <w:r w:rsidR="0066534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odljev-kraj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10.01.2013.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P-1418/12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isplate </w:t>
            </w:r>
            <w:r w:rsidRPr="003C20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(108.300,00 EUR-a)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813.728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odljev-početak 2021.g.</w:t>
            </w:r>
          </w:p>
        </w:tc>
      </w:tr>
      <w:tr w:rsidR="003C20C6" w:rsidRPr="003C20C6" w:rsidTr="002674FF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10.01.2013.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P-141/11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</w:t>
            </w: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oništ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odluke gradonačelnika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11.09.2013.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P-1057/13,       P-1402/17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327.777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odljev-kraj 2020.g.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18.11.2013.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P-1366/13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odljev-kraj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10.02.2014.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P-358/13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odljev-kraj 2020.g.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06.06.2014.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P-1010/14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predaj u posjed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24.06.2014.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P-1377/04,      P-727/14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naknada štete i raskid ugovora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21.682.295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 - početak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24.06.2014.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P-1613/14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predaja u posjed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22.07.2014.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P-934/14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75.728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odljev-početak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18.09.2014.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P-1482/14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predaja u posjed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28.10.2014.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P-1263/14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utvrđenja prava vlasništva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251.000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29.10.2014.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P-1300/14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95.000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odljev-početak 2021.g.</w:t>
            </w:r>
          </w:p>
        </w:tc>
      </w:tr>
      <w:tr w:rsidR="003C20C6" w:rsidRPr="003C20C6" w:rsidTr="00EB2FC4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C6" w:rsidRPr="003C20C6" w:rsidRDefault="003C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21.04.2015.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Povrv-6/14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priljev-kraj 2020.g.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C6" w:rsidRPr="003C20C6" w:rsidRDefault="003C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26.05.2015.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P-2264/15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predaje u posjed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20.07.2015.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P-1528/15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14.880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odljev-kraj 2020.g.</w:t>
            </w:r>
          </w:p>
        </w:tc>
      </w:tr>
      <w:tr w:rsidR="003C20C6" w:rsidRPr="003C20C6" w:rsidTr="002674FF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C6" w:rsidRPr="003C20C6" w:rsidRDefault="003C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25.08.2015.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P-2523/15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umanjenja vrijednosti zemljišta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odljev-početak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C6" w:rsidRPr="003C20C6" w:rsidRDefault="003C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17.09.2015.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P-2678/15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utvrđenja prava vlasništva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C6" w:rsidRPr="003C20C6" w:rsidRDefault="003C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30.09.2015.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Pn-543/15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štete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odljev-početak 2021.g.</w:t>
            </w:r>
          </w:p>
        </w:tc>
      </w:tr>
      <w:tr w:rsidR="003C20C6" w:rsidRPr="003C20C6" w:rsidTr="002674FF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C6" w:rsidRPr="003C20C6" w:rsidRDefault="003C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Grad Pula-Pola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09.12.2015.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P-3198/15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isplata i naknada štete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304.000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odljev - kraj 2020.g.</w:t>
            </w:r>
          </w:p>
        </w:tc>
      </w:tr>
      <w:tr w:rsidR="003C20C6" w:rsidRPr="003C20C6" w:rsidTr="002674FF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 (protutužba)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09.12.2015.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P-3198/15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isplata i naknada štete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14.301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odljev - kraj 2020.g.</w:t>
            </w:r>
          </w:p>
        </w:tc>
      </w:tr>
      <w:tr w:rsidR="003C20C6" w:rsidRPr="003C20C6" w:rsidTr="002674FF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 (u stečaju)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16.12.2015.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P-1595/15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utvrđenja ništetnosti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216.811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odljev-kraj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16.03.2016.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P-598/16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utvrđenja prava vlasništva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06.04.2016.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P-1194/16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odljev-kraj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02.05.2016.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P-400/16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zaključenja  ugovora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11.05.2016.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Povrv-188/16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175.882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priljev-kraj 2020.g.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C6" w:rsidRPr="003C20C6" w:rsidRDefault="003C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 i dr.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23.05.2016.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P-273/16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8.214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odljev-početak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C6" w:rsidRPr="003C20C6" w:rsidRDefault="003C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 i dr.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23.05.2016.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P-415/16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utvrđenja prava vlasništva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 i dr.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27.05.2016.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Povrv-1526/15,    Povrv.1467/15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87</w:t>
            </w:r>
            <w:r w:rsidR="0066534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odljev-kraj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Grad Pula-Pola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29.06.2016.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P-193/16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utvrđenja prava vlasništva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101.000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Grad Pula-Pola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05.07.2016.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P-198/16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progl.ovrhe nedopuštenom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267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112.</w:t>
            </w:r>
            <w:r w:rsidR="0066534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43</w:t>
            </w:r>
            <w:r w:rsidR="002674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12.07.2016.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P-982/05,        P-208/17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utvrđenja prava vlasništa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165.000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13.07.2016.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Pn-227/16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163.750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priljev-početak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22.08.2016.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P-1083/16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utvrđenje prava vlasništva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13.09.2016.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Povrv-328/16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15.38</w:t>
            </w:r>
            <w:r w:rsidR="0066534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priljev-početak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B071C9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13.09.2016.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Povrv-314/16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93.693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priljev-kraj 2020.g.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13.09.2016.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P-276/16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utvrđenje prava vlasništva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19.09.2016.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P-1215/16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otklanjanje nedostataka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143.000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03.11.2016.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P-1488/16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utvrđenja prava vlasništva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osoba/Grad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02.01.</w:t>
            </w:r>
            <w:r w:rsidR="00685BE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P-1736/17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utvrđenje prava vlasništva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 (u stečaju)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06.03.</w:t>
            </w:r>
            <w:r w:rsidR="00685BE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Pn-72/17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utvrđivanje postojanje tražbine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2.264.52</w:t>
            </w:r>
            <w:r w:rsidR="0066534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Pula-Pola/Fizička osoba/Pravna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17.05.</w:t>
            </w:r>
            <w:r w:rsidR="00685BE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P-517/17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utvrđenje djelom.ništavosti sporazuma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EB2FC4">
        <w:trPr>
          <w:trHeight w:val="4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18.05.</w:t>
            </w:r>
            <w:r w:rsidR="00685BE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P-1246/17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utvrđ. prava vlasništva i predaja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07.06.</w:t>
            </w:r>
            <w:r w:rsidR="00685BE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P-710/17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4.713.36</w:t>
            </w:r>
            <w:r w:rsidR="0066534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odljev-kraj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C6" w:rsidRPr="003C20C6" w:rsidRDefault="003C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26.06.</w:t>
            </w:r>
            <w:r w:rsidR="00685BE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Ps-9/17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utvrđenje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C6" w:rsidRPr="003C20C6" w:rsidRDefault="003C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03.07.</w:t>
            </w:r>
            <w:r w:rsidR="00685BE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Pn-191/17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79.456.033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odljev-kraj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10.07.</w:t>
            </w:r>
            <w:r w:rsidR="00685BE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P-869/17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utvrđenje prava vlasništva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04.09.</w:t>
            </w:r>
            <w:r w:rsidR="00685BE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P-1240/17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predaja u posjed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06.09.</w:t>
            </w:r>
            <w:r w:rsidR="00685BE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Pn-224/17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538.</w:t>
            </w:r>
            <w:r w:rsidR="0066534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odljev-početak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25.09.</w:t>
            </w:r>
            <w:r w:rsidR="00685BE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P-1792/17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predaja u posjed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17.10.</w:t>
            </w:r>
            <w:r w:rsidR="00685BE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Povrv-357/17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82.150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priljev-početak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13.12.</w:t>
            </w:r>
            <w:r w:rsidR="00685BE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Pn-357/17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štete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odljev-početak 2021.g.</w:t>
            </w:r>
          </w:p>
        </w:tc>
      </w:tr>
      <w:tr w:rsidR="003C20C6" w:rsidRPr="003C20C6" w:rsidTr="000B3ECF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18.12.</w:t>
            </w:r>
            <w:r w:rsidR="00685BE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P-1583/18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predaja u posjed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15.01.2018.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P-1753/17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utvrđenje prava služnosti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19.03.2018.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P-1081/18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predaja u posjed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26.03.2018.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P-615/18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utvrđenje prava vlasništva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17.05.2018.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Povrv-335/18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57.31</w:t>
            </w:r>
            <w:r w:rsidR="0066534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odljev-početak 2022.g.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04.06.2018.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P-982/18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149.000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odljev-početak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13.06.2018.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Povrv-9298/17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</w:t>
            </w:r>
            <w:r w:rsidR="0066534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priljev-početak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02.07.2018.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P-1324/18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predaje u posjed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04.07.2018.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Povrv-311/18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251.000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priljev-početak 2022.g.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09.07.2018.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P-784/18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utvrđenja prava vlasništva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27.07.2018.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P-1325/18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utvrđenje prava vlasništva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13.08.2018.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Povrv-462/18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1.678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odljev-kraj 2020.g.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Grad Pula-Pola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20.08.2018.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Pr-59/18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odljev-početak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27.08.2018.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Povrv-461/18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103.23</w:t>
            </w:r>
            <w:r w:rsidR="0066534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priljev-kraj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03.09.2018.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Pn-219/18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17.150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odljev-početak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04.09.2018.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P-1466/18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progl.ovrhe nedopuštenom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16.10.2018.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P-1795/18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utvrđenje prava vlasništva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22.10.2018.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P-1568/18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utvrđenje i vraćenje u posjed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Grad Pula-Pola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19.11.2018.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P-1689/18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utvrđenja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15.02.2019.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Povrv-16/19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39.483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priljev-kraj 2022.g.</w:t>
            </w:r>
          </w:p>
        </w:tc>
      </w:tr>
      <w:tr w:rsidR="003C20C6" w:rsidRPr="003C20C6" w:rsidTr="002674FF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 i dr.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06.03.2019.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P-1744/18,       P-1477/17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ispravak pogrešnog upisa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08.03.2019.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P-219/19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predaja u posjed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eventualni parnični </w:t>
            </w: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18.04.2019.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Povrv-75/19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249.622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priljev-kraj 2020.g.</w:t>
            </w:r>
          </w:p>
        </w:tc>
      </w:tr>
      <w:tr w:rsidR="003C20C6" w:rsidRPr="003C20C6" w:rsidTr="00C57BF3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03.05.2019.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Pn-35/19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odljev-kraj 2021.g.</w:t>
            </w:r>
          </w:p>
        </w:tc>
      </w:tr>
      <w:tr w:rsidR="003C20C6" w:rsidRPr="003C20C6" w:rsidTr="00C57BF3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16.05.2019.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P-880/19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predaje u posjed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C57BF3">
        <w:trPr>
          <w:trHeight w:val="4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Grad Pula-Pola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07.06.2019.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P-497/19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izdavanja brisovnog očitovanja i dr.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50.82</w:t>
            </w:r>
            <w:r w:rsidR="0066534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 (protutužba)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05.07.2019.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P-497/19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23.78</w:t>
            </w:r>
            <w:r w:rsidR="0066534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priljev-kralj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11.06.2019.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P-1610/19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predaja u posjed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04.07.2019.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P-545/19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utvrđenja prava vlasništva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08.07.2019.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Povrv-299/19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13.540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priljev - kraj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09.08.2019.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Ps-6/19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predaja u posjed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19.08.2019.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P-1592/19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ispravak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201.000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19.08.2019.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P-1621/19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utvrđenja prava valsništva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pranični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13.09.2019.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P-1625/19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utvrđenje služnosti puta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pranični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13.09.2019.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Pn-123/19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odljev-kraj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13.09.2019.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P-1660/19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brisanja i isplate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101.000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odljev-kraj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11.10.2019.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Pn-144/19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odljev-kraj 2021.g.</w:t>
            </w:r>
          </w:p>
        </w:tc>
      </w:tr>
      <w:tr w:rsidR="003C20C6" w:rsidRPr="003C20C6" w:rsidTr="002674FF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23.10.2019.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P-560/19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proglašenje ovrhe nedopuštenom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parnični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31.10.2019.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Pn-161/19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579.798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odljev-kraj 2021.g.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08.11.2019.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P-1819/19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utvrđenje prava vlasništva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pranični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21.11.2019.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P-1842/19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utvrđenja prava služnosti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eventualni pranični trošak</w:t>
            </w:r>
          </w:p>
        </w:tc>
      </w:tr>
      <w:tr w:rsidR="003C20C6" w:rsidRPr="003C20C6" w:rsidTr="002674FF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 Pula-Pola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13.12.2019.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Pn-192/19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32.400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odljev-kraj 2021.g.</w:t>
            </w:r>
          </w:p>
        </w:tc>
      </w:tr>
      <w:tr w:rsidR="003C20C6" w:rsidRPr="003C20C6" w:rsidTr="002674FF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Pravna osoba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Grad Pula-Pola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Pravna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13.12.2019.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P-1901/19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6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32.12</w:t>
            </w:r>
            <w:r w:rsidR="0066534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odljev-kraj 2021.g.</w:t>
            </w:r>
          </w:p>
        </w:tc>
      </w:tr>
      <w:tr w:rsidR="003C20C6" w:rsidRPr="003C20C6" w:rsidTr="00EB2FC4">
        <w:trPr>
          <w:trHeight w:val="361"/>
        </w:trPr>
        <w:tc>
          <w:tcPr>
            <w:tcW w:w="71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0C6" w:rsidRPr="003C20C6" w:rsidRDefault="002674FF" w:rsidP="002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SVEUKUPNO 31.12.2019.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130.965.858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6" w:rsidRPr="003C20C6" w:rsidRDefault="003C20C6" w:rsidP="003C2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C20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</w:tbl>
    <w:p w:rsidR="002D7391" w:rsidRDefault="002D7391" w:rsidP="00EB2FC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2FC4" w:rsidRDefault="00EB2FC4" w:rsidP="00EB2FC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DEF" w:rsidRDefault="008B4DEF" w:rsidP="00EB2FC4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B2FC4">
        <w:rPr>
          <w:rFonts w:ascii="Times New Roman" w:hAnsi="Times New Roman" w:cs="Times New Roman"/>
          <w:b/>
        </w:rPr>
        <w:t>BILJEŠKA br. 7</w:t>
      </w:r>
      <w:r w:rsidR="00EB2FC4">
        <w:rPr>
          <w:rFonts w:ascii="Times New Roman" w:hAnsi="Times New Roman" w:cs="Times New Roman"/>
          <w:b/>
        </w:rPr>
        <w:t>4</w:t>
      </w:r>
      <w:r w:rsidRPr="00EB2FC4">
        <w:rPr>
          <w:rFonts w:ascii="Times New Roman" w:hAnsi="Times New Roman" w:cs="Times New Roman"/>
          <w:b/>
        </w:rPr>
        <w:t>.</w:t>
      </w:r>
    </w:p>
    <w:p w:rsidR="002D7391" w:rsidRDefault="008B4DEF" w:rsidP="008B4DEF">
      <w:pPr>
        <w:pStyle w:val="Style4"/>
        <w:widowControl/>
        <w:spacing w:before="100" w:beforeAutospacing="1" w:after="100" w:afterAutospacing="1" w:line="240" w:lineRule="auto"/>
        <w:ind w:firstLine="0"/>
        <w:contextualSpacing/>
        <w:rPr>
          <w:rStyle w:val="FontStyle24"/>
          <w:spacing w:val="0"/>
        </w:rPr>
      </w:pPr>
      <w:r>
        <w:rPr>
          <w:rStyle w:val="FontStyle24"/>
          <w:spacing w:val="0"/>
        </w:rPr>
        <w:t xml:space="preserve">Ostali izvanbilančni zapisi - </w:t>
      </w:r>
      <w:r w:rsidRPr="00526AD1">
        <w:rPr>
          <w:rStyle w:val="FontStyle24"/>
          <w:spacing w:val="0"/>
        </w:rPr>
        <w:t xml:space="preserve">dane suglasnosti u iznosu od </w:t>
      </w:r>
      <w:r w:rsidR="00A94E04">
        <w:rPr>
          <w:rStyle w:val="FontStyle24"/>
          <w:spacing w:val="0"/>
        </w:rPr>
        <w:t>252.948.795</w:t>
      </w:r>
      <w:r w:rsidRPr="00526AD1">
        <w:rPr>
          <w:rStyle w:val="FontStyle24"/>
          <w:spacing w:val="0"/>
        </w:rPr>
        <w:t xml:space="preserve"> kn prema tablici koja slijedi:</w:t>
      </w:r>
    </w:p>
    <w:p w:rsidR="002D7391" w:rsidRDefault="002D7391" w:rsidP="009C6857">
      <w:pPr>
        <w:pStyle w:val="Style4"/>
        <w:widowControl/>
        <w:spacing w:line="276" w:lineRule="auto"/>
        <w:ind w:firstLine="0"/>
        <w:contextualSpacing/>
        <w:rPr>
          <w:rStyle w:val="FontStyle24"/>
          <w:spacing w:val="0"/>
        </w:rPr>
      </w:pPr>
    </w:p>
    <w:tbl>
      <w:tblPr>
        <w:tblW w:w="8392" w:type="dxa"/>
        <w:jc w:val="center"/>
        <w:tblInd w:w="-450" w:type="dxa"/>
        <w:tblLook w:val="04A0"/>
      </w:tblPr>
      <w:tblGrid>
        <w:gridCol w:w="642"/>
        <w:gridCol w:w="1003"/>
        <w:gridCol w:w="4031"/>
        <w:gridCol w:w="836"/>
        <w:gridCol w:w="1880"/>
      </w:tblGrid>
      <w:tr w:rsidR="008A3970" w:rsidRPr="00A94E04" w:rsidTr="008A3970">
        <w:trPr>
          <w:trHeight w:val="645"/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RED. BR. 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RAČUN </w:t>
            </w: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NAZIV KORISNIKA SUGLASNOSTI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MB/MF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94E04" w:rsidRPr="00A94E04" w:rsidRDefault="00A94E04" w:rsidP="008A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GLAVNICA ZA OTPLATU 31.12.2019.</w:t>
            </w:r>
          </w:p>
        </w:tc>
      </w:tr>
      <w:tr w:rsidR="00A94E04" w:rsidRPr="00A94E04" w:rsidTr="008A3970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99191003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Izvanbilan.zapisi-suglasnost-PRAGRANDE d.o.o.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A94E04" w:rsidRPr="00A94E04" w:rsidTr="008A3970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99191013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Izvanbilan.zapisi-suglasnost-PLINARA d.o.o.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80.500.000</w:t>
            </w:r>
          </w:p>
        </w:tc>
      </w:tr>
      <w:tr w:rsidR="00A94E04" w:rsidRPr="00A94E04" w:rsidTr="008A3970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99191014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Izvanbilan.zapisi-suglasnost-VODOVOD d.o.o.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5.962.472</w:t>
            </w:r>
          </w:p>
        </w:tc>
      </w:tr>
      <w:tr w:rsidR="00A94E04" w:rsidRPr="00A94E04" w:rsidTr="008A3970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99191015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Izvanbilan.zapisi-suglasnost-PULA SPORT d.o.o.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13.038.384</w:t>
            </w:r>
          </w:p>
        </w:tc>
      </w:tr>
      <w:tr w:rsidR="00A94E04" w:rsidRPr="00A94E04" w:rsidTr="008A3970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99191016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Izvanbilan.zapisi-suglasnost-PULA SPORT d.o.o.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8.845.456</w:t>
            </w:r>
          </w:p>
        </w:tc>
      </w:tr>
      <w:tr w:rsidR="00A94E04" w:rsidRPr="00A94E04" w:rsidTr="008A3970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99191018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Izvanbilan.zapisi-suglasnost-PRAGRANDE d.o.o.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11.070.614</w:t>
            </w:r>
          </w:p>
        </w:tc>
      </w:tr>
      <w:tr w:rsidR="00A94E04" w:rsidRPr="00A94E04" w:rsidTr="008A3970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99191020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Izvanbilan.zapisi-suglasnosti-PLINARA d.o.o.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54.655.375</w:t>
            </w:r>
          </w:p>
        </w:tc>
      </w:tr>
      <w:tr w:rsidR="00A94E04" w:rsidRPr="00A94E04" w:rsidTr="00EB2FC4">
        <w:trPr>
          <w:trHeight w:val="300"/>
          <w:jc w:val="center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99191021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Izvanbilan.zapisi-suglasnost-DJEČJI VRTIĆ PULA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1668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232.273</w:t>
            </w:r>
          </w:p>
        </w:tc>
      </w:tr>
      <w:tr w:rsidR="008A3970" w:rsidRPr="00A94E04" w:rsidTr="008A3970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99191022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Izvanbilan.zapisi-suglasnost-LUKA PULA d.o.o.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2.264.000</w:t>
            </w:r>
          </w:p>
        </w:tc>
      </w:tr>
      <w:tr w:rsidR="00A94E04" w:rsidRPr="00A94E04" w:rsidTr="008A3970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9919124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Izvanbilan.zapisi-suglasnost-PULA SPORT d.o.o.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2227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63.104.167</w:t>
            </w:r>
          </w:p>
        </w:tc>
      </w:tr>
      <w:tr w:rsidR="00A94E04" w:rsidRPr="00A94E04" w:rsidTr="008A3970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99191025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Izvanbilan.zapisi-suglasnost-MONTE GIRO d.o.o.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5.974.180</w:t>
            </w:r>
          </w:p>
        </w:tc>
      </w:tr>
      <w:tr w:rsidR="00A94E04" w:rsidRPr="00A94E04" w:rsidTr="008A3970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99191026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Izvanbilan.zapisi-suglasnost-LUKA PULA d.o.o.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301.875</w:t>
            </w:r>
          </w:p>
        </w:tc>
      </w:tr>
      <w:tr w:rsidR="00A94E04" w:rsidRPr="00A94E04" w:rsidTr="008A3970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99191027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Izvanbilan.zapisi-suglasnost-PLINARA  d.o.o.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04" w:rsidRPr="00A94E04" w:rsidRDefault="00A94E04" w:rsidP="00A9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04" w:rsidRPr="00A94E04" w:rsidRDefault="00A94E04" w:rsidP="00A94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7.000.000</w:t>
            </w:r>
          </w:p>
        </w:tc>
      </w:tr>
      <w:tr w:rsidR="00A94E04" w:rsidRPr="00A94E04" w:rsidTr="008A3970">
        <w:trPr>
          <w:trHeight w:val="300"/>
          <w:jc w:val="center"/>
        </w:trPr>
        <w:tc>
          <w:tcPr>
            <w:tcW w:w="56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94E04" w:rsidRPr="00A94E04" w:rsidRDefault="00A94E04" w:rsidP="008A3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  99691001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94E04" w:rsidRPr="00A94E04" w:rsidRDefault="00A94E04" w:rsidP="008A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94E04" w:rsidRPr="00A94E04" w:rsidRDefault="00A94E04" w:rsidP="008A3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4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252.948.795</w:t>
            </w:r>
          </w:p>
        </w:tc>
      </w:tr>
    </w:tbl>
    <w:p w:rsidR="00EB2FC4" w:rsidRDefault="00EB2FC4">
      <w:pPr>
        <w:spacing w:after="0"/>
        <w:jc w:val="both"/>
        <w:rPr>
          <w:rStyle w:val="FontStyle24"/>
          <w:rFonts w:eastAsia="Times New Roman"/>
          <w:spacing w:val="0"/>
          <w:lang w:eastAsia="hr-HR"/>
        </w:rPr>
      </w:pPr>
    </w:p>
    <w:p w:rsidR="00EB2FC4" w:rsidRDefault="00EB2FC4">
      <w:pPr>
        <w:spacing w:after="0"/>
        <w:jc w:val="both"/>
        <w:rPr>
          <w:rStyle w:val="FontStyle24"/>
          <w:rFonts w:eastAsia="Times New Roman"/>
          <w:spacing w:val="0"/>
          <w:lang w:eastAsia="hr-HR"/>
        </w:rPr>
      </w:pPr>
    </w:p>
    <w:p w:rsidR="00EB2FC4" w:rsidRDefault="00EB2FC4">
      <w:pPr>
        <w:spacing w:after="0"/>
        <w:jc w:val="both"/>
        <w:rPr>
          <w:rStyle w:val="FontStyle24"/>
          <w:rFonts w:eastAsia="Times New Roman"/>
          <w:spacing w:val="0"/>
          <w:lang w:eastAsia="hr-HR"/>
        </w:rPr>
      </w:pPr>
    </w:p>
    <w:p w:rsidR="009114C5" w:rsidRPr="00526AD1" w:rsidRDefault="009114C5" w:rsidP="00911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D1">
        <w:rPr>
          <w:rFonts w:ascii="Times New Roman" w:hAnsi="Times New Roman" w:cs="Times New Roman"/>
          <w:b/>
          <w:sz w:val="24"/>
          <w:szCs w:val="24"/>
        </w:rPr>
        <w:t xml:space="preserve">Obrazac </w:t>
      </w:r>
      <w:r>
        <w:rPr>
          <w:rFonts w:ascii="Times New Roman" w:hAnsi="Times New Roman" w:cs="Times New Roman"/>
          <w:b/>
          <w:sz w:val="24"/>
          <w:szCs w:val="24"/>
        </w:rPr>
        <w:t>Obveze</w:t>
      </w:r>
    </w:p>
    <w:p w:rsidR="0095249B" w:rsidRDefault="0095249B" w:rsidP="0095249B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853D5A" w:rsidRDefault="00853D5A" w:rsidP="0095249B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9114C5" w:rsidRDefault="00EB2FC4" w:rsidP="0095249B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B2FC4">
        <w:rPr>
          <w:rFonts w:ascii="Times New Roman" w:hAnsi="Times New Roman" w:cs="Times New Roman"/>
          <w:b/>
        </w:rPr>
        <w:t>BILJEŠKA br. 7</w:t>
      </w:r>
      <w:r>
        <w:rPr>
          <w:rFonts w:ascii="Times New Roman" w:hAnsi="Times New Roman" w:cs="Times New Roman"/>
          <w:b/>
        </w:rPr>
        <w:t>5</w:t>
      </w:r>
      <w:r w:rsidR="009114C5" w:rsidRPr="00EB2FC4">
        <w:rPr>
          <w:rFonts w:ascii="Times New Roman" w:hAnsi="Times New Roman" w:cs="Times New Roman"/>
          <w:b/>
        </w:rPr>
        <w:t>.</w:t>
      </w:r>
    </w:p>
    <w:p w:rsidR="00CA0C87" w:rsidRPr="00AA23A9" w:rsidRDefault="00CA0C87" w:rsidP="0095249B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EB2FC4" w:rsidRDefault="009114C5" w:rsidP="0095249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AA23A9">
        <w:rPr>
          <w:rFonts w:ascii="Times New Roman" w:hAnsi="Times New Roman" w:cs="Times New Roman"/>
          <w:sz w:val="24"/>
          <w:szCs w:val="24"/>
        </w:rPr>
        <w:t>Stanje obveza na kraju i</w:t>
      </w:r>
      <w:r w:rsidR="00EB2FC4">
        <w:rPr>
          <w:rFonts w:ascii="Times New Roman" w:hAnsi="Times New Roman" w:cs="Times New Roman"/>
          <w:sz w:val="24"/>
          <w:szCs w:val="24"/>
        </w:rPr>
        <w:t>zvještajnog razdoblja (AOP036) -</w:t>
      </w:r>
      <w:r w:rsidRPr="00AA23A9">
        <w:rPr>
          <w:rFonts w:ascii="Times New Roman" w:hAnsi="Times New Roman" w:cs="Times New Roman"/>
          <w:sz w:val="24"/>
          <w:szCs w:val="24"/>
        </w:rPr>
        <w:t xml:space="preserve"> iznose </w:t>
      </w:r>
      <w:r w:rsidR="00434C5B">
        <w:rPr>
          <w:rFonts w:ascii="Times New Roman" w:hAnsi="Times New Roman" w:cs="Times New Roman"/>
          <w:sz w:val="24"/>
          <w:szCs w:val="24"/>
        </w:rPr>
        <w:t>83.303.523</w:t>
      </w:r>
      <w:r w:rsidRPr="00AA23A9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9114C5" w:rsidRPr="00526AD1" w:rsidRDefault="009114C5" w:rsidP="0095249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AD1">
        <w:rPr>
          <w:rFonts w:ascii="Times New Roman" w:hAnsi="Times New Roman" w:cs="Times New Roman"/>
          <w:bCs/>
          <w:sz w:val="24"/>
          <w:szCs w:val="24"/>
        </w:rPr>
        <w:t>Razlik</w:t>
      </w:r>
      <w:r w:rsidR="00434C5B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u odnosu na iskazane obveze u obrascu Bilanca </w:t>
      </w:r>
      <w:r w:rsidR="00434C5B">
        <w:rPr>
          <w:rFonts w:ascii="Times New Roman" w:hAnsi="Times New Roman" w:cs="Times New Roman"/>
          <w:bCs/>
          <w:sz w:val="24"/>
          <w:szCs w:val="24"/>
        </w:rPr>
        <w:t>čini iznos od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4C5B">
        <w:rPr>
          <w:rFonts w:ascii="Times New Roman" w:hAnsi="Times New Roman" w:cs="Times New Roman"/>
          <w:bCs/>
          <w:sz w:val="24"/>
          <w:szCs w:val="24"/>
        </w:rPr>
        <w:t>8.103.215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kn</w:t>
      </w:r>
      <w:r>
        <w:rPr>
          <w:rFonts w:ascii="Times New Roman" w:hAnsi="Times New Roman" w:cs="Times New Roman"/>
          <w:bCs/>
          <w:sz w:val="24"/>
          <w:szCs w:val="24"/>
        </w:rPr>
        <w:t>, a odnosi se na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obveze za</w:t>
      </w:r>
      <w:r w:rsidR="00434C5B">
        <w:rPr>
          <w:rFonts w:ascii="Times New Roman" w:hAnsi="Times New Roman" w:cs="Times New Roman"/>
          <w:bCs/>
          <w:sz w:val="24"/>
          <w:szCs w:val="24"/>
        </w:rPr>
        <w:t xml:space="preserve"> naplaćene tuđe prihode odnosno na</w:t>
      </w:r>
      <w:r>
        <w:rPr>
          <w:rFonts w:ascii="Times New Roman" w:hAnsi="Times New Roman" w:cs="Times New Roman"/>
          <w:bCs/>
          <w:sz w:val="24"/>
          <w:szCs w:val="24"/>
        </w:rPr>
        <w:t xml:space="preserve"> naknade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za ure</w:t>
      </w:r>
      <w:r w:rsidR="00AA23A9">
        <w:rPr>
          <w:rFonts w:ascii="Times New Roman" w:hAnsi="Times New Roman" w:cs="Times New Roman"/>
          <w:bCs/>
          <w:sz w:val="24"/>
          <w:szCs w:val="24"/>
        </w:rPr>
        <w:t>đenje voda za stambene prostore i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poslovne prostore za zakupce</w:t>
      </w:r>
      <w:r w:rsidR="00434C5B">
        <w:rPr>
          <w:rFonts w:ascii="Times New Roman" w:hAnsi="Times New Roman" w:cs="Times New Roman"/>
          <w:bCs/>
          <w:sz w:val="24"/>
          <w:szCs w:val="24"/>
        </w:rPr>
        <w:t xml:space="preserve"> koji se doznačuje na uplatni račun Hrvatskih voda</w:t>
      </w:r>
      <w:r w:rsidR="00EB2FC4">
        <w:rPr>
          <w:rFonts w:ascii="Times New Roman" w:hAnsi="Times New Roman" w:cs="Times New Roman"/>
          <w:bCs/>
          <w:sz w:val="24"/>
          <w:szCs w:val="24"/>
        </w:rPr>
        <w:t xml:space="preserve"> (ne smatra se obvezom Grada)</w:t>
      </w:r>
      <w:r w:rsidR="00434C5B">
        <w:rPr>
          <w:rFonts w:ascii="Times New Roman" w:hAnsi="Times New Roman" w:cs="Times New Roman"/>
          <w:bCs/>
          <w:sz w:val="24"/>
          <w:szCs w:val="24"/>
        </w:rPr>
        <w:t>.</w:t>
      </w:r>
    </w:p>
    <w:p w:rsidR="00AA23A9" w:rsidRDefault="00AA23A9" w:rsidP="0095249B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CA0C87" w:rsidRDefault="00CA0C87" w:rsidP="0095249B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AA23A9" w:rsidRDefault="00AA23A9" w:rsidP="0095249B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B2FC4">
        <w:rPr>
          <w:rFonts w:ascii="Times New Roman" w:hAnsi="Times New Roman" w:cs="Times New Roman"/>
          <w:b/>
        </w:rPr>
        <w:t>BILJEŠKA br. 7</w:t>
      </w:r>
      <w:r w:rsidR="00EB2FC4">
        <w:rPr>
          <w:rFonts w:ascii="Times New Roman" w:hAnsi="Times New Roman" w:cs="Times New Roman"/>
          <w:b/>
        </w:rPr>
        <w:t>6</w:t>
      </w:r>
      <w:r w:rsidRPr="00EB2FC4">
        <w:rPr>
          <w:rFonts w:ascii="Times New Roman" w:hAnsi="Times New Roman" w:cs="Times New Roman"/>
          <w:b/>
        </w:rPr>
        <w:t>.</w:t>
      </w:r>
    </w:p>
    <w:p w:rsidR="00CA0C87" w:rsidRPr="00AA23A9" w:rsidRDefault="00CA0C87" w:rsidP="0095249B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AA23A9" w:rsidRDefault="00F411C4" w:rsidP="00952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>U obrascu Obveze, iz prometa podskupine 239 izuzete su međusobne obveze proračunskih korisnika i iskazane u AOP003 i AOP020 sukladno Okružnici o sastavljanju, konsolidaciji i predaji financijskih izvještaja proračuna, proračunskih i izvanproračunskih korisnika državnog proračuna te proračunskih i izvanproračunskih korisnika proračuna jedinica lokalne i p</w:t>
      </w:r>
      <w:r w:rsidR="00AA23A9">
        <w:rPr>
          <w:rFonts w:ascii="Times New Roman" w:hAnsi="Times New Roman" w:cs="Times New Roman"/>
          <w:sz w:val="24"/>
          <w:szCs w:val="24"/>
        </w:rPr>
        <w:t>odručne (regionalne) samouprave.</w:t>
      </w:r>
      <w:r w:rsidRPr="00526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C5B" w:rsidRPr="00526AD1" w:rsidRDefault="00DC7823" w:rsidP="00434C5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AD1">
        <w:rPr>
          <w:rFonts w:ascii="Times New Roman" w:hAnsi="Times New Roman" w:cs="Times New Roman"/>
          <w:sz w:val="24"/>
          <w:szCs w:val="24"/>
        </w:rPr>
        <w:t xml:space="preserve">Otvorene međusobne obveze iznose </w:t>
      </w:r>
      <w:r w:rsidR="00AA23A9">
        <w:rPr>
          <w:rFonts w:ascii="Times New Roman" w:hAnsi="Times New Roman" w:cs="Times New Roman"/>
          <w:sz w:val="24"/>
          <w:szCs w:val="24"/>
        </w:rPr>
        <w:t>2.</w:t>
      </w:r>
      <w:r w:rsidR="00434C5B">
        <w:rPr>
          <w:rFonts w:ascii="Times New Roman" w:hAnsi="Times New Roman" w:cs="Times New Roman"/>
          <w:sz w:val="24"/>
          <w:szCs w:val="24"/>
        </w:rPr>
        <w:t>579.070</w:t>
      </w:r>
      <w:r w:rsidRPr="00526AD1">
        <w:rPr>
          <w:rFonts w:ascii="Times New Roman" w:hAnsi="Times New Roman" w:cs="Times New Roman"/>
          <w:sz w:val="24"/>
          <w:szCs w:val="24"/>
        </w:rPr>
        <w:t xml:space="preserve"> kn</w:t>
      </w:r>
      <w:r w:rsidR="009C6857">
        <w:rPr>
          <w:rFonts w:ascii="Times New Roman" w:hAnsi="Times New Roman" w:cs="Times New Roman"/>
          <w:sz w:val="24"/>
          <w:szCs w:val="24"/>
        </w:rPr>
        <w:t xml:space="preserve"> (AOP091)</w:t>
      </w:r>
      <w:r w:rsidR="00EB2FC4">
        <w:rPr>
          <w:rFonts w:ascii="Times New Roman" w:hAnsi="Times New Roman" w:cs="Times New Roman"/>
          <w:sz w:val="24"/>
          <w:szCs w:val="24"/>
        </w:rPr>
        <w:t>, u cijelosti čine</w:t>
      </w:r>
      <w:r w:rsidRPr="00526AD1">
        <w:rPr>
          <w:rFonts w:ascii="Times New Roman" w:hAnsi="Times New Roman" w:cs="Times New Roman"/>
          <w:sz w:val="24"/>
          <w:szCs w:val="24"/>
        </w:rPr>
        <w:t xml:space="preserve"> čine nedospjele obveze za </w:t>
      </w:r>
      <w:r w:rsidR="00883357" w:rsidRPr="00526AD1">
        <w:rPr>
          <w:rFonts w:ascii="Times New Roman" w:hAnsi="Times New Roman" w:cs="Times New Roman"/>
          <w:sz w:val="24"/>
          <w:szCs w:val="24"/>
        </w:rPr>
        <w:t xml:space="preserve">naknadu za uređenje voda </w:t>
      </w:r>
      <w:r w:rsidR="00BF4942">
        <w:rPr>
          <w:rFonts w:ascii="Times New Roman" w:hAnsi="Times New Roman" w:cs="Times New Roman"/>
          <w:sz w:val="24"/>
          <w:szCs w:val="24"/>
        </w:rPr>
        <w:t>-</w:t>
      </w:r>
      <w:r w:rsidRPr="00526AD1">
        <w:rPr>
          <w:rFonts w:ascii="Times New Roman" w:hAnsi="Times New Roman" w:cs="Times New Roman"/>
          <w:sz w:val="24"/>
          <w:szCs w:val="24"/>
        </w:rPr>
        <w:t xml:space="preserve"> stambeni i poslovni prostor</w:t>
      </w:r>
      <w:r w:rsidR="00BD72B4" w:rsidRPr="00526AD1">
        <w:rPr>
          <w:rFonts w:ascii="Times New Roman" w:hAnsi="Times New Roman" w:cs="Times New Roman"/>
          <w:sz w:val="24"/>
          <w:szCs w:val="24"/>
        </w:rPr>
        <w:t xml:space="preserve"> </w:t>
      </w:r>
      <w:r w:rsidR="003A7E83" w:rsidRPr="00526AD1">
        <w:rPr>
          <w:rFonts w:ascii="Times New Roman" w:hAnsi="Times New Roman" w:cs="Times New Roman"/>
          <w:sz w:val="24"/>
          <w:szCs w:val="24"/>
        </w:rPr>
        <w:t>-</w:t>
      </w:r>
      <w:r w:rsidR="00BD72B4" w:rsidRPr="00526AD1">
        <w:rPr>
          <w:rFonts w:ascii="Times New Roman" w:hAnsi="Times New Roman" w:cs="Times New Roman"/>
          <w:sz w:val="24"/>
          <w:szCs w:val="24"/>
        </w:rPr>
        <w:t xml:space="preserve"> zakupci što</w:t>
      </w:r>
      <w:r w:rsidRPr="00526AD1">
        <w:rPr>
          <w:rFonts w:ascii="Times New Roman" w:hAnsi="Times New Roman" w:cs="Times New Roman"/>
          <w:sz w:val="24"/>
          <w:szCs w:val="24"/>
        </w:rPr>
        <w:t xml:space="preserve"> se doznačuje Hrvatskim vodama, obveze za uplatu 55% sredstava od prodaje stanova u državni proračun temeljem obračuna za prosinac 201</w:t>
      </w:r>
      <w:r w:rsidR="00434C5B">
        <w:rPr>
          <w:rFonts w:ascii="Times New Roman" w:hAnsi="Times New Roman" w:cs="Times New Roman"/>
          <w:sz w:val="24"/>
          <w:szCs w:val="24"/>
        </w:rPr>
        <w:t>9</w:t>
      </w:r>
      <w:r w:rsidRPr="00526AD1">
        <w:rPr>
          <w:rFonts w:ascii="Times New Roman" w:hAnsi="Times New Roman" w:cs="Times New Roman"/>
          <w:sz w:val="24"/>
          <w:szCs w:val="24"/>
        </w:rPr>
        <w:t>. godine, povrate u državni proračun za neutrošena decentralizirana sredstva te obvezu za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65F3">
        <w:rPr>
          <w:rFonts w:ascii="Times New Roman" w:hAnsi="Times New Roman" w:cs="Times New Roman"/>
          <w:bCs/>
          <w:sz w:val="24"/>
          <w:szCs w:val="24"/>
        </w:rPr>
        <w:t>neu</w:t>
      </w:r>
      <w:r w:rsidR="00434C5B">
        <w:rPr>
          <w:rFonts w:ascii="Times New Roman" w:hAnsi="Times New Roman" w:cs="Times New Roman"/>
          <w:bCs/>
          <w:sz w:val="24"/>
          <w:szCs w:val="24"/>
        </w:rPr>
        <w:t>trošene vlastite i namjenske prihode/primitke proračunski</w:t>
      </w:r>
      <w:r w:rsidR="00EB2FC4">
        <w:rPr>
          <w:rFonts w:ascii="Times New Roman" w:hAnsi="Times New Roman" w:cs="Times New Roman"/>
          <w:bCs/>
          <w:sz w:val="24"/>
          <w:szCs w:val="24"/>
        </w:rPr>
        <w:t>h korisnika uplaćene u proračun.</w:t>
      </w:r>
    </w:p>
    <w:p w:rsidR="00904ACD" w:rsidRDefault="00904ACD" w:rsidP="00952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0C87" w:rsidRDefault="00CA0C87" w:rsidP="00952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23A9" w:rsidRDefault="00AA23A9" w:rsidP="0095249B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B2FC4">
        <w:rPr>
          <w:rFonts w:ascii="Times New Roman" w:hAnsi="Times New Roman" w:cs="Times New Roman"/>
          <w:b/>
        </w:rPr>
        <w:t>BILJEŠKA br. 7</w:t>
      </w:r>
      <w:r w:rsidR="00EB2FC4">
        <w:rPr>
          <w:rFonts w:ascii="Times New Roman" w:hAnsi="Times New Roman" w:cs="Times New Roman"/>
          <w:b/>
        </w:rPr>
        <w:t>7</w:t>
      </w:r>
      <w:r w:rsidRPr="00EB2FC4">
        <w:rPr>
          <w:rFonts w:ascii="Times New Roman" w:hAnsi="Times New Roman" w:cs="Times New Roman"/>
          <w:b/>
        </w:rPr>
        <w:t>.</w:t>
      </w:r>
    </w:p>
    <w:p w:rsidR="00EB2FC4" w:rsidRDefault="00EB2FC4" w:rsidP="0095249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A23A9" w:rsidRDefault="00AA23A9" w:rsidP="0095249B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AD1">
        <w:rPr>
          <w:rFonts w:ascii="Times New Roman" w:hAnsi="Times New Roman" w:cs="Times New Roman"/>
          <w:bCs/>
          <w:sz w:val="24"/>
          <w:szCs w:val="24"/>
        </w:rPr>
        <w:t xml:space="preserve">Dospjele obveze za </w:t>
      </w:r>
      <w:r>
        <w:rPr>
          <w:rFonts w:ascii="Times New Roman" w:hAnsi="Times New Roman" w:cs="Times New Roman"/>
          <w:bCs/>
          <w:sz w:val="24"/>
          <w:szCs w:val="24"/>
        </w:rPr>
        <w:t>nabavu nefinancijske imovine (AOP079)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iznose </w:t>
      </w:r>
      <w:r w:rsidR="00434C5B">
        <w:rPr>
          <w:rFonts w:ascii="Times New Roman" w:hAnsi="Times New Roman" w:cs="Times New Roman"/>
          <w:bCs/>
          <w:sz w:val="24"/>
          <w:szCs w:val="24"/>
        </w:rPr>
        <w:t>1.089.620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kn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dok se iznos od </w:t>
      </w:r>
      <w:r w:rsidR="00434C5B">
        <w:rPr>
          <w:rFonts w:ascii="Times New Roman" w:hAnsi="Times New Roman" w:cs="Times New Roman"/>
          <w:bCs/>
          <w:sz w:val="24"/>
          <w:szCs w:val="24"/>
        </w:rPr>
        <w:t>7.013.345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bCs/>
          <w:sz w:val="24"/>
          <w:szCs w:val="24"/>
        </w:rPr>
        <w:t>kn odnosi na nedospjele obveze</w:t>
      </w:r>
      <w:r w:rsidRPr="00AA23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za </w:t>
      </w:r>
      <w:r>
        <w:rPr>
          <w:rFonts w:ascii="Times New Roman" w:hAnsi="Times New Roman" w:cs="Times New Roman"/>
          <w:bCs/>
          <w:sz w:val="24"/>
          <w:szCs w:val="24"/>
        </w:rPr>
        <w:t>nabavu nefinancijske imovine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(A</w:t>
      </w:r>
      <w:r w:rsidRPr="00526AD1">
        <w:rPr>
          <w:rFonts w:ascii="Times New Roman" w:hAnsi="Times New Roman" w:cs="Times New Roman"/>
          <w:bCs/>
          <w:sz w:val="24"/>
          <w:szCs w:val="24"/>
        </w:rPr>
        <w:t>OP09</w:t>
      </w:r>
      <w:r>
        <w:rPr>
          <w:rFonts w:ascii="Times New Roman" w:hAnsi="Times New Roman" w:cs="Times New Roman"/>
          <w:bCs/>
          <w:sz w:val="24"/>
          <w:szCs w:val="24"/>
        </w:rPr>
        <w:t>3).</w:t>
      </w:r>
    </w:p>
    <w:p w:rsidR="00AA23A9" w:rsidRDefault="00AA23A9" w:rsidP="0095249B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0C87" w:rsidRDefault="00CA0C87" w:rsidP="0095249B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3A9" w:rsidRDefault="00AA23A9" w:rsidP="0095249B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  <w:r w:rsidRPr="00EB2FC4">
        <w:rPr>
          <w:rFonts w:ascii="Times New Roman" w:hAnsi="Times New Roman" w:cs="Times New Roman"/>
          <w:b/>
        </w:rPr>
        <w:lastRenderedPageBreak/>
        <w:t>BILJEŠKA br. 7</w:t>
      </w:r>
      <w:r w:rsidR="00EB2FC4">
        <w:rPr>
          <w:rFonts w:ascii="Times New Roman" w:hAnsi="Times New Roman" w:cs="Times New Roman"/>
          <w:b/>
        </w:rPr>
        <w:t>8</w:t>
      </w:r>
      <w:r w:rsidRPr="00EB2FC4">
        <w:rPr>
          <w:rFonts w:ascii="Times New Roman" w:hAnsi="Times New Roman" w:cs="Times New Roman"/>
          <w:b/>
        </w:rPr>
        <w:t>.</w:t>
      </w:r>
    </w:p>
    <w:p w:rsidR="00CA0C87" w:rsidRPr="00526AD1" w:rsidRDefault="00CA0C87" w:rsidP="0095249B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</w:rPr>
      </w:pPr>
    </w:p>
    <w:p w:rsidR="00EB2FC4" w:rsidRDefault="00AA23A9" w:rsidP="0095249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526AD1">
        <w:rPr>
          <w:rFonts w:ascii="Times New Roman" w:hAnsi="Times New Roman" w:cs="Times New Roman"/>
          <w:bCs/>
          <w:sz w:val="24"/>
          <w:szCs w:val="24"/>
        </w:rPr>
        <w:t>edospjele obveze</w:t>
      </w:r>
      <w:r w:rsidRPr="00AA23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6AD1">
        <w:rPr>
          <w:rFonts w:ascii="Times New Roman" w:hAnsi="Times New Roman" w:cs="Times New Roman"/>
          <w:bCs/>
          <w:sz w:val="24"/>
          <w:szCs w:val="24"/>
        </w:rPr>
        <w:t xml:space="preserve">za </w:t>
      </w:r>
      <w:r>
        <w:rPr>
          <w:rFonts w:ascii="Times New Roman" w:hAnsi="Times New Roman" w:cs="Times New Roman"/>
          <w:bCs/>
          <w:sz w:val="24"/>
          <w:szCs w:val="24"/>
        </w:rPr>
        <w:t xml:space="preserve">financijsku imovinu </w:t>
      </w:r>
      <w:r w:rsidR="00EB2FC4">
        <w:rPr>
          <w:rFonts w:ascii="Times New Roman" w:hAnsi="Times New Roman" w:cs="Times New Roman"/>
          <w:bCs/>
          <w:sz w:val="24"/>
          <w:szCs w:val="24"/>
        </w:rPr>
        <w:t xml:space="preserve"> ukupno  </w:t>
      </w:r>
      <w:r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434C5B">
        <w:rPr>
          <w:rFonts w:ascii="Times New Roman" w:hAnsi="Times New Roman" w:cs="Times New Roman"/>
          <w:bCs/>
          <w:sz w:val="24"/>
          <w:szCs w:val="24"/>
        </w:rPr>
        <w:t>53.406.249</w:t>
      </w:r>
      <w:r>
        <w:rPr>
          <w:rFonts w:ascii="Times New Roman" w:hAnsi="Times New Roman" w:cs="Times New Roman"/>
          <w:bCs/>
          <w:sz w:val="24"/>
          <w:szCs w:val="24"/>
        </w:rPr>
        <w:t xml:space="preserve"> kn </w:t>
      </w:r>
      <w:r w:rsidR="00EB2FC4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526AD1">
        <w:rPr>
          <w:rFonts w:ascii="Times New Roman" w:hAnsi="Times New Roman" w:cs="Times New Roman"/>
          <w:bCs/>
          <w:sz w:val="24"/>
          <w:szCs w:val="24"/>
        </w:rPr>
        <w:t>OP09</w:t>
      </w:r>
      <w:r w:rsidR="009C6857">
        <w:rPr>
          <w:rFonts w:ascii="Times New Roman" w:hAnsi="Times New Roman" w:cs="Times New Roman"/>
          <w:bCs/>
          <w:sz w:val="24"/>
          <w:szCs w:val="24"/>
        </w:rPr>
        <w:t>4</w:t>
      </w:r>
      <w:r w:rsidR="00EB2FC4">
        <w:rPr>
          <w:rFonts w:ascii="Times New Roman" w:hAnsi="Times New Roman" w:cs="Times New Roman"/>
          <w:bCs/>
          <w:sz w:val="24"/>
          <w:szCs w:val="24"/>
        </w:rPr>
        <w:t xml:space="preserve">), a odnose se na nedospjelu glavnicu po kreditima u iznosu od 40.206.249 kn odnosno </w:t>
      </w:r>
      <w:r w:rsidRPr="00AA23A9">
        <w:rPr>
          <w:rFonts w:ascii="Times New Roman" w:hAnsi="Times New Roman" w:cs="Times New Roman"/>
          <w:bCs/>
          <w:sz w:val="24"/>
          <w:szCs w:val="24"/>
        </w:rPr>
        <w:t>za OŠ Veli Vrh I faza</w:t>
      </w:r>
      <w:r w:rsidR="00EB2FC4">
        <w:rPr>
          <w:rFonts w:ascii="Times New Roman" w:hAnsi="Times New Roman" w:cs="Times New Roman"/>
          <w:bCs/>
          <w:sz w:val="24"/>
          <w:szCs w:val="24"/>
        </w:rPr>
        <w:t xml:space="preserve"> u iznosu od 17.695.874 kn </w:t>
      </w:r>
      <w:r w:rsidRPr="00AA23A9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EB2FC4">
        <w:rPr>
          <w:rFonts w:ascii="Times New Roman" w:hAnsi="Times New Roman" w:cs="Times New Roman"/>
          <w:bCs/>
          <w:sz w:val="24"/>
          <w:szCs w:val="24"/>
        </w:rPr>
        <w:t xml:space="preserve">OŠ Veli Vrh </w:t>
      </w:r>
      <w:r w:rsidRPr="00AA23A9">
        <w:rPr>
          <w:rFonts w:ascii="Times New Roman" w:hAnsi="Times New Roman" w:cs="Times New Roman"/>
          <w:bCs/>
          <w:sz w:val="24"/>
          <w:szCs w:val="24"/>
        </w:rPr>
        <w:t xml:space="preserve">II faza u iznosu od </w:t>
      </w:r>
      <w:r w:rsidR="00EB2FC4">
        <w:rPr>
          <w:rFonts w:ascii="Times New Roman" w:hAnsi="Times New Roman" w:cs="Times New Roman"/>
          <w:bCs/>
          <w:sz w:val="24"/>
          <w:szCs w:val="24"/>
        </w:rPr>
        <w:t>22.510.375 kn.</w:t>
      </w:r>
    </w:p>
    <w:p w:rsidR="00AA23A9" w:rsidRDefault="00EB2FC4" w:rsidP="0095249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Razliku od 13.200.000 kn čini </w:t>
      </w:r>
      <w:r w:rsidR="00AA23A9" w:rsidRPr="00AA23A9">
        <w:rPr>
          <w:rFonts w:ascii="Times New Roman" w:hAnsi="Times New Roman" w:cs="Times New Roman"/>
          <w:sz w:val="24"/>
          <w:szCs w:val="24"/>
        </w:rPr>
        <w:t>financijski zajam za financiranje izgradnje kružnog toka uz prateću komunalnu infrastruktur</w:t>
      </w:r>
      <w:r>
        <w:rPr>
          <w:rFonts w:ascii="Times New Roman" w:hAnsi="Times New Roman" w:cs="Times New Roman"/>
          <w:sz w:val="24"/>
          <w:szCs w:val="24"/>
        </w:rPr>
        <w:t>u na cesti Prekomorskih brigada.</w:t>
      </w:r>
    </w:p>
    <w:p w:rsidR="00EB2FC4" w:rsidRPr="00AA23A9" w:rsidRDefault="00EB2FC4" w:rsidP="0095249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3A9" w:rsidRPr="00836C99" w:rsidRDefault="00AA23A9" w:rsidP="0095249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3A9" w:rsidRDefault="00AA23A9" w:rsidP="0095249B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4C5B" w:rsidRDefault="000549BB" w:rsidP="0095249B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Bilješke sastavila: </w:t>
      </w:r>
      <w:r w:rsidR="00434C5B">
        <w:rPr>
          <w:rFonts w:ascii="Times New Roman" w:hAnsi="Times New Roman" w:cs="Times New Roman"/>
          <w:bCs/>
          <w:sz w:val="24"/>
          <w:szCs w:val="24"/>
        </w:rPr>
        <w:tab/>
      </w:r>
    </w:p>
    <w:p w:rsidR="000549BB" w:rsidRDefault="000549BB" w:rsidP="0095249B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Katja Škopac Koroman</w:t>
      </w:r>
    </w:p>
    <w:p w:rsidR="00434C5B" w:rsidRDefault="00434C5B" w:rsidP="00434C5B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Voditelj pododsjeka za knjigovodstvo</w:t>
      </w:r>
    </w:p>
    <w:p w:rsidR="00BE5B55" w:rsidRDefault="00BE5B55" w:rsidP="0095249B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853D5A" w:rsidRDefault="00853D5A" w:rsidP="0095249B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0549BB" w:rsidRDefault="000549BB" w:rsidP="0095249B">
      <w:pPr>
        <w:pStyle w:val="Style20"/>
        <w:widowControl/>
        <w:spacing w:line="276" w:lineRule="auto"/>
        <w:contextualSpacing/>
        <w:rPr>
          <w:rFonts w:ascii="Times New Roman" w:hAnsi="Times New Roman" w:cs="Times New Roman"/>
          <w:b/>
        </w:rPr>
      </w:pPr>
    </w:p>
    <w:p w:rsidR="000549BB" w:rsidRDefault="000549BB" w:rsidP="000549BB">
      <w:pPr>
        <w:pStyle w:val="Style20"/>
        <w:widowControl/>
        <w:spacing w:line="276" w:lineRule="auto"/>
        <w:ind w:firstLine="6237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P.O.GRADONAČELNIKA</w:t>
      </w:r>
    </w:p>
    <w:p w:rsidR="000549BB" w:rsidRPr="00526AD1" w:rsidRDefault="000549BB" w:rsidP="000549BB">
      <w:pPr>
        <w:pStyle w:val="Style20"/>
        <w:widowControl/>
        <w:spacing w:line="276" w:lineRule="auto"/>
        <w:ind w:firstLine="6237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Vesna Sajić, mag.oec</w:t>
      </w:r>
    </w:p>
    <w:sectPr w:rsidR="000549BB" w:rsidRPr="00526AD1" w:rsidSect="00A02CC6">
      <w:footerReference w:type="default" r:id="rId9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F04" w:rsidRDefault="009B0F04" w:rsidP="00E23CA1">
      <w:pPr>
        <w:spacing w:after="0" w:line="240" w:lineRule="auto"/>
      </w:pPr>
      <w:r>
        <w:separator/>
      </w:r>
    </w:p>
  </w:endnote>
  <w:endnote w:type="continuationSeparator" w:id="0">
    <w:p w:rsidR="009B0F04" w:rsidRDefault="009B0F04" w:rsidP="00E2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3330"/>
      <w:docPartObj>
        <w:docPartGallery w:val="Page Numbers (Bottom of Page)"/>
        <w:docPartUnique/>
      </w:docPartObj>
    </w:sdtPr>
    <w:sdtContent>
      <w:p w:rsidR="00E23CA1" w:rsidRDefault="00E23CA1">
        <w:pPr>
          <w:pStyle w:val="Footer"/>
          <w:jc w:val="right"/>
        </w:pPr>
      </w:p>
      <w:p w:rsidR="00E23CA1" w:rsidRDefault="00E23CA1">
        <w:pPr>
          <w:pStyle w:val="Footer"/>
          <w:jc w:val="right"/>
        </w:pPr>
      </w:p>
      <w:p w:rsidR="00E23CA1" w:rsidRDefault="00FE2153">
        <w:pPr>
          <w:pStyle w:val="Footer"/>
          <w:jc w:val="right"/>
        </w:pPr>
        <w:fldSimple w:instr=" PAGE   \* MERGEFORMAT ">
          <w:r w:rsidR="00BF4942">
            <w:rPr>
              <w:noProof/>
            </w:rPr>
            <w:t>33</w:t>
          </w:r>
        </w:fldSimple>
      </w:p>
    </w:sdtContent>
  </w:sdt>
  <w:p w:rsidR="00E23CA1" w:rsidRDefault="00E23C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F04" w:rsidRDefault="009B0F04" w:rsidP="00E23CA1">
      <w:pPr>
        <w:spacing w:after="0" w:line="240" w:lineRule="auto"/>
      </w:pPr>
      <w:r>
        <w:separator/>
      </w:r>
    </w:p>
  </w:footnote>
  <w:footnote w:type="continuationSeparator" w:id="0">
    <w:p w:rsidR="009B0F04" w:rsidRDefault="009B0F04" w:rsidP="00E2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4BF"/>
    <w:multiLevelType w:val="hybridMultilevel"/>
    <w:tmpl w:val="891204B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3A3977"/>
    <w:multiLevelType w:val="hybridMultilevel"/>
    <w:tmpl w:val="8D266A0A"/>
    <w:lvl w:ilvl="0" w:tplc="0B202284">
      <w:start w:val="574"/>
      <w:numFmt w:val="bullet"/>
      <w:lvlText w:val="-"/>
      <w:lvlJc w:val="left"/>
      <w:pPr>
        <w:ind w:left="927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9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7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4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21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28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35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43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5032" w:hanging="360"/>
      </w:pPr>
      <w:rPr>
        <w:rFonts w:ascii="Wingdings" w:hAnsi="Wingdings" w:hint="default"/>
      </w:rPr>
    </w:lvl>
  </w:abstractNum>
  <w:abstractNum w:abstractNumId="2">
    <w:nsid w:val="094B2CB2"/>
    <w:multiLevelType w:val="hybridMultilevel"/>
    <w:tmpl w:val="C41879FA"/>
    <w:lvl w:ilvl="0" w:tplc="0B202284">
      <w:start w:val="57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D11DB"/>
    <w:multiLevelType w:val="hybridMultilevel"/>
    <w:tmpl w:val="55ECC4A2"/>
    <w:lvl w:ilvl="0" w:tplc="041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4">
    <w:nsid w:val="0D6C24B2"/>
    <w:multiLevelType w:val="hybridMultilevel"/>
    <w:tmpl w:val="E2489EB4"/>
    <w:lvl w:ilvl="0" w:tplc="D5F46C0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0E95F68"/>
    <w:multiLevelType w:val="hybridMultilevel"/>
    <w:tmpl w:val="0B9A7E1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2438F4"/>
    <w:multiLevelType w:val="hybridMultilevel"/>
    <w:tmpl w:val="DA266D50"/>
    <w:lvl w:ilvl="0" w:tplc="9510075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13891A01"/>
    <w:multiLevelType w:val="hybridMultilevel"/>
    <w:tmpl w:val="2F32DF56"/>
    <w:lvl w:ilvl="0" w:tplc="0B202284">
      <w:start w:val="57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74B8D"/>
    <w:multiLevelType w:val="hybridMultilevel"/>
    <w:tmpl w:val="9F0401F4"/>
    <w:lvl w:ilvl="0" w:tplc="1D7437DE">
      <w:start w:val="35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86C2C36"/>
    <w:multiLevelType w:val="hybridMultilevel"/>
    <w:tmpl w:val="B49EBDC4"/>
    <w:lvl w:ilvl="0" w:tplc="041A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18774777"/>
    <w:multiLevelType w:val="hybridMultilevel"/>
    <w:tmpl w:val="23DE74E8"/>
    <w:lvl w:ilvl="0" w:tplc="0B202284">
      <w:start w:val="57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C4057"/>
    <w:multiLevelType w:val="hybridMultilevel"/>
    <w:tmpl w:val="3280BBCA"/>
    <w:lvl w:ilvl="0" w:tplc="0B202284">
      <w:start w:val="57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F85A9D"/>
    <w:multiLevelType w:val="hybridMultilevel"/>
    <w:tmpl w:val="EA4AA36A"/>
    <w:lvl w:ilvl="0" w:tplc="0B202284">
      <w:start w:val="574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650D2F"/>
    <w:multiLevelType w:val="hybridMultilevel"/>
    <w:tmpl w:val="CD280A8C"/>
    <w:lvl w:ilvl="0" w:tplc="922AF96C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A62CA"/>
    <w:multiLevelType w:val="hybridMultilevel"/>
    <w:tmpl w:val="A4829630"/>
    <w:lvl w:ilvl="0" w:tplc="0B202284">
      <w:start w:val="57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71D8D"/>
    <w:multiLevelType w:val="hybridMultilevel"/>
    <w:tmpl w:val="AE6CE29A"/>
    <w:lvl w:ilvl="0" w:tplc="8A50A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36348"/>
    <w:multiLevelType w:val="hybridMultilevel"/>
    <w:tmpl w:val="2AD2271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F94E8D"/>
    <w:multiLevelType w:val="hybridMultilevel"/>
    <w:tmpl w:val="960817C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B029DE"/>
    <w:multiLevelType w:val="hybridMultilevel"/>
    <w:tmpl w:val="C32A94C6"/>
    <w:lvl w:ilvl="0" w:tplc="0B202284">
      <w:start w:val="57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93651"/>
    <w:multiLevelType w:val="hybridMultilevel"/>
    <w:tmpl w:val="B44ECBF2"/>
    <w:lvl w:ilvl="0" w:tplc="0B202284">
      <w:start w:val="57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44317"/>
    <w:multiLevelType w:val="hybridMultilevel"/>
    <w:tmpl w:val="0152F70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526907"/>
    <w:multiLevelType w:val="hybridMultilevel"/>
    <w:tmpl w:val="ECEEE4FC"/>
    <w:lvl w:ilvl="0" w:tplc="041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BC00575"/>
    <w:multiLevelType w:val="hybridMultilevel"/>
    <w:tmpl w:val="0F9C1E72"/>
    <w:lvl w:ilvl="0" w:tplc="0B202284">
      <w:start w:val="57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4857CA"/>
    <w:multiLevelType w:val="hybridMultilevel"/>
    <w:tmpl w:val="6A4A1A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0468F7"/>
    <w:multiLevelType w:val="hybridMultilevel"/>
    <w:tmpl w:val="4386E640"/>
    <w:lvl w:ilvl="0" w:tplc="0B202284">
      <w:start w:val="57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B7182"/>
    <w:multiLevelType w:val="hybridMultilevel"/>
    <w:tmpl w:val="BF3A8BF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0B6773"/>
    <w:multiLevelType w:val="hybridMultilevel"/>
    <w:tmpl w:val="D43C90F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5DF3D60"/>
    <w:multiLevelType w:val="hybridMultilevel"/>
    <w:tmpl w:val="DE9C99F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03149E"/>
    <w:multiLevelType w:val="hybridMultilevel"/>
    <w:tmpl w:val="3F562234"/>
    <w:lvl w:ilvl="0" w:tplc="041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5A03CB"/>
    <w:multiLevelType w:val="hybridMultilevel"/>
    <w:tmpl w:val="BA3298D0"/>
    <w:lvl w:ilvl="0" w:tplc="0B202284">
      <w:start w:val="57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FD6E0A"/>
    <w:multiLevelType w:val="hybridMultilevel"/>
    <w:tmpl w:val="78C82EE4"/>
    <w:lvl w:ilvl="0" w:tplc="041A0003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1">
    <w:nsid w:val="48511904"/>
    <w:multiLevelType w:val="hybridMultilevel"/>
    <w:tmpl w:val="0408EEBA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2A17A3"/>
    <w:multiLevelType w:val="hybridMultilevel"/>
    <w:tmpl w:val="9CE6BDDE"/>
    <w:lvl w:ilvl="0" w:tplc="0B202284">
      <w:start w:val="57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BB6629"/>
    <w:multiLevelType w:val="hybridMultilevel"/>
    <w:tmpl w:val="DB004098"/>
    <w:lvl w:ilvl="0" w:tplc="0B202284">
      <w:start w:val="57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931597"/>
    <w:multiLevelType w:val="hybridMultilevel"/>
    <w:tmpl w:val="D25C949E"/>
    <w:lvl w:ilvl="0" w:tplc="041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>
    <w:nsid w:val="548F36C8"/>
    <w:multiLevelType w:val="hybridMultilevel"/>
    <w:tmpl w:val="C2560502"/>
    <w:lvl w:ilvl="0" w:tplc="8A50A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F876FF"/>
    <w:multiLevelType w:val="hybridMultilevel"/>
    <w:tmpl w:val="E0CCA1BA"/>
    <w:lvl w:ilvl="0" w:tplc="0B202284">
      <w:start w:val="57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3106D6"/>
    <w:multiLevelType w:val="hybridMultilevel"/>
    <w:tmpl w:val="1A360BD8"/>
    <w:lvl w:ilvl="0" w:tplc="0B202284">
      <w:start w:val="57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F739DE"/>
    <w:multiLevelType w:val="hybridMultilevel"/>
    <w:tmpl w:val="57A6D420"/>
    <w:lvl w:ilvl="0" w:tplc="8A50A130"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9">
    <w:nsid w:val="679163D9"/>
    <w:multiLevelType w:val="hybridMultilevel"/>
    <w:tmpl w:val="3F9EEA06"/>
    <w:lvl w:ilvl="0" w:tplc="DD6047C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F07307"/>
    <w:multiLevelType w:val="hybridMultilevel"/>
    <w:tmpl w:val="E29AE494"/>
    <w:lvl w:ilvl="0" w:tplc="0B202284">
      <w:start w:val="57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F4A55"/>
    <w:multiLevelType w:val="hybridMultilevel"/>
    <w:tmpl w:val="A4AA80F0"/>
    <w:lvl w:ilvl="0" w:tplc="218672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EA5CEF"/>
    <w:multiLevelType w:val="hybridMultilevel"/>
    <w:tmpl w:val="699E2E40"/>
    <w:lvl w:ilvl="0" w:tplc="8B92DD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D03FB5"/>
    <w:multiLevelType w:val="hybridMultilevel"/>
    <w:tmpl w:val="7E6EC0A2"/>
    <w:lvl w:ilvl="0" w:tplc="59FA3A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271159"/>
    <w:multiLevelType w:val="hybridMultilevel"/>
    <w:tmpl w:val="46720A7A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B55123"/>
    <w:multiLevelType w:val="hybridMultilevel"/>
    <w:tmpl w:val="1B1C84C4"/>
    <w:lvl w:ilvl="0" w:tplc="041A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6">
    <w:nsid w:val="793B1616"/>
    <w:multiLevelType w:val="hybridMultilevel"/>
    <w:tmpl w:val="06A8DDEE"/>
    <w:lvl w:ilvl="0" w:tplc="0B202284">
      <w:start w:val="57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3C0013"/>
    <w:multiLevelType w:val="hybridMultilevel"/>
    <w:tmpl w:val="05FAB464"/>
    <w:lvl w:ilvl="0" w:tplc="D5F46C0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8">
    <w:nsid w:val="7BF66074"/>
    <w:multiLevelType w:val="hybridMultilevel"/>
    <w:tmpl w:val="FA7C1CC4"/>
    <w:lvl w:ilvl="0" w:tplc="0B202284">
      <w:start w:val="57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3"/>
  </w:num>
  <w:num w:numId="3">
    <w:abstractNumId w:val="5"/>
  </w:num>
  <w:num w:numId="4">
    <w:abstractNumId w:val="36"/>
  </w:num>
  <w:num w:numId="5">
    <w:abstractNumId w:val="3"/>
  </w:num>
  <w:num w:numId="6">
    <w:abstractNumId w:val="10"/>
  </w:num>
  <w:num w:numId="7">
    <w:abstractNumId w:val="26"/>
  </w:num>
  <w:num w:numId="8">
    <w:abstractNumId w:val="2"/>
  </w:num>
  <w:num w:numId="9">
    <w:abstractNumId w:val="45"/>
  </w:num>
  <w:num w:numId="10">
    <w:abstractNumId w:val="33"/>
  </w:num>
  <w:num w:numId="11">
    <w:abstractNumId w:val="7"/>
  </w:num>
  <w:num w:numId="12">
    <w:abstractNumId w:val="22"/>
  </w:num>
  <w:num w:numId="13">
    <w:abstractNumId w:val="24"/>
  </w:num>
  <w:num w:numId="14">
    <w:abstractNumId w:val="37"/>
  </w:num>
  <w:num w:numId="15">
    <w:abstractNumId w:val="16"/>
  </w:num>
  <w:num w:numId="16">
    <w:abstractNumId w:val="32"/>
  </w:num>
  <w:num w:numId="17">
    <w:abstractNumId w:val="40"/>
  </w:num>
  <w:num w:numId="18">
    <w:abstractNumId w:val="35"/>
  </w:num>
  <w:num w:numId="19">
    <w:abstractNumId w:val="38"/>
  </w:num>
  <w:num w:numId="20">
    <w:abstractNumId w:val="15"/>
  </w:num>
  <w:num w:numId="21">
    <w:abstractNumId w:val="29"/>
  </w:num>
  <w:num w:numId="22">
    <w:abstractNumId w:val="30"/>
  </w:num>
  <w:num w:numId="23">
    <w:abstractNumId w:val="19"/>
  </w:num>
  <w:num w:numId="24">
    <w:abstractNumId w:val="14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0"/>
  </w:num>
  <w:num w:numId="28">
    <w:abstractNumId w:val="8"/>
  </w:num>
  <w:num w:numId="29">
    <w:abstractNumId w:val="41"/>
  </w:num>
  <w:num w:numId="30">
    <w:abstractNumId w:val="42"/>
  </w:num>
  <w:num w:numId="31">
    <w:abstractNumId w:val="46"/>
  </w:num>
  <w:num w:numId="32">
    <w:abstractNumId w:val="31"/>
  </w:num>
  <w:num w:numId="33">
    <w:abstractNumId w:val="34"/>
  </w:num>
  <w:num w:numId="34">
    <w:abstractNumId w:val="47"/>
  </w:num>
  <w:num w:numId="35">
    <w:abstractNumId w:val="0"/>
  </w:num>
  <w:num w:numId="36">
    <w:abstractNumId w:val="4"/>
  </w:num>
  <w:num w:numId="37">
    <w:abstractNumId w:val="43"/>
  </w:num>
  <w:num w:numId="38">
    <w:abstractNumId w:val="12"/>
  </w:num>
  <w:num w:numId="39">
    <w:abstractNumId w:val="23"/>
  </w:num>
  <w:num w:numId="40">
    <w:abstractNumId w:val="11"/>
  </w:num>
  <w:num w:numId="41">
    <w:abstractNumId w:val="1"/>
  </w:num>
  <w:num w:numId="42">
    <w:abstractNumId w:val="18"/>
  </w:num>
  <w:num w:numId="43">
    <w:abstractNumId w:val="17"/>
  </w:num>
  <w:num w:numId="44">
    <w:abstractNumId w:val="27"/>
  </w:num>
  <w:num w:numId="45">
    <w:abstractNumId w:val="48"/>
  </w:num>
  <w:num w:numId="46">
    <w:abstractNumId w:val="9"/>
  </w:num>
  <w:num w:numId="47">
    <w:abstractNumId w:val="25"/>
  </w:num>
  <w:num w:numId="48">
    <w:abstractNumId w:val="21"/>
  </w:num>
  <w:num w:numId="49">
    <w:abstractNumId w:val="3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DBB"/>
    <w:rsid w:val="00005D3A"/>
    <w:rsid w:val="00006B6B"/>
    <w:rsid w:val="00006EAD"/>
    <w:rsid w:val="000178CC"/>
    <w:rsid w:val="0002235F"/>
    <w:rsid w:val="0002320C"/>
    <w:rsid w:val="00025EAD"/>
    <w:rsid w:val="000429D8"/>
    <w:rsid w:val="00043B46"/>
    <w:rsid w:val="000455B8"/>
    <w:rsid w:val="0005070F"/>
    <w:rsid w:val="000530DC"/>
    <w:rsid w:val="00053AAD"/>
    <w:rsid w:val="000547C0"/>
    <w:rsid w:val="000549BB"/>
    <w:rsid w:val="0005683A"/>
    <w:rsid w:val="0006046D"/>
    <w:rsid w:val="00070CED"/>
    <w:rsid w:val="00074038"/>
    <w:rsid w:val="00083BE0"/>
    <w:rsid w:val="00091621"/>
    <w:rsid w:val="0009763E"/>
    <w:rsid w:val="000A06C3"/>
    <w:rsid w:val="000A34ED"/>
    <w:rsid w:val="000B1C8D"/>
    <w:rsid w:val="000B285D"/>
    <w:rsid w:val="000B3ECF"/>
    <w:rsid w:val="000C3181"/>
    <w:rsid w:val="000C4C64"/>
    <w:rsid w:val="000D3B42"/>
    <w:rsid w:val="000D44B2"/>
    <w:rsid w:val="000E4453"/>
    <w:rsid w:val="000F1B18"/>
    <w:rsid w:val="00100FC0"/>
    <w:rsid w:val="00103949"/>
    <w:rsid w:val="00104166"/>
    <w:rsid w:val="00113E99"/>
    <w:rsid w:val="00123470"/>
    <w:rsid w:val="00125AB2"/>
    <w:rsid w:val="00131530"/>
    <w:rsid w:val="00133388"/>
    <w:rsid w:val="00136983"/>
    <w:rsid w:val="00144F72"/>
    <w:rsid w:val="001512F5"/>
    <w:rsid w:val="001529B9"/>
    <w:rsid w:val="00154B89"/>
    <w:rsid w:val="0015614F"/>
    <w:rsid w:val="00157DE8"/>
    <w:rsid w:val="001604A8"/>
    <w:rsid w:val="00161CC3"/>
    <w:rsid w:val="00163EBB"/>
    <w:rsid w:val="00164792"/>
    <w:rsid w:val="00165BE4"/>
    <w:rsid w:val="00170360"/>
    <w:rsid w:val="001715D7"/>
    <w:rsid w:val="00171C18"/>
    <w:rsid w:val="00173D4E"/>
    <w:rsid w:val="001747A6"/>
    <w:rsid w:val="00174DBB"/>
    <w:rsid w:val="00177D6A"/>
    <w:rsid w:val="00177F63"/>
    <w:rsid w:val="00183B3A"/>
    <w:rsid w:val="001948C7"/>
    <w:rsid w:val="0019498B"/>
    <w:rsid w:val="001A115F"/>
    <w:rsid w:val="001B0A83"/>
    <w:rsid w:val="001B42E1"/>
    <w:rsid w:val="001C1520"/>
    <w:rsid w:val="001C6DC8"/>
    <w:rsid w:val="001D103D"/>
    <w:rsid w:val="001D1E7E"/>
    <w:rsid w:val="001E0CF5"/>
    <w:rsid w:val="001E12E2"/>
    <w:rsid w:val="001E621A"/>
    <w:rsid w:val="001E6C16"/>
    <w:rsid w:val="001E7827"/>
    <w:rsid w:val="001F0F67"/>
    <w:rsid w:val="001F2731"/>
    <w:rsid w:val="001F52F2"/>
    <w:rsid w:val="001F5B6E"/>
    <w:rsid w:val="001F6033"/>
    <w:rsid w:val="00201BE5"/>
    <w:rsid w:val="002047CA"/>
    <w:rsid w:val="00217633"/>
    <w:rsid w:val="00220DFB"/>
    <w:rsid w:val="00221600"/>
    <w:rsid w:val="0022283D"/>
    <w:rsid w:val="002312C1"/>
    <w:rsid w:val="00232423"/>
    <w:rsid w:val="00234DDC"/>
    <w:rsid w:val="002367ED"/>
    <w:rsid w:val="00242028"/>
    <w:rsid w:val="00245059"/>
    <w:rsid w:val="00245ACD"/>
    <w:rsid w:val="00245B14"/>
    <w:rsid w:val="00246904"/>
    <w:rsid w:val="00250AD8"/>
    <w:rsid w:val="00262168"/>
    <w:rsid w:val="002655D3"/>
    <w:rsid w:val="00265AE5"/>
    <w:rsid w:val="002674FF"/>
    <w:rsid w:val="002816E9"/>
    <w:rsid w:val="002820E0"/>
    <w:rsid w:val="00286736"/>
    <w:rsid w:val="00293A05"/>
    <w:rsid w:val="00297A04"/>
    <w:rsid w:val="002A0817"/>
    <w:rsid w:val="002A5374"/>
    <w:rsid w:val="002B62CC"/>
    <w:rsid w:val="002C182D"/>
    <w:rsid w:val="002C335C"/>
    <w:rsid w:val="002C4B12"/>
    <w:rsid w:val="002C4C18"/>
    <w:rsid w:val="002C6BFA"/>
    <w:rsid w:val="002D2E26"/>
    <w:rsid w:val="002D7391"/>
    <w:rsid w:val="002E0202"/>
    <w:rsid w:val="002E05C1"/>
    <w:rsid w:val="002E2106"/>
    <w:rsid w:val="002E619D"/>
    <w:rsid w:val="002E6C4D"/>
    <w:rsid w:val="002E6CCD"/>
    <w:rsid w:val="002F49A8"/>
    <w:rsid w:val="002F6DC1"/>
    <w:rsid w:val="002F6F95"/>
    <w:rsid w:val="00303020"/>
    <w:rsid w:val="00304998"/>
    <w:rsid w:val="00305241"/>
    <w:rsid w:val="00305374"/>
    <w:rsid w:val="003100E4"/>
    <w:rsid w:val="003215AE"/>
    <w:rsid w:val="0033664B"/>
    <w:rsid w:val="0034009D"/>
    <w:rsid w:val="003501D6"/>
    <w:rsid w:val="0035527A"/>
    <w:rsid w:val="003563CB"/>
    <w:rsid w:val="00361568"/>
    <w:rsid w:val="0036164A"/>
    <w:rsid w:val="00365C02"/>
    <w:rsid w:val="0036674A"/>
    <w:rsid w:val="003710F0"/>
    <w:rsid w:val="00374471"/>
    <w:rsid w:val="00375D4A"/>
    <w:rsid w:val="00381D3A"/>
    <w:rsid w:val="003851D7"/>
    <w:rsid w:val="00392A71"/>
    <w:rsid w:val="00397AF6"/>
    <w:rsid w:val="00397DB4"/>
    <w:rsid w:val="003A1188"/>
    <w:rsid w:val="003A1963"/>
    <w:rsid w:val="003A6FC1"/>
    <w:rsid w:val="003A7BA0"/>
    <w:rsid w:val="003A7DF0"/>
    <w:rsid w:val="003A7E83"/>
    <w:rsid w:val="003B535A"/>
    <w:rsid w:val="003C1304"/>
    <w:rsid w:val="003C20C6"/>
    <w:rsid w:val="003C2A07"/>
    <w:rsid w:val="003C5B07"/>
    <w:rsid w:val="003D1852"/>
    <w:rsid w:val="003D473E"/>
    <w:rsid w:val="003E0CAA"/>
    <w:rsid w:val="003E3B6D"/>
    <w:rsid w:val="003E4E15"/>
    <w:rsid w:val="003E5EE9"/>
    <w:rsid w:val="003E734A"/>
    <w:rsid w:val="003E7630"/>
    <w:rsid w:val="003F01F2"/>
    <w:rsid w:val="003F1B27"/>
    <w:rsid w:val="003F2845"/>
    <w:rsid w:val="00402A62"/>
    <w:rsid w:val="004059A7"/>
    <w:rsid w:val="004064FE"/>
    <w:rsid w:val="00410CB1"/>
    <w:rsid w:val="00413FE1"/>
    <w:rsid w:val="00417BE5"/>
    <w:rsid w:val="00422954"/>
    <w:rsid w:val="00424514"/>
    <w:rsid w:val="00426D9F"/>
    <w:rsid w:val="00426DFE"/>
    <w:rsid w:val="00427233"/>
    <w:rsid w:val="00433087"/>
    <w:rsid w:val="00434C5B"/>
    <w:rsid w:val="00435A19"/>
    <w:rsid w:val="004425CD"/>
    <w:rsid w:val="00442E31"/>
    <w:rsid w:val="00443A88"/>
    <w:rsid w:val="00444909"/>
    <w:rsid w:val="004524A0"/>
    <w:rsid w:val="0046231D"/>
    <w:rsid w:val="004675A3"/>
    <w:rsid w:val="00482DEB"/>
    <w:rsid w:val="0048681D"/>
    <w:rsid w:val="00492607"/>
    <w:rsid w:val="00494A63"/>
    <w:rsid w:val="00495562"/>
    <w:rsid w:val="00497899"/>
    <w:rsid w:val="004A1EB9"/>
    <w:rsid w:val="004A2799"/>
    <w:rsid w:val="004B02F9"/>
    <w:rsid w:val="004B28F6"/>
    <w:rsid w:val="004B2F78"/>
    <w:rsid w:val="004B68A7"/>
    <w:rsid w:val="004C22BC"/>
    <w:rsid w:val="004C3F55"/>
    <w:rsid w:val="004D09CB"/>
    <w:rsid w:val="004D125B"/>
    <w:rsid w:val="004D1D02"/>
    <w:rsid w:val="004D4FB2"/>
    <w:rsid w:val="004D5E2A"/>
    <w:rsid w:val="004E0535"/>
    <w:rsid w:val="004E1D4B"/>
    <w:rsid w:val="004E7F7C"/>
    <w:rsid w:val="004F144F"/>
    <w:rsid w:val="004F276D"/>
    <w:rsid w:val="004F4E58"/>
    <w:rsid w:val="004F735E"/>
    <w:rsid w:val="005103FB"/>
    <w:rsid w:val="00515457"/>
    <w:rsid w:val="00520016"/>
    <w:rsid w:val="00521461"/>
    <w:rsid w:val="00522907"/>
    <w:rsid w:val="00522FE4"/>
    <w:rsid w:val="005236D1"/>
    <w:rsid w:val="00525422"/>
    <w:rsid w:val="00525C15"/>
    <w:rsid w:val="00526AD1"/>
    <w:rsid w:val="0053048D"/>
    <w:rsid w:val="005311E1"/>
    <w:rsid w:val="005352F7"/>
    <w:rsid w:val="00542AE2"/>
    <w:rsid w:val="00543597"/>
    <w:rsid w:val="00553BA1"/>
    <w:rsid w:val="00556965"/>
    <w:rsid w:val="005569C7"/>
    <w:rsid w:val="00567A20"/>
    <w:rsid w:val="00576279"/>
    <w:rsid w:val="00576340"/>
    <w:rsid w:val="005843AE"/>
    <w:rsid w:val="00584D29"/>
    <w:rsid w:val="005856FC"/>
    <w:rsid w:val="005901AC"/>
    <w:rsid w:val="005977DB"/>
    <w:rsid w:val="005A0A2A"/>
    <w:rsid w:val="005A0C69"/>
    <w:rsid w:val="005B050D"/>
    <w:rsid w:val="005B6372"/>
    <w:rsid w:val="005C42E5"/>
    <w:rsid w:val="005C4C66"/>
    <w:rsid w:val="005C5A8C"/>
    <w:rsid w:val="005C700A"/>
    <w:rsid w:val="005D4E58"/>
    <w:rsid w:val="005E29B3"/>
    <w:rsid w:val="005E4362"/>
    <w:rsid w:val="005E5881"/>
    <w:rsid w:val="005F04B8"/>
    <w:rsid w:val="005F1326"/>
    <w:rsid w:val="0060111E"/>
    <w:rsid w:val="006017E0"/>
    <w:rsid w:val="00602441"/>
    <w:rsid w:val="006075CA"/>
    <w:rsid w:val="006114AE"/>
    <w:rsid w:val="00611C6D"/>
    <w:rsid w:val="00612018"/>
    <w:rsid w:val="00615836"/>
    <w:rsid w:val="0062083B"/>
    <w:rsid w:val="006253F9"/>
    <w:rsid w:val="00626A60"/>
    <w:rsid w:val="0064474D"/>
    <w:rsid w:val="0065233F"/>
    <w:rsid w:val="0065284A"/>
    <w:rsid w:val="00657A6C"/>
    <w:rsid w:val="00665346"/>
    <w:rsid w:val="00667AB8"/>
    <w:rsid w:val="0067292E"/>
    <w:rsid w:val="00677245"/>
    <w:rsid w:val="00681BB6"/>
    <w:rsid w:val="0068272D"/>
    <w:rsid w:val="00685BE8"/>
    <w:rsid w:val="00691A15"/>
    <w:rsid w:val="006A3871"/>
    <w:rsid w:val="006A577E"/>
    <w:rsid w:val="006A5A9B"/>
    <w:rsid w:val="006B0546"/>
    <w:rsid w:val="006B1FA3"/>
    <w:rsid w:val="006B2506"/>
    <w:rsid w:val="006B64AC"/>
    <w:rsid w:val="006D0006"/>
    <w:rsid w:val="006E39D4"/>
    <w:rsid w:val="006E4B3F"/>
    <w:rsid w:val="006E6931"/>
    <w:rsid w:val="006F0863"/>
    <w:rsid w:val="00712A4C"/>
    <w:rsid w:val="00713B4D"/>
    <w:rsid w:val="00715A4F"/>
    <w:rsid w:val="00721E11"/>
    <w:rsid w:val="00723D54"/>
    <w:rsid w:val="007248F5"/>
    <w:rsid w:val="00743410"/>
    <w:rsid w:val="0074349D"/>
    <w:rsid w:val="00744C26"/>
    <w:rsid w:val="00747629"/>
    <w:rsid w:val="007520D7"/>
    <w:rsid w:val="007616C2"/>
    <w:rsid w:val="00772724"/>
    <w:rsid w:val="00774146"/>
    <w:rsid w:val="00774F6F"/>
    <w:rsid w:val="00780FD9"/>
    <w:rsid w:val="00784E86"/>
    <w:rsid w:val="00785CE8"/>
    <w:rsid w:val="00787798"/>
    <w:rsid w:val="0079190E"/>
    <w:rsid w:val="00795827"/>
    <w:rsid w:val="007A06D7"/>
    <w:rsid w:val="007A14A8"/>
    <w:rsid w:val="007A1836"/>
    <w:rsid w:val="007A6BEE"/>
    <w:rsid w:val="007B1DC6"/>
    <w:rsid w:val="007C5EE1"/>
    <w:rsid w:val="007D4485"/>
    <w:rsid w:val="007D4F80"/>
    <w:rsid w:val="007D66D7"/>
    <w:rsid w:val="007E5C9B"/>
    <w:rsid w:val="007E7819"/>
    <w:rsid w:val="007F0ED1"/>
    <w:rsid w:val="007F52F8"/>
    <w:rsid w:val="00800B52"/>
    <w:rsid w:val="00801AE3"/>
    <w:rsid w:val="0080254F"/>
    <w:rsid w:val="00802B19"/>
    <w:rsid w:val="00803D2E"/>
    <w:rsid w:val="00806C7B"/>
    <w:rsid w:val="00814614"/>
    <w:rsid w:val="0082098F"/>
    <w:rsid w:val="00821A12"/>
    <w:rsid w:val="008224CF"/>
    <w:rsid w:val="0082510C"/>
    <w:rsid w:val="00834065"/>
    <w:rsid w:val="00836C99"/>
    <w:rsid w:val="00837542"/>
    <w:rsid w:val="0084303D"/>
    <w:rsid w:val="00843A85"/>
    <w:rsid w:val="0085320D"/>
    <w:rsid w:val="00853D07"/>
    <w:rsid w:val="00853D5A"/>
    <w:rsid w:val="00862993"/>
    <w:rsid w:val="008645A0"/>
    <w:rsid w:val="008702F1"/>
    <w:rsid w:val="00873B00"/>
    <w:rsid w:val="00883357"/>
    <w:rsid w:val="00884BBB"/>
    <w:rsid w:val="00885419"/>
    <w:rsid w:val="00887D17"/>
    <w:rsid w:val="008902FB"/>
    <w:rsid w:val="00890977"/>
    <w:rsid w:val="00890CD5"/>
    <w:rsid w:val="008911CE"/>
    <w:rsid w:val="00891F84"/>
    <w:rsid w:val="008931E9"/>
    <w:rsid w:val="008A1359"/>
    <w:rsid w:val="008A286A"/>
    <w:rsid w:val="008A3970"/>
    <w:rsid w:val="008A75B0"/>
    <w:rsid w:val="008A7B3E"/>
    <w:rsid w:val="008A7B3F"/>
    <w:rsid w:val="008B0FF2"/>
    <w:rsid w:val="008B4DEF"/>
    <w:rsid w:val="008C1355"/>
    <w:rsid w:val="008C5303"/>
    <w:rsid w:val="008D6DCE"/>
    <w:rsid w:val="008E2329"/>
    <w:rsid w:val="008E34A7"/>
    <w:rsid w:val="008E4C0A"/>
    <w:rsid w:val="008F0708"/>
    <w:rsid w:val="008F12C8"/>
    <w:rsid w:val="00904ACD"/>
    <w:rsid w:val="00905C21"/>
    <w:rsid w:val="0090774C"/>
    <w:rsid w:val="009114C5"/>
    <w:rsid w:val="009144A5"/>
    <w:rsid w:val="00914E11"/>
    <w:rsid w:val="00915D68"/>
    <w:rsid w:val="00916EB1"/>
    <w:rsid w:val="0092089F"/>
    <w:rsid w:val="00931F84"/>
    <w:rsid w:val="00932C82"/>
    <w:rsid w:val="00934389"/>
    <w:rsid w:val="0095249B"/>
    <w:rsid w:val="00953DB7"/>
    <w:rsid w:val="00967321"/>
    <w:rsid w:val="0097219A"/>
    <w:rsid w:val="009848FB"/>
    <w:rsid w:val="00994752"/>
    <w:rsid w:val="009968CB"/>
    <w:rsid w:val="009A0505"/>
    <w:rsid w:val="009A0539"/>
    <w:rsid w:val="009A4246"/>
    <w:rsid w:val="009A4F7F"/>
    <w:rsid w:val="009A766F"/>
    <w:rsid w:val="009B0F04"/>
    <w:rsid w:val="009B210D"/>
    <w:rsid w:val="009C296F"/>
    <w:rsid w:val="009C6857"/>
    <w:rsid w:val="009D17E2"/>
    <w:rsid w:val="009D5FE6"/>
    <w:rsid w:val="009F0E33"/>
    <w:rsid w:val="009F5F03"/>
    <w:rsid w:val="00A02CC6"/>
    <w:rsid w:val="00A07F67"/>
    <w:rsid w:val="00A133A9"/>
    <w:rsid w:val="00A15841"/>
    <w:rsid w:val="00A16F19"/>
    <w:rsid w:val="00A16FF7"/>
    <w:rsid w:val="00A23AED"/>
    <w:rsid w:val="00A24BDB"/>
    <w:rsid w:val="00A25B8D"/>
    <w:rsid w:val="00A27384"/>
    <w:rsid w:val="00A3453D"/>
    <w:rsid w:val="00A35435"/>
    <w:rsid w:val="00A3619F"/>
    <w:rsid w:val="00A40386"/>
    <w:rsid w:val="00A41B28"/>
    <w:rsid w:val="00A42669"/>
    <w:rsid w:val="00A42A89"/>
    <w:rsid w:val="00A47292"/>
    <w:rsid w:val="00A4790B"/>
    <w:rsid w:val="00A54779"/>
    <w:rsid w:val="00A64480"/>
    <w:rsid w:val="00A71598"/>
    <w:rsid w:val="00A73369"/>
    <w:rsid w:val="00A7715A"/>
    <w:rsid w:val="00A8029F"/>
    <w:rsid w:val="00A82C0E"/>
    <w:rsid w:val="00A82D22"/>
    <w:rsid w:val="00A82ECE"/>
    <w:rsid w:val="00A85569"/>
    <w:rsid w:val="00A94443"/>
    <w:rsid w:val="00A94E04"/>
    <w:rsid w:val="00AA053D"/>
    <w:rsid w:val="00AA23A9"/>
    <w:rsid w:val="00AA2BC3"/>
    <w:rsid w:val="00AA3325"/>
    <w:rsid w:val="00AB2C83"/>
    <w:rsid w:val="00AB2EE7"/>
    <w:rsid w:val="00AC19F8"/>
    <w:rsid w:val="00AC2A5D"/>
    <w:rsid w:val="00AC751B"/>
    <w:rsid w:val="00AD4724"/>
    <w:rsid w:val="00AD6369"/>
    <w:rsid w:val="00AD6CD9"/>
    <w:rsid w:val="00AD7CBB"/>
    <w:rsid w:val="00AE37F0"/>
    <w:rsid w:val="00AE56B1"/>
    <w:rsid w:val="00AE5C38"/>
    <w:rsid w:val="00AE6BD6"/>
    <w:rsid w:val="00AF4F5A"/>
    <w:rsid w:val="00AF6455"/>
    <w:rsid w:val="00AF6E2E"/>
    <w:rsid w:val="00B01774"/>
    <w:rsid w:val="00B06F19"/>
    <w:rsid w:val="00B071C9"/>
    <w:rsid w:val="00B110E1"/>
    <w:rsid w:val="00B11D67"/>
    <w:rsid w:val="00B20005"/>
    <w:rsid w:val="00B22A85"/>
    <w:rsid w:val="00B34598"/>
    <w:rsid w:val="00B367E2"/>
    <w:rsid w:val="00B40484"/>
    <w:rsid w:val="00B46D37"/>
    <w:rsid w:val="00B52178"/>
    <w:rsid w:val="00B55522"/>
    <w:rsid w:val="00B60640"/>
    <w:rsid w:val="00B66A2B"/>
    <w:rsid w:val="00B77415"/>
    <w:rsid w:val="00B80669"/>
    <w:rsid w:val="00B832B8"/>
    <w:rsid w:val="00B9440E"/>
    <w:rsid w:val="00B96AB7"/>
    <w:rsid w:val="00B97DBB"/>
    <w:rsid w:val="00BA1103"/>
    <w:rsid w:val="00BA1DAA"/>
    <w:rsid w:val="00BA53C4"/>
    <w:rsid w:val="00BA5DA5"/>
    <w:rsid w:val="00BA7019"/>
    <w:rsid w:val="00BB4848"/>
    <w:rsid w:val="00BB799A"/>
    <w:rsid w:val="00BC3606"/>
    <w:rsid w:val="00BC58A1"/>
    <w:rsid w:val="00BD0132"/>
    <w:rsid w:val="00BD0631"/>
    <w:rsid w:val="00BD13E2"/>
    <w:rsid w:val="00BD46CE"/>
    <w:rsid w:val="00BD72B4"/>
    <w:rsid w:val="00BE11CF"/>
    <w:rsid w:val="00BE1F67"/>
    <w:rsid w:val="00BE2E27"/>
    <w:rsid w:val="00BE5B55"/>
    <w:rsid w:val="00BF4942"/>
    <w:rsid w:val="00C03F14"/>
    <w:rsid w:val="00C10F91"/>
    <w:rsid w:val="00C161BE"/>
    <w:rsid w:val="00C16811"/>
    <w:rsid w:val="00C17002"/>
    <w:rsid w:val="00C20872"/>
    <w:rsid w:val="00C21CEF"/>
    <w:rsid w:val="00C32020"/>
    <w:rsid w:val="00C32A17"/>
    <w:rsid w:val="00C34CE8"/>
    <w:rsid w:val="00C414B3"/>
    <w:rsid w:val="00C43F1F"/>
    <w:rsid w:val="00C50329"/>
    <w:rsid w:val="00C57BF3"/>
    <w:rsid w:val="00C67B4F"/>
    <w:rsid w:val="00C702D5"/>
    <w:rsid w:val="00C72071"/>
    <w:rsid w:val="00C7303C"/>
    <w:rsid w:val="00C84BFD"/>
    <w:rsid w:val="00C93ED2"/>
    <w:rsid w:val="00CA0C87"/>
    <w:rsid w:val="00CA2D78"/>
    <w:rsid w:val="00CA416A"/>
    <w:rsid w:val="00CA75D3"/>
    <w:rsid w:val="00CB4591"/>
    <w:rsid w:val="00CC172D"/>
    <w:rsid w:val="00CE0997"/>
    <w:rsid w:val="00CF57C7"/>
    <w:rsid w:val="00CF6838"/>
    <w:rsid w:val="00CF798F"/>
    <w:rsid w:val="00D013EE"/>
    <w:rsid w:val="00D02026"/>
    <w:rsid w:val="00D026DC"/>
    <w:rsid w:val="00D1306D"/>
    <w:rsid w:val="00D13686"/>
    <w:rsid w:val="00D1426A"/>
    <w:rsid w:val="00D153E2"/>
    <w:rsid w:val="00D175FB"/>
    <w:rsid w:val="00D21070"/>
    <w:rsid w:val="00D25FBF"/>
    <w:rsid w:val="00D272A0"/>
    <w:rsid w:val="00D32A1F"/>
    <w:rsid w:val="00D35160"/>
    <w:rsid w:val="00D352F2"/>
    <w:rsid w:val="00D37827"/>
    <w:rsid w:val="00D41A6F"/>
    <w:rsid w:val="00D455C9"/>
    <w:rsid w:val="00D521E4"/>
    <w:rsid w:val="00D5245F"/>
    <w:rsid w:val="00D5297A"/>
    <w:rsid w:val="00D71FD2"/>
    <w:rsid w:val="00D72DC7"/>
    <w:rsid w:val="00D746BB"/>
    <w:rsid w:val="00D75FF6"/>
    <w:rsid w:val="00D857F3"/>
    <w:rsid w:val="00D865F3"/>
    <w:rsid w:val="00D86F0B"/>
    <w:rsid w:val="00D9020D"/>
    <w:rsid w:val="00D94D94"/>
    <w:rsid w:val="00D96558"/>
    <w:rsid w:val="00DA018C"/>
    <w:rsid w:val="00DA0651"/>
    <w:rsid w:val="00DA1258"/>
    <w:rsid w:val="00DA472C"/>
    <w:rsid w:val="00DA5CA0"/>
    <w:rsid w:val="00DB0111"/>
    <w:rsid w:val="00DB0B4F"/>
    <w:rsid w:val="00DB370B"/>
    <w:rsid w:val="00DC0226"/>
    <w:rsid w:val="00DC1248"/>
    <w:rsid w:val="00DC2B58"/>
    <w:rsid w:val="00DC7823"/>
    <w:rsid w:val="00DD3382"/>
    <w:rsid w:val="00DE1BFC"/>
    <w:rsid w:val="00DE6381"/>
    <w:rsid w:val="00DE668D"/>
    <w:rsid w:val="00DF1EAF"/>
    <w:rsid w:val="00DF1F5D"/>
    <w:rsid w:val="00DF64B1"/>
    <w:rsid w:val="00E020A6"/>
    <w:rsid w:val="00E04A36"/>
    <w:rsid w:val="00E04A4A"/>
    <w:rsid w:val="00E06B16"/>
    <w:rsid w:val="00E127BF"/>
    <w:rsid w:val="00E1746C"/>
    <w:rsid w:val="00E21DA5"/>
    <w:rsid w:val="00E21F6F"/>
    <w:rsid w:val="00E23CA1"/>
    <w:rsid w:val="00E242EF"/>
    <w:rsid w:val="00E27EE6"/>
    <w:rsid w:val="00E27F55"/>
    <w:rsid w:val="00E32FFE"/>
    <w:rsid w:val="00E36B81"/>
    <w:rsid w:val="00E52947"/>
    <w:rsid w:val="00E54791"/>
    <w:rsid w:val="00E57D15"/>
    <w:rsid w:val="00E62C30"/>
    <w:rsid w:val="00E66354"/>
    <w:rsid w:val="00E664A1"/>
    <w:rsid w:val="00E7115A"/>
    <w:rsid w:val="00E720FA"/>
    <w:rsid w:val="00E74294"/>
    <w:rsid w:val="00E764FE"/>
    <w:rsid w:val="00E84A7D"/>
    <w:rsid w:val="00E84D24"/>
    <w:rsid w:val="00E84F5D"/>
    <w:rsid w:val="00E9056E"/>
    <w:rsid w:val="00E91BE4"/>
    <w:rsid w:val="00E95A49"/>
    <w:rsid w:val="00EA10C5"/>
    <w:rsid w:val="00EB2B53"/>
    <w:rsid w:val="00EB2EFE"/>
    <w:rsid w:val="00EB2FC4"/>
    <w:rsid w:val="00EB597F"/>
    <w:rsid w:val="00EC4C5A"/>
    <w:rsid w:val="00EC5DFA"/>
    <w:rsid w:val="00ED311D"/>
    <w:rsid w:val="00ED6CD8"/>
    <w:rsid w:val="00EE2745"/>
    <w:rsid w:val="00EE4E0D"/>
    <w:rsid w:val="00EE64C7"/>
    <w:rsid w:val="00EE713B"/>
    <w:rsid w:val="00EF7AE2"/>
    <w:rsid w:val="00F052E4"/>
    <w:rsid w:val="00F060E9"/>
    <w:rsid w:val="00F07DD7"/>
    <w:rsid w:val="00F12CD4"/>
    <w:rsid w:val="00F1736B"/>
    <w:rsid w:val="00F246BE"/>
    <w:rsid w:val="00F26025"/>
    <w:rsid w:val="00F262BB"/>
    <w:rsid w:val="00F26F66"/>
    <w:rsid w:val="00F3451C"/>
    <w:rsid w:val="00F40A4A"/>
    <w:rsid w:val="00F411C4"/>
    <w:rsid w:val="00F418AA"/>
    <w:rsid w:val="00F45009"/>
    <w:rsid w:val="00F50CBF"/>
    <w:rsid w:val="00F522EC"/>
    <w:rsid w:val="00F52DDF"/>
    <w:rsid w:val="00F546B9"/>
    <w:rsid w:val="00F54ED4"/>
    <w:rsid w:val="00F616CF"/>
    <w:rsid w:val="00F6680A"/>
    <w:rsid w:val="00F67CBC"/>
    <w:rsid w:val="00F747DA"/>
    <w:rsid w:val="00F80ACF"/>
    <w:rsid w:val="00F8390D"/>
    <w:rsid w:val="00F86F5E"/>
    <w:rsid w:val="00F91F1B"/>
    <w:rsid w:val="00FA07ED"/>
    <w:rsid w:val="00FB7FA3"/>
    <w:rsid w:val="00FC10C3"/>
    <w:rsid w:val="00FC1B41"/>
    <w:rsid w:val="00FC3F8E"/>
    <w:rsid w:val="00FC4158"/>
    <w:rsid w:val="00FC6162"/>
    <w:rsid w:val="00FD0D90"/>
    <w:rsid w:val="00FD0D9A"/>
    <w:rsid w:val="00FE2153"/>
    <w:rsid w:val="00FF3635"/>
    <w:rsid w:val="00FF485E"/>
    <w:rsid w:val="00FF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BB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74DBB"/>
    <w:pPr>
      <w:ind w:left="720"/>
      <w:contextualSpacing/>
    </w:pPr>
  </w:style>
  <w:style w:type="paragraph" w:customStyle="1" w:styleId="Style20">
    <w:name w:val="Style20"/>
    <w:basedOn w:val="Normal"/>
    <w:uiPriority w:val="99"/>
    <w:rsid w:val="00174DB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D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8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4">
    <w:name w:val="Style4"/>
    <w:basedOn w:val="Normal"/>
    <w:uiPriority w:val="99"/>
    <w:rsid w:val="0022283D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FontStyle24">
    <w:name w:val="Font Style24"/>
    <w:basedOn w:val="DefaultParagraphFont"/>
    <w:uiPriority w:val="99"/>
    <w:rsid w:val="0022283D"/>
    <w:rPr>
      <w:rFonts w:ascii="Times New Roman" w:hAnsi="Times New Roman" w:cs="Times New Roman"/>
      <w:spacing w:val="-10"/>
      <w:sz w:val="24"/>
      <w:szCs w:val="24"/>
    </w:rPr>
  </w:style>
  <w:style w:type="paragraph" w:customStyle="1" w:styleId="t-9-8">
    <w:name w:val="t-9-8"/>
    <w:basedOn w:val="Normal"/>
    <w:uiPriority w:val="99"/>
    <w:semiHidden/>
    <w:rsid w:val="00BC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link w:val="ListParagraph"/>
    <w:uiPriority w:val="34"/>
    <w:locked/>
    <w:rsid w:val="008E34A7"/>
  </w:style>
  <w:style w:type="paragraph" w:customStyle="1" w:styleId="Style11">
    <w:name w:val="Style11"/>
    <w:basedOn w:val="Normal"/>
    <w:uiPriority w:val="99"/>
    <w:rsid w:val="007C5EE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5">
    <w:name w:val="Style15"/>
    <w:basedOn w:val="Normal"/>
    <w:uiPriority w:val="99"/>
    <w:rsid w:val="007C5EE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FontStyle25">
    <w:name w:val="Font Style25"/>
    <w:basedOn w:val="DefaultParagraphFont"/>
    <w:uiPriority w:val="99"/>
    <w:rsid w:val="007C5EE1"/>
    <w:rPr>
      <w:rFonts w:ascii="Times New Roman" w:hAnsi="Times New Roman" w:cs="Times New Roman"/>
      <w:b/>
      <w:bCs/>
      <w:spacing w:val="-10"/>
      <w:sz w:val="24"/>
      <w:szCs w:val="24"/>
    </w:rPr>
  </w:style>
  <w:style w:type="paragraph" w:styleId="BodyTextIndent2">
    <w:name w:val="Body Text Indent 2"/>
    <w:aliases w:val="  uvlaka 2,uvlaka 2"/>
    <w:basedOn w:val="Normal"/>
    <w:link w:val="BodyTextIndent2Char"/>
    <w:rsid w:val="00BE5B5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BodyTextIndent2Char">
    <w:name w:val="Body Text Indent 2 Char"/>
    <w:aliases w:val="  uvlaka 2 Char,uvlaka 2 Char"/>
    <w:basedOn w:val="DefaultParagraphFont"/>
    <w:link w:val="BodyTextIndent2"/>
    <w:rsid w:val="00BE5B55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E2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CA1"/>
  </w:style>
  <w:style w:type="paragraph" w:styleId="Footer">
    <w:name w:val="footer"/>
    <w:basedOn w:val="Normal"/>
    <w:link w:val="FooterChar"/>
    <w:uiPriority w:val="99"/>
    <w:unhideWhenUsed/>
    <w:rsid w:val="00E2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CA1"/>
  </w:style>
  <w:style w:type="paragraph" w:styleId="NoSpacing">
    <w:name w:val="No Spacing"/>
    <w:uiPriority w:val="1"/>
    <w:qFormat/>
    <w:rsid w:val="00D9020D"/>
    <w:pPr>
      <w:spacing w:line="240" w:lineRule="auto"/>
      <w:jc w:val="left"/>
    </w:pPr>
  </w:style>
  <w:style w:type="paragraph" w:customStyle="1" w:styleId="Default">
    <w:name w:val="Default"/>
    <w:rsid w:val="00144F7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al"/>
    <w:uiPriority w:val="99"/>
    <w:rsid w:val="00443A8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7">
    <w:name w:val="Style7"/>
    <w:basedOn w:val="Normal"/>
    <w:uiPriority w:val="99"/>
    <w:rsid w:val="005A0A2A"/>
    <w:pPr>
      <w:widowControl w:val="0"/>
      <w:autoSpaceDE w:val="0"/>
      <w:autoSpaceDN w:val="0"/>
      <w:adjustRightInd w:val="0"/>
      <w:spacing w:after="0" w:line="275" w:lineRule="exact"/>
      <w:ind w:hanging="353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B806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669"/>
    <w:rPr>
      <w:color w:val="800080"/>
      <w:u w:val="single"/>
    </w:rPr>
  </w:style>
  <w:style w:type="paragraph" w:customStyle="1" w:styleId="font5">
    <w:name w:val="font5"/>
    <w:basedOn w:val="Normal"/>
    <w:rsid w:val="00B8066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3">
    <w:name w:val="xl63"/>
    <w:basedOn w:val="Normal"/>
    <w:rsid w:val="00B806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4">
    <w:name w:val="xl64"/>
    <w:basedOn w:val="Normal"/>
    <w:rsid w:val="00B806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5">
    <w:name w:val="xl65"/>
    <w:basedOn w:val="Normal"/>
    <w:rsid w:val="00B80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6">
    <w:name w:val="xl66"/>
    <w:basedOn w:val="Normal"/>
    <w:rsid w:val="00B80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B806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8">
    <w:name w:val="xl68"/>
    <w:basedOn w:val="Normal"/>
    <w:rsid w:val="00B80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B806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1">
    <w:name w:val="xl71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2">
    <w:name w:val="xl72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3">
    <w:name w:val="xl73"/>
    <w:basedOn w:val="Normal"/>
    <w:rsid w:val="00B806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4">
    <w:name w:val="xl74"/>
    <w:basedOn w:val="Normal"/>
    <w:rsid w:val="00B806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5">
    <w:name w:val="xl75"/>
    <w:basedOn w:val="Normal"/>
    <w:rsid w:val="00B8066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6">
    <w:name w:val="xl76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7">
    <w:name w:val="xl77"/>
    <w:basedOn w:val="Normal"/>
    <w:rsid w:val="00B8066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8">
    <w:name w:val="xl78"/>
    <w:basedOn w:val="Normal"/>
    <w:rsid w:val="00B806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9">
    <w:name w:val="xl79"/>
    <w:basedOn w:val="Normal"/>
    <w:rsid w:val="00B80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0">
    <w:name w:val="xl80"/>
    <w:basedOn w:val="Normal"/>
    <w:rsid w:val="00B806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1">
    <w:name w:val="xl81"/>
    <w:basedOn w:val="Normal"/>
    <w:rsid w:val="00B806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B8066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3">
    <w:name w:val="xl83"/>
    <w:basedOn w:val="Normal"/>
    <w:rsid w:val="00B80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B80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5">
    <w:name w:val="xl85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6">
    <w:name w:val="xl86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7">
    <w:name w:val="xl87"/>
    <w:basedOn w:val="Normal"/>
    <w:rsid w:val="00B806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8">
    <w:name w:val="xl88"/>
    <w:basedOn w:val="Normal"/>
    <w:rsid w:val="00B806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9">
    <w:name w:val="xl89"/>
    <w:basedOn w:val="Normal"/>
    <w:rsid w:val="00B806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0">
    <w:name w:val="xl90"/>
    <w:basedOn w:val="Normal"/>
    <w:rsid w:val="00B80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B80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2">
    <w:name w:val="xl92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3">
    <w:name w:val="xl93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4">
    <w:name w:val="xl94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5">
    <w:name w:val="xl95"/>
    <w:basedOn w:val="Normal"/>
    <w:rsid w:val="00B806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6">
    <w:name w:val="xl96"/>
    <w:basedOn w:val="Normal"/>
    <w:rsid w:val="00B806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7">
    <w:name w:val="xl97"/>
    <w:basedOn w:val="Normal"/>
    <w:rsid w:val="00B806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8">
    <w:name w:val="xl98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9">
    <w:name w:val="xl99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0">
    <w:name w:val="xl100"/>
    <w:basedOn w:val="Normal"/>
    <w:rsid w:val="00B806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01">
    <w:name w:val="xl101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2">
    <w:name w:val="xl102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3">
    <w:name w:val="xl103"/>
    <w:basedOn w:val="Normal"/>
    <w:rsid w:val="00B806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4">
    <w:name w:val="xl104"/>
    <w:basedOn w:val="Normal"/>
    <w:rsid w:val="00B806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5">
    <w:name w:val="xl105"/>
    <w:basedOn w:val="Normal"/>
    <w:rsid w:val="00B806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6">
    <w:name w:val="xl106"/>
    <w:basedOn w:val="Normal"/>
    <w:rsid w:val="00B8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tb-na16">
    <w:name w:val="tb-na16"/>
    <w:basedOn w:val="Normal"/>
    <w:rsid w:val="00DC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3C2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08">
    <w:name w:val="xl108"/>
    <w:basedOn w:val="Normal"/>
    <w:rsid w:val="003C2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09">
    <w:name w:val="xl109"/>
    <w:basedOn w:val="Normal"/>
    <w:rsid w:val="003C20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10">
    <w:name w:val="xl110"/>
    <w:basedOn w:val="Normal"/>
    <w:rsid w:val="003C20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11">
    <w:name w:val="xl111"/>
    <w:basedOn w:val="Normal"/>
    <w:rsid w:val="003C20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12">
    <w:name w:val="xl112"/>
    <w:basedOn w:val="Normal"/>
    <w:rsid w:val="003C2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BCB43-B64E-455F-BC96-E027CFCC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4651</TotalTime>
  <Pages>34</Pages>
  <Words>11692</Words>
  <Characters>66646</Characters>
  <Application>Microsoft Office Word</Application>
  <DocSecurity>0</DocSecurity>
  <Lines>555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Škopac Koroman</dc:creator>
  <cp:lastModifiedBy>Katja Škopac Koroman</cp:lastModifiedBy>
  <cp:revision>335</cp:revision>
  <cp:lastPrinted>2020-02-14T13:48:00Z</cp:lastPrinted>
  <dcterms:created xsi:type="dcterms:W3CDTF">2019-02-08T07:53:00Z</dcterms:created>
  <dcterms:modified xsi:type="dcterms:W3CDTF">2020-02-24T07:04:00Z</dcterms:modified>
</cp:coreProperties>
</file>