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0CEE" w14:textId="77777777" w:rsidR="00625BA1" w:rsidRDefault="00625BA1" w:rsidP="00675652">
      <w:pPr>
        <w:pStyle w:val="BodyTextIndent"/>
        <w:rPr>
          <w:szCs w:val="24"/>
        </w:rPr>
      </w:pPr>
    </w:p>
    <w:p w14:paraId="4641BD3C" w14:textId="77777777" w:rsidR="0012688B" w:rsidRDefault="0012688B" w:rsidP="00675652">
      <w:pPr>
        <w:pStyle w:val="BodyTextIndent"/>
        <w:rPr>
          <w:szCs w:val="24"/>
        </w:rPr>
      </w:pPr>
    </w:p>
    <w:p w14:paraId="6305782B" w14:textId="77777777" w:rsidR="00456B23" w:rsidRPr="00F05AEF" w:rsidRDefault="00D25482" w:rsidP="00675652">
      <w:pPr>
        <w:pStyle w:val="BodyTextIndent"/>
        <w:rPr>
          <w:szCs w:val="24"/>
        </w:rPr>
      </w:pPr>
      <w:r w:rsidRPr="00F05AEF">
        <w:rPr>
          <w:szCs w:val="24"/>
        </w:rPr>
        <w:t xml:space="preserve">Temeljem članka </w:t>
      </w:r>
      <w:r w:rsidR="00602CF7" w:rsidRPr="00F05AEF">
        <w:rPr>
          <w:szCs w:val="24"/>
        </w:rPr>
        <w:t xml:space="preserve">42. </w:t>
      </w:r>
      <w:r w:rsidRPr="00F05AEF">
        <w:rPr>
          <w:szCs w:val="24"/>
        </w:rPr>
        <w:t xml:space="preserve">Zakona o </w:t>
      </w:r>
      <w:r w:rsidR="00206181" w:rsidRPr="00F05AEF">
        <w:rPr>
          <w:szCs w:val="24"/>
        </w:rPr>
        <w:t xml:space="preserve">lokalnim porezima </w:t>
      </w:r>
      <w:r w:rsidRPr="00F05AEF">
        <w:rPr>
          <w:szCs w:val="24"/>
        </w:rPr>
        <w:t>(Narodne novine</w:t>
      </w:r>
      <w:r w:rsidR="005438FB" w:rsidRPr="00F05AEF">
        <w:rPr>
          <w:szCs w:val="24"/>
        </w:rPr>
        <w:t>,</w:t>
      </w:r>
      <w:r w:rsidRPr="00F05AEF">
        <w:rPr>
          <w:szCs w:val="24"/>
        </w:rPr>
        <w:t xml:space="preserve"> br</w:t>
      </w:r>
      <w:r w:rsidR="005438FB" w:rsidRPr="00F05AEF">
        <w:rPr>
          <w:szCs w:val="24"/>
        </w:rPr>
        <w:t>oj</w:t>
      </w:r>
      <w:r w:rsidRPr="00F05AEF">
        <w:rPr>
          <w:szCs w:val="24"/>
        </w:rPr>
        <w:t xml:space="preserve"> 11</w:t>
      </w:r>
      <w:r w:rsidR="00206181" w:rsidRPr="00F05AEF">
        <w:rPr>
          <w:szCs w:val="24"/>
        </w:rPr>
        <w:t>5</w:t>
      </w:r>
      <w:r w:rsidRPr="00F05AEF">
        <w:rPr>
          <w:szCs w:val="24"/>
        </w:rPr>
        <w:t>/</w:t>
      </w:r>
      <w:r w:rsidR="00206181" w:rsidRPr="00F05AEF">
        <w:rPr>
          <w:szCs w:val="24"/>
        </w:rPr>
        <w:t>16</w:t>
      </w:r>
      <w:r w:rsidR="00572D12" w:rsidRPr="00F05AEF">
        <w:rPr>
          <w:szCs w:val="24"/>
        </w:rPr>
        <w:t>, 101/17</w:t>
      </w:r>
      <w:r w:rsidR="007520B4" w:rsidRPr="00F05AEF">
        <w:rPr>
          <w:szCs w:val="24"/>
        </w:rPr>
        <w:t xml:space="preserve">, </w:t>
      </w:r>
      <w:r w:rsidR="00572D12" w:rsidRPr="00F05AEF">
        <w:rPr>
          <w:szCs w:val="24"/>
        </w:rPr>
        <w:t>114/22</w:t>
      </w:r>
      <w:r w:rsidR="007520B4" w:rsidRPr="00F05AEF">
        <w:rPr>
          <w:szCs w:val="24"/>
        </w:rPr>
        <w:t xml:space="preserve"> i 114/23</w:t>
      </w:r>
      <w:r w:rsidRPr="00F05AEF">
        <w:rPr>
          <w:szCs w:val="24"/>
        </w:rPr>
        <w:t>) i članka 39. Statuta Grada Pula</w:t>
      </w:r>
      <w:r w:rsidR="00B50CA6">
        <w:rPr>
          <w:szCs w:val="24"/>
        </w:rPr>
        <w:t xml:space="preserve"> </w:t>
      </w:r>
      <w:r w:rsidRPr="00F05AEF">
        <w:rPr>
          <w:szCs w:val="24"/>
        </w:rPr>
        <w:t>-</w:t>
      </w:r>
      <w:r w:rsidR="00B50CA6">
        <w:rPr>
          <w:szCs w:val="24"/>
        </w:rPr>
        <w:t xml:space="preserve"> </w:t>
      </w:r>
      <w:r w:rsidRPr="00F05AEF">
        <w:rPr>
          <w:szCs w:val="24"/>
        </w:rPr>
        <w:t>Pola</w:t>
      </w:r>
      <w:r w:rsidR="00572D12" w:rsidRPr="00F05AEF">
        <w:rPr>
          <w:szCs w:val="24"/>
        </w:rPr>
        <w:t xml:space="preserve"> </w:t>
      </w:r>
      <w:r w:rsidR="00572D12" w:rsidRPr="00F05AEF">
        <w:t>(Službene novine - Bolletino ufficiale Pula</w:t>
      </w:r>
      <w:r w:rsidR="00A27E25">
        <w:t xml:space="preserve"> </w:t>
      </w:r>
      <w:r w:rsidR="009D6D44" w:rsidRPr="00F05AEF">
        <w:t>-</w:t>
      </w:r>
      <w:r w:rsidR="00A27E25">
        <w:t xml:space="preserve"> </w:t>
      </w:r>
      <w:r w:rsidR="00572D12" w:rsidRPr="00F05AEF">
        <w:t>Pola</w:t>
      </w:r>
      <w:r w:rsidR="005438FB" w:rsidRPr="00F05AEF">
        <w:t>,</w:t>
      </w:r>
      <w:r w:rsidR="00572D12" w:rsidRPr="00F05AEF">
        <w:t xml:space="preserve"> broj 7/09, 16/09, 12/11, 1/13, 2/18, 2/20, 4/21 i 5/21),</w:t>
      </w:r>
      <w:r w:rsidRPr="00F05AEF">
        <w:rPr>
          <w:szCs w:val="24"/>
        </w:rPr>
        <w:t xml:space="preserve"> Gradsko vijeće Grada Pul</w:t>
      </w:r>
      <w:r w:rsidR="00572D12" w:rsidRPr="00F05AEF">
        <w:rPr>
          <w:szCs w:val="24"/>
        </w:rPr>
        <w:t>a</w:t>
      </w:r>
      <w:r w:rsidR="00B50CA6">
        <w:rPr>
          <w:szCs w:val="24"/>
        </w:rPr>
        <w:t xml:space="preserve"> </w:t>
      </w:r>
      <w:r w:rsidR="00572D12" w:rsidRPr="00F05AEF">
        <w:rPr>
          <w:szCs w:val="24"/>
        </w:rPr>
        <w:t>-</w:t>
      </w:r>
      <w:r w:rsidR="00B50CA6">
        <w:rPr>
          <w:szCs w:val="24"/>
        </w:rPr>
        <w:t xml:space="preserve"> </w:t>
      </w:r>
      <w:r w:rsidR="00572D12" w:rsidRPr="00F05AEF">
        <w:rPr>
          <w:szCs w:val="24"/>
        </w:rPr>
        <w:t>Pola</w:t>
      </w:r>
      <w:r w:rsidRPr="00F05AEF">
        <w:rPr>
          <w:szCs w:val="24"/>
        </w:rPr>
        <w:t xml:space="preserve"> na sjednici održanoj dana</w:t>
      </w:r>
      <w:r w:rsidR="008C6CBD" w:rsidRPr="00F05AEF">
        <w:rPr>
          <w:szCs w:val="24"/>
        </w:rPr>
        <w:t xml:space="preserve"> </w:t>
      </w:r>
      <w:r w:rsidR="00A071CD" w:rsidRPr="00F05AEF">
        <w:rPr>
          <w:szCs w:val="24"/>
        </w:rPr>
        <w:t xml:space="preserve">__________ </w:t>
      </w:r>
      <w:r w:rsidRPr="00F05AEF">
        <w:rPr>
          <w:szCs w:val="24"/>
        </w:rPr>
        <w:t>20</w:t>
      </w:r>
      <w:r w:rsidR="00572D12" w:rsidRPr="00F05AEF">
        <w:rPr>
          <w:szCs w:val="24"/>
        </w:rPr>
        <w:t>23</w:t>
      </w:r>
      <w:r w:rsidRPr="00F05AEF">
        <w:rPr>
          <w:szCs w:val="24"/>
        </w:rPr>
        <w:t>. godine donosi</w:t>
      </w:r>
    </w:p>
    <w:p w14:paraId="63DFED80" w14:textId="77777777" w:rsidR="00456B23" w:rsidRPr="00F05AEF" w:rsidRDefault="00456B23" w:rsidP="00675652">
      <w:pPr>
        <w:ind w:firstLine="720"/>
        <w:jc w:val="both"/>
      </w:pPr>
    </w:p>
    <w:p w14:paraId="20A72636" w14:textId="77777777" w:rsidR="003A20B2" w:rsidRDefault="003A20B2" w:rsidP="00675652">
      <w:pPr>
        <w:ind w:firstLine="720"/>
        <w:jc w:val="both"/>
      </w:pPr>
    </w:p>
    <w:p w14:paraId="4771AFDF" w14:textId="77777777" w:rsidR="004F67BB" w:rsidRPr="00F05AEF" w:rsidRDefault="004F67BB" w:rsidP="00675652">
      <w:pPr>
        <w:ind w:firstLine="720"/>
        <w:jc w:val="both"/>
      </w:pPr>
    </w:p>
    <w:p w14:paraId="6F74D813" w14:textId="77777777" w:rsidR="00456B23" w:rsidRPr="00F05AEF" w:rsidRDefault="00D25482" w:rsidP="00675652">
      <w:pPr>
        <w:jc w:val="center"/>
        <w:rPr>
          <w:b/>
        </w:rPr>
      </w:pPr>
      <w:r w:rsidRPr="00F05AEF">
        <w:rPr>
          <w:b/>
        </w:rPr>
        <w:t>O</w:t>
      </w:r>
      <w:r w:rsidR="008C6CBD" w:rsidRPr="00F05AEF">
        <w:rPr>
          <w:b/>
        </w:rPr>
        <w:t xml:space="preserve"> </w:t>
      </w:r>
      <w:r w:rsidRPr="00F05AEF">
        <w:rPr>
          <w:b/>
        </w:rPr>
        <w:t>D</w:t>
      </w:r>
      <w:r w:rsidR="008C6CBD" w:rsidRPr="00F05AEF">
        <w:rPr>
          <w:b/>
        </w:rPr>
        <w:t xml:space="preserve"> </w:t>
      </w:r>
      <w:r w:rsidRPr="00F05AEF">
        <w:rPr>
          <w:b/>
        </w:rPr>
        <w:t>L</w:t>
      </w:r>
      <w:r w:rsidR="008C6CBD" w:rsidRPr="00F05AEF">
        <w:rPr>
          <w:b/>
        </w:rPr>
        <w:t xml:space="preserve"> </w:t>
      </w:r>
      <w:r w:rsidRPr="00F05AEF">
        <w:rPr>
          <w:b/>
        </w:rPr>
        <w:t>U</w:t>
      </w:r>
      <w:r w:rsidR="008C6CBD" w:rsidRPr="00F05AEF">
        <w:rPr>
          <w:b/>
        </w:rPr>
        <w:t xml:space="preserve"> </w:t>
      </w:r>
      <w:r w:rsidRPr="00F05AEF">
        <w:rPr>
          <w:b/>
        </w:rPr>
        <w:t>K</w:t>
      </w:r>
      <w:r w:rsidR="008C6CBD" w:rsidRPr="00F05AEF">
        <w:rPr>
          <w:b/>
        </w:rPr>
        <w:t xml:space="preserve"> </w:t>
      </w:r>
      <w:r w:rsidRPr="00F05AEF">
        <w:rPr>
          <w:b/>
        </w:rPr>
        <w:t>U</w:t>
      </w:r>
    </w:p>
    <w:p w14:paraId="7092377A" w14:textId="77777777" w:rsidR="00456B23" w:rsidRPr="00F05AEF" w:rsidRDefault="00D25482" w:rsidP="00675652">
      <w:pPr>
        <w:jc w:val="center"/>
        <w:rPr>
          <w:b/>
        </w:rPr>
      </w:pPr>
      <w:r w:rsidRPr="00F05AEF">
        <w:rPr>
          <w:b/>
        </w:rPr>
        <w:t xml:space="preserve">o </w:t>
      </w:r>
      <w:r w:rsidR="00206181" w:rsidRPr="00F05AEF">
        <w:rPr>
          <w:b/>
        </w:rPr>
        <w:t xml:space="preserve">lokalnim </w:t>
      </w:r>
      <w:r w:rsidRPr="00F05AEF">
        <w:rPr>
          <w:b/>
        </w:rPr>
        <w:t>porezima Grada Pul</w:t>
      </w:r>
      <w:r w:rsidR="00EC7CEC" w:rsidRPr="00F05AEF">
        <w:rPr>
          <w:b/>
        </w:rPr>
        <w:t>a</w:t>
      </w:r>
      <w:r w:rsidR="00A27E25">
        <w:rPr>
          <w:b/>
        </w:rPr>
        <w:t xml:space="preserve"> </w:t>
      </w:r>
      <w:r w:rsidR="0094175B" w:rsidRPr="00F05AEF">
        <w:rPr>
          <w:b/>
        </w:rPr>
        <w:t>-</w:t>
      </w:r>
      <w:r w:rsidR="00A27E25">
        <w:rPr>
          <w:b/>
        </w:rPr>
        <w:t xml:space="preserve"> </w:t>
      </w:r>
      <w:r w:rsidR="0094175B" w:rsidRPr="00F05AEF">
        <w:rPr>
          <w:b/>
        </w:rPr>
        <w:t>Pola</w:t>
      </w:r>
    </w:p>
    <w:p w14:paraId="346736C9" w14:textId="77777777" w:rsidR="00A9458D" w:rsidRPr="00F05AEF" w:rsidRDefault="00A9458D" w:rsidP="00675652"/>
    <w:p w14:paraId="76AD9369" w14:textId="77777777" w:rsidR="003A20B2" w:rsidRDefault="003A20B2" w:rsidP="00675652"/>
    <w:p w14:paraId="7BFD0D8A" w14:textId="77777777" w:rsidR="004F67BB" w:rsidRPr="00F05AEF" w:rsidRDefault="004F67BB" w:rsidP="00675652"/>
    <w:p w14:paraId="35FD64A3" w14:textId="77777777" w:rsidR="00456B23" w:rsidRPr="00F05AEF" w:rsidRDefault="00D25482" w:rsidP="00675652">
      <w:pPr>
        <w:pStyle w:val="Heading5"/>
        <w:rPr>
          <w:szCs w:val="24"/>
        </w:rPr>
      </w:pPr>
      <w:r w:rsidRPr="00F05AEF">
        <w:rPr>
          <w:szCs w:val="24"/>
        </w:rPr>
        <w:tab/>
      </w:r>
      <w:r w:rsidRPr="00F05AEF">
        <w:rPr>
          <w:szCs w:val="24"/>
        </w:rPr>
        <w:tab/>
      </w:r>
      <w:r w:rsidRPr="00F05AEF">
        <w:rPr>
          <w:szCs w:val="24"/>
        </w:rPr>
        <w:tab/>
      </w:r>
      <w:r w:rsidR="00EC7CEC" w:rsidRPr="00F05AEF">
        <w:rPr>
          <w:szCs w:val="24"/>
        </w:rPr>
        <w:t>I</w:t>
      </w:r>
      <w:r w:rsidR="00EC7CEC" w:rsidRPr="00F05AEF">
        <w:rPr>
          <w:szCs w:val="24"/>
        </w:rPr>
        <w:tab/>
      </w:r>
      <w:r w:rsidRPr="00F05AEF">
        <w:rPr>
          <w:szCs w:val="24"/>
        </w:rPr>
        <w:t>OPĆE ODREDBE</w:t>
      </w:r>
    </w:p>
    <w:p w14:paraId="550AA4A5" w14:textId="77777777" w:rsidR="00764998" w:rsidRPr="00F05AEF" w:rsidRDefault="00764998" w:rsidP="00FC4EF7">
      <w:pPr>
        <w:jc w:val="center"/>
      </w:pPr>
    </w:p>
    <w:p w14:paraId="145B2935" w14:textId="77777777" w:rsidR="00456B23" w:rsidRPr="00F05AEF" w:rsidRDefault="00D25482" w:rsidP="00675652">
      <w:pPr>
        <w:ind w:left="3540" w:firstLine="708"/>
      </w:pPr>
      <w:r>
        <w:t>Č</w:t>
      </w:r>
      <w:r w:rsidRPr="00F05AEF">
        <w:t>lanak 1.</w:t>
      </w:r>
    </w:p>
    <w:p w14:paraId="084892E0" w14:textId="77777777" w:rsidR="00456B23" w:rsidRPr="00F05AEF" w:rsidRDefault="00456B23" w:rsidP="00FC4EF7">
      <w:pPr>
        <w:ind w:firstLine="720"/>
        <w:jc w:val="center"/>
        <w:rPr>
          <w:b/>
        </w:rPr>
      </w:pPr>
    </w:p>
    <w:p w14:paraId="63374CD3" w14:textId="77777777" w:rsidR="00EC351B" w:rsidRPr="00F05AEF" w:rsidRDefault="00D25482" w:rsidP="00675652">
      <w:pPr>
        <w:pStyle w:val="Heading1"/>
        <w:jc w:val="both"/>
      </w:pPr>
      <w:r w:rsidRPr="00F05AEF">
        <w:t xml:space="preserve">Ovom se Odlukom </w:t>
      </w:r>
      <w:r w:rsidRPr="00F05AEF">
        <w:t>utvrđuje visina stope poreza na potrošnju, visina poreza na kuće za odmor, što se smatra javnom površinom, visina, način i uvjeti plaćanja poreza n</w:t>
      </w:r>
      <w:r w:rsidR="000D5FAD" w:rsidRPr="00F05AEF">
        <w:t>a</w:t>
      </w:r>
      <w:r w:rsidRPr="00F05AEF">
        <w:t xml:space="preserve"> korištenje javnih površina te nadležno </w:t>
      </w:r>
      <w:r w:rsidR="00082673" w:rsidRPr="00F05AEF">
        <w:t xml:space="preserve">porezno </w:t>
      </w:r>
      <w:r w:rsidRPr="00F05AEF">
        <w:t>tijelo za utvrđivanje i naplatu poreza</w:t>
      </w:r>
      <w:r w:rsidR="00CF06CA" w:rsidRPr="00F05AEF">
        <w:t xml:space="preserve"> koji pripadaju Gradu Pula</w:t>
      </w:r>
      <w:r w:rsidR="00B50CA6">
        <w:t xml:space="preserve"> </w:t>
      </w:r>
      <w:r w:rsidR="00CF06CA" w:rsidRPr="00F05AEF">
        <w:t>-</w:t>
      </w:r>
      <w:r w:rsidR="00B50CA6">
        <w:t xml:space="preserve"> </w:t>
      </w:r>
      <w:r w:rsidR="00CF06CA" w:rsidRPr="00F05AEF">
        <w:t>Pola</w:t>
      </w:r>
      <w:r w:rsidRPr="00F05AEF">
        <w:t>.</w:t>
      </w:r>
    </w:p>
    <w:p w14:paraId="5B8B365C" w14:textId="77777777" w:rsidR="00EC7CEC" w:rsidRDefault="00EC7CEC" w:rsidP="00FC4EF7">
      <w:pPr>
        <w:pStyle w:val="Heading1"/>
        <w:jc w:val="center"/>
        <w:rPr>
          <w:szCs w:val="24"/>
        </w:rPr>
      </w:pPr>
    </w:p>
    <w:p w14:paraId="06B13CFE" w14:textId="77777777" w:rsidR="005C4DD3" w:rsidRPr="005C4DD3" w:rsidRDefault="005C4DD3" w:rsidP="005C4DD3"/>
    <w:p w14:paraId="587DA062" w14:textId="77777777" w:rsidR="00EC7CEC" w:rsidRPr="00F05AEF" w:rsidRDefault="00D25482" w:rsidP="00675652">
      <w:pPr>
        <w:pStyle w:val="Heading1"/>
        <w:jc w:val="both"/>
        <w:rPr>
          <w:i/>
          <w:szCs w:val="24"/>
        </w:rPr>
      </w:pPr>
      <w:r w:rsidRPr="00F05AEF">
        <w:rPr>
          <w:i/>
          <w:szCs w:val="24"/>
        </w:rPr>
        <w:tab/>
      </w:r>
      <w:r w:rsidRPr="00F05AEF">
        <w:rPr>
          <w:i/>
          <w:szCs w:val="24"/>
        </w:rPr>
        <w:tab/>
      </w:r>
      <w:r w:rsidRPr="00F05AEF">
        <w:rPr>
          <w:i/>
          <w:szCs w:val="24"/>
        </w:rPr>
        <w:tab/>
        <w:t>II</w:t>
      </w:r>
      <w:r w:rsidRPr="00F05AEF">
        <w:rPr>
          <w:i/>
          <w:szCs w:val="24"/>
        </w:rPr>
        <w:tab/>
      </w:r>
      <w:r w:rsidR="00501F2E" w:rsidRPr="00F05AEF">
        <w:rPr>
          <w:i/>
          <w:szCs w:val="24"/>
        </w:rPr>
        <w:t xml:space="preserve">LOKALNI </w:t>
      </w:r>
      <w:r w:rsidRPr="00F05AEF">
        <w:rPr>
          <w:i/>
          <w:szCs w:val="24"/>
        </w:rPr>
        <w:t>POREZI</w:t>
      </w:r>
    </w:p>
    <w:p w14:paraId="667EADB6" w14:textId="77777777" w:rsidR="00764998" w:rsidRPr="00F05AEF" w:rsidRDefault="00764998" w:rsidP="00FC4EF7">
      <w:pPr>
        <w:jc w:val="center"/>
      </w:pPr>
    </w:p>
    <w:p w14:paraId="24DAFE5A" w14:textId="77777777" w:rsidR="00EC7CEC" w:rsidRPr="00F05AEF" w:rsidRDefault="00D25482" w:rsidP="00675652">
      <w:r w:rsidRPr="00F05AEF">
        <w:tab/>
      </w:r>
      <w:r w:rsidRPr="00F05AEF">
        <w:tab/>
      </w:r>
      <w:r w:rsidRPr="00F05AEF">
        <w:tab/>
      </w:r>
      <w:r w:rsidRPr="00F05AEF">
        <w:tab/>
      </w:r>
      <w:r w:rsidRPr="00F05AEF">
        <w:tab/>
      </w:r>
      <w:r w:rsidRPr="00F05AEF">
        <w:tab/>
        <w:t>Članak 2.</w:t>
      </w:r>
    </w:p>
    <w:p w14:paraId="005C975E" w14:textId="77777777" w:rsidR="00625BA1" w:rsidRPr="00F05AEF" w:rsidRDefault="00625BA1" w:rsidP="00FC4EF7">
      <w:pPr>
        <w:jc w:val="center"/>
      </w:pPr>
    </w:p>
    <w:p w14:paraId="7B27AE5D" w14:textId="77777777" w:rsidR="00456B23" w:rsidRPr="00F05AEF" w:rsidRDefault="00D25482" w:rsidP="00675652">
      <w:pPr>
        <w:spacing w:before="60" w:after="60"/>
      </w:pPr>
      <w:r w:rsidRPr="00F05AEF">
        <w:tab/>
        <w:t xml:space="preserve">Grad </w:t>
      </w:r>
      <w:r w:rsidR="00F65122" w:rsidRPr="00F05AEF">
        <w:t>Pula</w:t>
      </w:r>
      <w:r w:rsidR="00B50CA6">
        <w:t xml:space="preserve"> </w:t>
      </w:r>
      <w:r w:rsidR="00F65122" w:rsidRPr="00F05AEF">
        <w:t>-</w:t>
      </w:r>
      <w:r w:rsidR="00B50CA6">
        <w:t xml:space="preserve"> </w:t>
      </w:r>
      <w:r w:rsidR="00F65122" w:rsidRPr="00F05AEF">
        <w:t xml:space="preserve">Pola </w:t>
      </w:r>
      <w:r w:rsidRPr="00F05AEF">
        <w:t>uvodi sljedeće poreze:</w:t>
      </w:r>
    </w:p>
    <w:p w14:paraId="3C590EFD" w14:textId="77777777" w:rsidR="00456B23" w:rsidRPr="00F05AEF" w:rsidRDefault="00D25482" w:rsidP="00675652">
      <w:pPr>
        <w:spacing w:before="60" w:after="60"/>
      </w:pPr>
      <w:r w:rsidRPr="00F05AEF">
        <w:tab/>
        <w:t>1. porez na potrošnju,</w:t>
      </w:r>
    </w:p>
    <w:p w14:paraId="3FA0C2AC" w14:textId="77777777" w:rsidR="00456B23" w:rsidRPr="00F05AEF" w:rsidRDefault="00D25482" w:rsidP="00675652">
      <w:pPr>
        <w:spacing w:before="60" w:after="60"/>
        <w:ind w:left="360"/>
      </w:pPr>
      <w:r w:rsidRPr="00F05AEF">
        <w:tab/>
      </w:r>
      <w:r w:rsidR="00160454" w:rsidRPr="00F05AEF">
        <w:t>2</w:t>
      </w:r>
      <w:r w:rsidRPr="00F05AEF">
        <w:t>. porez na kuće za odmor,</w:t>
      </w:r>
    </w:p>
    <w:p w14:paraId="15591442" w14:textId="77777777" w:rsidR="00456B23" w:rsidRPr="00F05AEF" w:rsidRDefault="00D25482" w:rsidP="00675652">
      <w:pPr>
        <w:spacing w:before="60" w:after="60"/>
        <w:ind w:left="360"/>
      </w:pPr>
      <w:r w:rsidRPr="00F05AEF">
        <w:tab/>
      </w:r>
      <w:r w:rsidR="00160454" w:rsidRPr="00F05AEF">
        <w:t>3</w:t>
      </w:r>
      <w:r w:rsidRPr="00F05AEF">
        <w:t>. pore</w:t>
      </w:r>
      <w:r w:rsidR="00D9580D" w:rsidRPr="00F05AEF">
        <w:t>z na korištenje javnih površina</w:t>
      </w:r>
      <w:r w:rsidR="00191583" w:rsidRPr="00F05AEF">
        <w:t>.</w:t>
      </w:r>
    </w:p>
    <w:p w14:paraId="156ADE4D" w14:textId="77777777" w:rsidR="0031229D" w:rsidRPr="00FC4EF7" w:rsidRDefault="0031229D" w:rsidP="00FC4EF7">
      <w:pPr>
        <w:ind w:firstLine="708"/>
        <w:jc w:val="center"/>
        <w:rPr>
          <w:strike/>
        </w:rPr>
      </w:pPr>
    </w:p>
    <w:p w14:paraId="3FDEFDE6" w14:textId="77777777" w:rsidR="00A9458D" w:rsidRPr="00F05AEF" w:rsidRDefault="00A9458D" w:rsidP="00FC4EF7">
      <w:pPr>
        <w:pStyle w:val="BodyTextIndent"/>
        <w:jc w:val="center"/>
        <w:rPr>
          <w:szCs w:val="24"/>
        </w:rPr>
      </w:pPr>
    </w:p>
    <w:p w14:paraId="68BF36CC" w14:textId="77777777" w:rsidR="00456B23" w:rsidRPr="00F05AEF" w:rsidRDefault="00D25482" w:rsidP="00675652">
      <w:pPr>
        <w:jc w:val="both"/>
        <w:rPr>
          <w:i/>
        </w:rPr>
      </w:pPr>
      <w:r w:rsidRPr="00F05AEF">
        <w:tab/>
      </w:r>
      <w:r w:rsidR="000A4087" w:rsidRPr="00F05AEF">
        <w:tab/>
      </w:r>
      <w:r w:rsidR="000A4087" w:rsidRPr="00F05AEF">
        <w:tab/>
      </w:r>
      <w:r w:rsidR="000A4087" w:rsidRPr="00F05AEF">
        <w:tab/>
      </w:r>
      <w:r w:rsidR="00160454" w:rsidRPr="00F05AEF">
        <w:rPr>
          <w:i/>
          <w:iCs/>
        </w:rPr>
        <w:t>1</w:t>
      </w:r>
      <w:r w:rsidR="000A4087" w:rsidRPr="00F05AEF">
        <w:rPr>
          <w:i/>
        </w:rPr>
        <w:t>.</w:t>
      </w:r>
      <w:r w:rsidR="000A4087" w:rsidRPr="00F05AEF">
        <w:rPr>
          <w:i/>
        </w:rPr>
        <w:tab/>
        <w:t>Porez na potrošnju</w:t>
      </w:r>
    </w:p>
    <w:p w14:paraId="0AA60C93" w14:textId="77777777" w:rsidR="00456B23" w:rsidRPr="00F05AEF" w:rsidRDefault="00456B23" w:rsidP="00675652">
      <w:pPr>
        <w:jc w:val="both"/>
      </w:pPr>
    </w:p>
    <w:p w14:paraId="1F3D1C6D" w14:textId="77777777" w:rsidR="00D9580D" w:rsidRPr="00F05AEF" w:rsidRDefault="00D25482" w:rsidP="00675652">
      <w:pPr>
        <w:pStyle w:val="BodyText2"/>
        <w:jc w:val="center"/>
        <w:rPr>
          <w:noProof w:val="0"/>
          <w:szCs w:val="24"/>
        </w:rPr>
      </w:pPr>
      <w:r w:rsidRPr="00F05AEF">
        <w:rPr>
          <w:noProof w:val="0"/>
          <w:szCs w:val="24"/>
        </w:rPr>
        <w:t xml:space="preserve">Članak </w:t>
      </w:r>
      <w:r w:rsidR="00EC7652" w:rsidRPr="00F05AEF">
        <w:rPr>
          <w:noProof w:val="0"/>
          <w:szCs w:val="24"/>
        </w:rPr>
        <w:t>3</w:t>
      </w:r>
      <w:r w:rsidRPr="00F05AEF">
        <w:rPr>
          <w:noProof w:val="0"/>
          <w:szCs w:val="24"/>
        </w:rPr>
        <w:t>.</w:t>
      </w:r>
    </w:p>
    <w:p w14:paraId="06783DD8" w14:textId="77777777" w:rsidR="00AD3542" w:rsidRPr="00F05AEF" w:rsidRDefault="00AD3542" w:rsidP="00675652">
      <w:pPr>
        <w:pStyle w:val="BodyText2"/>
        <w:jc w:val="both"/>
        <w:rPr>
          <w:noProof w:val="0"/>
          <w:szCs w:val="24"/>
        </w:rPr>
      </w:pPr>
    </w:p>
    <w:p w14:paraId="4DE93C71" w14:textId="77777777" w:rsidR="007231E2" w:rsidRPr="00F05AEF" w:rsidRDefault="00D25482" w:rsidP="00675652">
      <w:pPr>
        <w:pStyle w:val="BodyText2"/>
        <w:jc w:val="both"/>
        <w:rPr>
          <w:noProof w:val="0"/>
          <w:szCs w:val="24"/>
        </w:rPr>
      </w:pPr>
      <w:r w:rsidRPr="00F05AEF">
        <w:rPr>
          <w:noProof w:val="0"/>
          <w:szCs w:val="24"/>
        </w:rPr>
        <w:tab/>
        <w:t xml:space="preserve">Porez na potrošnju </w:t>
      </w:r>
      <w:r w:rsidRPr="00F05AEF">
        <w:rPr>
          <w:noProof w:val="0"/>
          <w:szCs w:val="24"/>
        </w:rPr>
        <w:t>plaća se po stopi od 3%</w:t>
      </w:r>
      <w:r w:rsidR="00EC7652" w:rsidRPr="00F05AEF">
        <w:rPr>
          <w:noProof w:val="0"/>
          <w:szCs w:val="24"/>
        </w:rPr>
        <w:t xml:space="preserve">. </w:t>
      </w:r>
    </w:p>
    <w:p w14:paraId="07C0A501" w14:textId="77777777" w:rsidR="00EC7652" w:rsidRPr="00F05AEF" w:rsidRDefault="00EC7652" w:rsidP="00675652">
      <w:pPr>
        <w:pStyle w:val="BodyText2"/>
        <w:jc w:val="both"/>
        <w:rPr>
          <w:noProof w:val="0"/>
          <w:szCs w:val="24"/>
        </w:rPr>
      </w:pPr>
    </w:p>
    <w:p w14:paraId="0486C4B3" w14:textId="77777777" w:rsidR="007F3DF3" w:rsidRPr="00F05AEF" w:rsidRDefault="007F3DF3" w:rsidP="00675652">
      <w:pPr>
        <w:pStyle w:val="BodyText2"/>
        <w:jc w:val="both"/>
        <w:rPr>
          <w:noProof w:val="0"/>
          <w:szCs w:val="24"/>
        </w:rPr>
      </w:pPr>
    </w:p>
    <w:p w14:paraId="4134B662" w14:textId="77777777" w:rsidR="00456B23" w:rsidRPr="00F05AEF" w:rsidRDefault="00D25482" w:rsidP="00675652">
      <w:pPr>
        <w:rPr>
          <w:i/>
        </w:rPr>
      </w:pPr>
      <w:r w:rsidRPr="00F05AEF">
        <w:tab/>
      </w:r>
      <w:r w:rsidRPr="00F05AEF">
        <w:tab/>
      </w:r>
      <w:r w:rsidR="00D23D61" w:rsidRPr="00F05AEF">
        <w:rPr>
          <w:i/>
        </w:rPr>
        <w:tab/>
      </w:r>
      <w:r w:rsidR="00D23D61" w:rsidRPr="00F05AEF">
        <w:rPr>
          <w:i/>
        </w:rPr>
        <w:tab/>
      </w:r>
      <w:r w:rsidR="00EC7652" w:rsidRPr="00F05AEF">
        <w:rPr>
          <w:i/>
        </w:rPr>
        <w:t>2.</w:t>
      </w:r>
      <w:r w:rsidR="000A4087" w:rsidRPr="00F05AEF">
        <w:rPr>
          <w:i/>
        </w:rPr>
        <w:tab/>
        <w:t>Porez na kuće za odmor</w:t>
      </w:r>
    </w:p>
    <w:p w14:paraId="1E459FA7" w14:textId="77777777" w:rsidR="00456B23" w:rsidRPr="00F05AEF" w:rsidRDefault="00456B23" w:rsidP="00675652">
      <w:pPr>
        <w:jc w:val="both"/>
      </w:pPr>
    </w:p>
    <w:p w14:paraId="700A792B" w14:textId="77777777" w:rsidR="00456B23" w:rsidRPr="00F05AEF" w:rsidRDefault="00D25482" w:rsidP="00675652">
      <w:pPr>
        <w:jc w:val="center"/>
      </w:pPr>
      <w:r w:rsidRPr="00F05AEF">
        <w:t xml:space="preserve">Članak </w:t>
      </w:r>
      <w:r w:rsidR="00EC7652" w:rsidRPr="00F05AEF">
        <w:t>4</w:t>
      </w:r>
      <w:r w:rsidRPr="00F05AEF">
        <w:t>.</w:t>
      </w:r>
    </w:p>
    <w:p w14:paraId="5CD76CF7" w14:textId="77777777" w:rsidR="00456B23" w:rsidRPr="00F05AEF" w:rsidRDefault="00456B23" w:rsidP="00675652">
      <w:pPr>
        <w:jc w:val="center"/>
        <w:rPr>
          <w:b/>
        </w:rPr>
      </w:pPr>
    </w:p>
    <w:p w14:paraId="4F7C33CB" w14:textId="77777777" w:rsidR="007F3DF3" w:rsidRPr="00F05AEF" w:rsidRDefault="00D25482" w:rsidP="00675652">
      <w:pPr>
        <w:ind w:firstLine="720"/>
        <w:jc w:val="both"/>
      </w:pPr>
      <w:r w:rsidRPr="00F05AEF">
        <w:t xml:space="preserve">Porez na kuće za odmor plaća se </w:t>
      </w:r>
      <w:r w:rsidR="001F0219" w:rsidRPr="00F05AEF">
        <w:t xml:space="preserve">u iznosu od </w:t>
      </w:r>
      <w:r w:rsidR="00EC7652" w:rsidRPr="00F05AEF">
        <w:t>5</w:t>
      </w:r>
      <w:r w:rsidR="001F0219" w:rsidRPr="00F05AEF">
        <w:t>,00</w:t>
      </w:r>
      <w:r w:rsidR="00EC7652" w:rsidRPr="00F05AEF">
        <w:t xml:space="preserve"> eura</w:t>
      </w:r>
      <w:r w:rsidR="009F7C25" w:rsidRPr="00F05AEF">
        <w:t>/</w:t>
      </w:r>
      <w:r w:rsidR="00ED1A79" w:rsidRPr="007A77F3">
        <w:rPr>
          <w:sz w:val="22"/>
          <w:szCs w:val="22"/>
        </w:rPr>
        <w:t>m²</w:t>
      </w:r>
      <w:r w:rsidR="001F0219" w:rsidRPr="00F05AEF">
        <w:t xml:space="preserve"> </w:t>
      </w:r>
      <w:r w:rsidR="00855F3F" w:rsidRPr="00F05AEF">
        <w:t>korisne površine kuće za odmor.</w:t>
      </w:r>
    </w:p>
    <w:p w14:paraId="6ADBDA72" w14:textId="77777777" w:rsidR="004F67BB" w:rsidRDefault="004F67BB" w:rsidP="004F67BB">
      <w:pPr>
        <w:ind w:firstLine="720"/>
        <w:jc w:val="center"/>
      </w:pPr>
    </w:p>
    <w:p w14:paraId="0F58303E" w14:textId="77777777" w:rsidR="00FC4EF7" w:rsidRDefault="00FC4EF7" w:rsidP="004F67BB">
      <w:pPr>
        <w:ind w:firstLine="720"/>
        <w:jc w:val="center"/>
      </w:pPr>
    </w:p>
    <w:p w14:paraId="453F727F" w14:textId="77777777" w:rsidR="003957DA" w:rsidRDefault="003957DA" w:rsidP="004F67BB">
      <w:pPr>
        <w:ind w:firstLine="720"/>
        <w:jc w:val="center"/>
      </w:pPr>
    </w:p>
    <w:p w14:paraId="2E183FEA" w14:textId="77777777" w:rsidR="003957DA" w:rsidRDefault="003957DA" w:rsidP="004F67BB">
      <w:pPr>
        <w:ind w:firstLine="720"/>
        <w:jc w:val="center"/>
      </w:pPr>
    </w:p>
    <w:p w14:paraId="7358BC50" w14:textId="77777777" w:rsidR="007422EE" w:rsidRDefault="007422EE" w:rsidP="004F67BB">
      <w:pPr>
        <w:ind w:firstLine="720"/>
        <w:jc w:val="center"/>
      </w:pPr>
    </w:p>
    <w:p w14:paraId="2E3D2DC4" w14:textId="77777777" w:rsidR="0012688B" w:rsidRDefault="00D25482" w:rsidP="001E7ACF">
      <w:pPr>
        <w:pStyle w:val="BodyTextIndent"/>
        <w:tabs>
          <w:tab w:val="left" w:pos="2835"/>
        </w:tabs>
        <w:ind w:firstLine="0"/>
        <w:rPr>
          <w:i/>
          <w:szCs w:val="24"/>
        </w:rPr>
      </w:pPr>
      <w:r w:rsidRPr="00F05AEF">
        <w:rPr>
          <w:i/>
          <w:szCs w:val="24"/>
        </w:rPr>
        <w:lastRenderedPageBreak/>
        <w:tab/>
      </w:r>
      <w:r w:rsidRPr="00F05AEF">
        <w:rPr>
          <w:i/>
          <w:szCs w:val="24"/>
        </w:rPr>
        <w:tab/>
      </w:r>
      <w:r w:rsidRPr="00F05AEF">
        <w:rPr>
          <w:i/>
          <w:szCs w:val="24"/>
        </w:rPr>
        <w:tab/>
      </w:r>
      <w:r w:rsidRPr="00F05AEF">
        <w:rPr>
          <w:i/>
          <w:szCs w:val="24"/>
        </w:rPr>
        <w:tab/>
      </w:r>
    </w:p>
    <w:p w14:paraId="7C1196D6" w14:textId="77777777" w:rsidR="0012688B" w:rsidRDefault="0012688B" w:rsidP="003957DA">
      <w:pPr>
        <w:pStyle w:val="BodyTextIndent"/>
        <w:tabs>
          <w:tab w:val="left" w:pos="2268"/>
        </w:tabs>
        <w:ind w:left="2124" w:firstLine="708"/>
        <w:rPr>
          <w:i/>
          <w:szCs w:val="24"/>
        </w:rPr>
      </w:pPr>
    </w:p>
    <w:p w14:paraId="49D47964" w14:textId="77777777" w:rsidR="00456B23" w:rsidRPr="007A77F3" w:rsidRDefault="00D25482" w:rsidP="003957DA">
      <w:pPr>
        <w:pStyle w:val="BodyTextIndent"/>
        <w:tabs>
          <w:tab w:val="left" w:pos="2268"/>
        </w:tabs>
        <w:ind w:left="2124" w:firstLine="708"/>
        <w:rPr>
          <w:i/>
          <w:szCs w:val="24"/>
        </w:rPr>
      </w:pPr>
      <w:r w:rsidRPr="007A77F3">
        <w:rPr>
          <w:i/>
          <w:szCs w:val="24"/>
        </w:rPr>
        <w:t>3</w:t>
      </w:r>
      <w:r w:rsidR="000A4087" w:rsidRPr="007A77F3">
        <w:rPr>
          <w:i/>
          <w:szCs w:val="24"/>
        </w:rPr>
        <w:t>.</w:t>
      </w:r>
      <w:r w:rsidR="000A4087" w:rsidRPr="007A77F3">
        <w:rPr>
          <w:i/>
          <w:szCs w:val="24"/>
        </w:rPr>
        <w:tab/>
        <w:t>Porez na korištenje javnih površina</w:t>
      </w:r>
    </w:p>
    <w:p w14:paraId="7741CFA9" w14:textId="77777777" w:rsidR="00D23D61" w:rsidRPr="007A77F3" w:rsidRDefault="00D23D61" w:rsidP="004F67BB">
      <w:pPr>
        <w:autoSpaceDE w:val="0"/>
        <w:autoSpaceDN w:val="0"/>
        <w:adjustRightInd w:val="0"/>
        <w:jc w:val="center"/>
        <w:rPr>
          <w:bCs/>
          <w:i/>
        </w:rPr>
      </w:pPr>
    </w:p>
    <w:p w14:paraId="32C87A89" w14:textId="77777777" w:rsidR="00681AA7" w:rsidRDefault="00D25482" w:rsidP="00675652">
      <w:pPr>
        <w:jc w:val="center"/>
      </w:pPr>
      <w:r w:rsidRPr="007A77F3">
        <w:t>Članak 5.</w:t>
      </w:r>
    </w:p>
    <w:p w14:paraId="5011A239" w14:textId="77777777" w:rsidR="00FC4EF7" w:rsidRPr="007A77F3" w:rsidRDefault="00FC4EF7" w:rsidP="00675652">
      <w:pPr>
        <w:jc w:val="center"/>
      </w:pPr>
    </w:p>
    <w:p w14:paraId="4F895759" w14:textId="77777777" w:rsidR="00681AA7" w:rsidRPr="007A77F3" w:rsidRDefault="00D25482" w:rsidP="00675652">
      <w:pPr>
        <w:jc w:val="both"/>
      </w:pPr>
      <w:r w:rsidRPr="007A77F3">
        <w:tab/>
      </w:r>
      <w:r w:rsidRPr="007A77F3">
        <w:rPr>
          <w:color w:val="231F20"/>
          <w:shd w:val="clear" w:color="auto" w:fill="FFFFFF"/>
        </w:rPr>
        <w:t xml:space="preserve">Javnom površinom u smislu ove </w:t>
      </w:r>
      <w:r w:rsidRPr="007A77F3">
        <w:rPr>
          <w:color w:val="231F20"/>
          <w:shd w:val="clear" w:color="auto" w:fill="FFFFFF"/>
        </w:rPr>
        <w:t>Odluke smatraju se ulice, trgovi, igrališta, nogostupi, parkovi, zelene površine, kao i svi ostali prostori u vlasništvu ili pod upravom Grada</w:t>
      </w:r>
      <w:r w:rsidR="00AB2227" w:rsidRPr="007A77F3">
        <w:rPr>
          <w:color w:val="231F20"/>
          <w:shd w:val="clear" w:color="auto" w:fill="FFFFFF"/>
        </w:rPr>
        <w:t xml:space="preserve"> Pula</w:t>
      </w:r>
      <w:r w:rsidR="00B50CA6" w:rsidRPr="007A77F3">
        <w:rPr>
          <w:color w:val="231F20"/>
          <w:shd w:val="clear" w:color="auto" w:fill="FFFFFF"/>
        </w:rPr>
        <w:t xml:space="preserve"> </w:t>
      </w:r>
      <w:r w:rsidR="00AB2227" w:rsidRPr="007A77F3">
        <w:rPr>
          <w:color w:val="231F20"/>
          <w:shd w:val="clear" w:color="auto" w:fill="FFFFFF"/>
        </w:rPr>
        <w:t>-</w:t>
      </w:r>
      <w:r w:rsidR="00B50CA6" w:rsidRPr="007A77F3">
        <w:rPr>
          <w:color w:val="231F20"/>
          <w:shd w:val="clear" w:color="auto" w:fill="FFFFFF"/>
        </w:rPr>
        <w:t xml:space="preserve"> </w:t>
      </w:r>
      <w:r w:rsidR="00AB2227" w:rsidRPr="007A77F3">
        <w:rPr>
          <w:color w:val="231F20"/>
          <w:shd w:val="clear" w:color="auto" w:fill="FFFFFF"/>
        </w:rPr>
        <w:t xml:space="preserve">Pola </w:t>
      </w:r>
      <w:r w:rsidRPr="007A77F3">
        <w:rPr>
          <w:color w:val="231F20"/>
          <w:shd w:val="clear" w:color="auto" w:fill="FFFFFF"/>
        </w:rPr>
        <w:t xml:space="preserve"> čije je korištenje namijenjeno svima i pod jednakim uvjetima.</w:t>
      </w:r>
      <w:r w:rsidRPr="007A77F3">
        <w:t xml:space="preserve"> </w:t>
      </w:r>
    </w:p>
    <w:p w14:paraId="62E8C7B9" w14:textId="77777777" w:rsidR="00681AA7" w:rsidRPr="007A77F3" w:rsidRDefault="00D25482" w:rsidP="00675652">
      <w:pPr>
        <w:jc w:val="both"/>
      </w:pPr>
      <w:r w:rsidRPr="007A77F3">
        <w:tab/>
        <w:t>U dvojbi što se smatra javnom površi</w:t>
      </w:r>
      <w:r w:rsidRPr="007A77F3">
        <w:t>nom mjerodavne su odredbe Odluke o komunalnom redu Grada Pula</w:t>
      </w:r>
      <w:r w:rsidR="00B50CA6" w:rsidRPr="007A77F3">
        <w:t xml:space="preserve"> </w:t>
      </w:r>
      <w:r w:rsidRPr="007A77F3">
        <w:t>-</w:t>
      </w:r>
      <w:r w:rsidR="00B50CA6" w:rsidRPr="007A77F3">
        <w:t xml:space="preserve"> </w:t>
      </w:r>
      <w:r w:rsidRPr="007A77F3">
        <w:t>Pola.</w:t>
      </w:r>
    </w:p>
    <w:p w14:paraId="1742EE9C" w14:textId="77777777" w:rsidR="00681AA7" w:rsidRPr="007A77F3" w:rsidRDefault="00D25482" w:rsidP="00675652">
      <w:pPr>
        <w:autoSpaceDE w:val="0"/>
        <w:autoSpaceDN w:val="0"/>
        <w:adjustRightInd w:val="0"/>
        <w:jc w:val="both"/>
      </w:pPr>
      <w:r w:rsidRPr="007A77F3">
        <w:tab/>
        <w:t xml:space="preserve">Porez na korištenje javnih površina na području </w:t>
      </w:r>
      <w:r w:rsidR="001D1833" w:rsidRPr="007A77F3">
        <w:t>G</w:t>
      </w:r>
      <w:r w:rsidRPr="007A77F3">
        <w:t>rada Pul</w:t>
      </w:r>
      <w:r w:rsidR="00520467" w:rsidRPr="007A77F3">
        <w:t>a</w:t>
      </w:r>
      <w:r w:rsidR="00B50CA6" w:rsidRPr="007A77F3">
        <w:t xml:space="preserve"> </w:t>
      </w:r>
      <w:r w:rsidR="00520467" w:rsidRPr="007A77F3">
        <w:t>-</w:t>
      </w:r>
      <w:r w:rsidR="00B50CA6" w:rsidRPr="007A77F3">
        <w:t xml:space="preserve"> </w:t>
      </w:r>
      <w:r w:rsidR="00520467" w:rsidRPr="007A77F3">
        <w:t>Pola</w:t>
      </w:r>
      <w:r w:rsidRPr="007A77F3">
        <w:t xml:space="preserve"> plaćaju pravne i fizičke osobe kojima je </w:t>
      </w:r>
      <w:r w:rsidRPr="007A77F3">
        <w:rPr>
          <w:color w:val="000000"/>
        </w:rPr>
        <w:t xml:space="preserve">upravno tijelo Grada </w:t>
      </w:r>
      <w:r w:rsidR="00AB2227" w:rsidRPr="007A77F3">
        <w:rPr>
          <w:color w:val="000000"/>
        </w:rPr>
        <w:t>Pula</w:t>
      </w:r>
      <w:r w:rsidR="00B50CA6" w:rsidRPr="007A77F3">
        <w:rPr>
          <w:color w:val="000000"/>
        </w:rPr>
        <w:t xml:space="preserve"> </w:t>
      </w:r>
      <w:r w:rsidR="00AB2227" w:rsidRPr="007A77F3">
        <w:rPr>
          <w:color w:val="000000"/>
        </w:rPr>
        <w:t>-</w:t>
      </w:r>
      <w:r w:rsidR="00B50CA6" w:rsidRPr="007A77F3">
        <w:rPr>
          <w:color w:val="000000"/>
        </w:rPr>
        <w:t xml:space="preserve"> </w:t>
      </w:r>
      <w:r w:rsidR="00AB2227" w:rsidRPr="007A77F3">
        <w:rPr>
          <w:color w:val="000000"/>
        </w:rPr>
        <w:t xml:space="preserve">Pola </w:t>
      </w:r>
      <w:r w:rsidRPr="007A77F3">
        <w:rPr>
          <w:color w:val="000000"/>
        </w:rPr>
        <w:t>nadležno</w:t>
      </w:r>
      <w:r w:rsidRPr="007A77F3">
        <w:t xml:space="preserve"> za poslove upravljanja imovinom izdalo Rješenje o porezu na korištenje javne površine kojim se odobrava korištenje javne površine.</w:t>
      </w:r>
    </w:p>
    <w:p w14:paraId="7DC88772" w14:textId="77777777" w:rsidR="00681AA7" w:rsidRPr="007A77F3" w:rsidRDefault="00D25482" w:rsidP="00675652">
      <w:pPr>
        <w:autoSpaceDE w:val="0"/>
        <w:autoSpaceDN w:val="0"/>
        <w:adjustRightInd w:val="0"/>
        <w:ind w:firstLine="708"/>
        <w:jc w:val="both"/>
      </w:pPr>
      <w:r w:rsidRPr="007A77F3">
        <w:t>Rješenjem o porezu na korištenje javne površine utvrđuju se:</w:t>
      </w:r>
    </w:p>
    <w:p w14:paraId="11012A23" w14:textId="77777777" w:rsidR="00681AA7" w:rsidRPr="007A77F3" w:rsidRDefault="00D25482" w:rsidP="00675652">
      <w:pPr>
        <w:numPr>
          <w:ilvl w:val="0"/>
          <w:numId w:val="8"/>
        </w:numPr>
        <w:tabs>
          <w:tab w:val="num" w:pos="900"/>
        </w:tabs>
        <w:autoSpaceDE w:val="0"/>
        <w:autoSpaceDN w:val="0"/>
        <w:adjustRightInd w:val="0"/>
        <w:ind w:left="900"/>
        <w:jc w:val="both"/>
      </w:pPr>
      <w:r w:rsidRPr="007A77F3">
        <w:t xml:space="preserve">podaci o korisniku javne površine, </w:t>
      </w:r>
    </w:p>
    <w:p w14:paraId="74BA2ECB" w14:textId="77777777" w:rsidR="00681AA7" w:rsidRPr="007A77F3" w:rsidRDefault="00D25482" w:rsidP="00675652">
      <w:pPr>
        <w:numPr>
          <w:ilvl w:val="0"/>
          <w:numId w:val="8"/>
        </w:numPr>
        <w:tabs>
          <w:tab w:val="num" w:pos="900"/>
        </w:tabs>
        <w:autoSpaceDE w:val="0"/>
        <w:autoSpaceDN w:val="0"/>
        <w:adjustRightInd w:val="0"/>
        <w:ind w:left="900"/>
        <w:jc w:val="both"/>
      </w:pPr>
      <w:r w:rsidRPr="007A77F3">
        <w:t xml:space="preserve">visina poreza na korištenje javne površine, </w:t>
      </w:r>
    </w:p>
    <w:p w14:paraId="25A216C9" w14:textId="77777777" w:rsidR="00681AA7" w:rsidRPr="007A77F3" w:rsidRDefault="00D25482" w:rsidP="00675652">
      <w:pPr>
        <w:numPr>
          <w:ilvl w:val="0"/>
          <w:numId w:val="8"/>
        </w:numPr>
        <w:tabs>
          <w:tab w:val="num" w:pos="900"/>
        </w:tabs>
        <w:autoSpaceDE w:val="0"/>
        <w:autoSpaceDN w:val="0"/>
        <w:adjustRightInd w:val="0"/>
        <w:ind w:left="900"/>
        <w:jc w:val="both"/>
      </w:pPr>
      <w:r w:rsidRPr="007A77F3">
        <w:t>uvjeti plaćanja i instrumenti osiguranja plaćanja te</w:t>
      </w:r>
    </w:p>
    <w:p w14:paraId="5650EC5E" w14:textId="77777777" w:rsidR="00681AA7" w:rsidRPr="007A77F3" w:rsidRDefault="00D25482" w:rsidP="00675652">
      <w:pPr>
        <w:numPr>
          <w:ilvl w:val="0"/>
          <w:numId w:val="8"/>
        </w:numPr>
        <w:tabs>
          <w:tab w:val="num" w:pos="900"/>
        </w:tabs>
        <w:autoSpaceDE w:val="0"/>
        <w:autoSpaceDN w:val="0"/>
        <w:adjustRightInd w:val="0"/>
        <w:ind w:left="900"/>
        <w:jc w:val="both"/>
      </w:pPr>
      <w:r w:rsidRPr="007A77F3">
        <w:t>prava i obveze korisnika javne površine (uvjeti korištenja, tip opreme, podaci o lokaciji, površini i namjeni, podaci o vr</w:t>
      </w:r>
      <w:r w:rsidRPr="007A77F3">
        <w:t>emenu na koje se izdaje rješenje i sl.)</w:t>
      </w:r>
      <w:r w:rsidR="008F1CCD">
        <w:t>.</w:t>
      </w:r>
    </w:p>
    <w:p w14:paraId="7988B9B2" w14:textId="77777777" w:rsidR="00681AA7" w:rsidRPr="007A77F3" w:rsidRDefault="00681AA7" w:rsidP="00675652">
      <w:pPr>
        <w:autoSpaceDE w:val="0"/>
        <w:autoSpaceDN w:val="0"/>
        <w:adjustRightInd w:val="0"/>
        <w:jc w:val="center"/>
        <w:rPr>
          <w:b/>
        </w:rPr>
      </w:pPr>
    </w:p>
    <w:p w14:paraId="0D48E2EB" w14:textId="77777777" w:rsidR="00681AA7" w:rsidRPr="007A77F3" w:rsidRDefault="00D25482" w:rsidP="00675652">
      <w:pPr>
        <w:autoSpaceDE w:val="0"/>
        <w:autoSpaceDN w:val="0"/>
        <w:adjustRightInd w:val="0"/>
        <w:jc w:val="center"/>
      </w:pPr>
      <w:r w:rsidRPr="007A77F3">
        <w:t>Članak 6.</w:t>
      </w:r>
    </w:p>
    <w:p w14:paraId="40361196" w14:textId="77777777" w:rsidR="00764998" w:rsidRPr="007A77F3" w:rsidRDefault="00764998" w:rsidP="00675652">
      <w:pPr>
        <w:autoSpaceDE w:val="0"/>
        <w:autoSpaceDN w:val="0"/>
        <w:adjustRightInd w:val="0"/>
        <w:jc w:val="center"/>
      </w:pPr>
    </w:p>
    <w:p w14:paraId="754D7484" w14:textId="77777777" w:rsidR="00681AA7" w:rsidRPr="007A77F3" w:rsidRDefault="00D25482" w:rsidP="00675652">
      <w:pPr>
        <w:autoSpaceDE w:val="0"/>
        <w:autoSpaceDN w:val="0"/>
        <w:adjustRightInd w:val="0"/>
        <w:jc w:val="both"/>
        <w:rPr>
          <w:bCs/>
        </w:rPr>
      </w:pPr>
      <w:r w:rsidRPr="007A77F3">
        <w:rPr>
          <w:bCs/>
        </w:rPr>
        <w:tab/>
        <w:t xml:space="preserve">Javne površine u </w:t>
      </w:r>
      <w:r w:rsidR="001D1833" w:rsidRPr="007A77F3">
        <w:rPr>
          <w:bCs/>
        </w:rPr>
        <w:t>G</w:t>
      </w:r>
      <w:r w:rsidRPr="007A77F3">
        <w:rPr>
          <w:bCs/>
        </w:rPr>
        <w:t>radu Pul</w:t>
      </w:r>
      <w:r w:rsidR="00AB2227" w:rsidRPr="007A77F3">
        <w:rPr>
          <w:bCs/>
        </w:rPr>
        <w:t>a</w:t>
      </w:r>
      <w:r w:rsidR="00B50CA6" w:rsidRPr="007A77F3">
        <w:rPr>
          <w:bCs/>
        </w:rPr>
        <w:t xml:space="preserve"> </w:t>
      </w:r>
      <w:r w:rsidR="00AB2227" w:rsidRPr="007A77F3">
        <w:rPr>
          <w:bCs/>
        </w:rPr>
        <w:t>-</w:t>
      </w:r>
      <w:r w:rsidR="00B50CA6" w:rsidRPr="007A77F3">
        <w:rPr>
          <w:bCs/>
        </w:rPr>
        <w:t xml:space="preserve"> </w:t>
      </w:r>
      <w:r w:rsidR="00AB2227" w:rsidRPr="007A77F3">
        <w:rPr>
          <w:bCs/>
        </w:rPr>
        <w:t>Pola</w:t>
      </w:r>
      <w:r w:rsidRPr="007A77F3">
        <w:rPr>
          <w:bCs/>
        </w:rPr>
        <w:t xml:space="preserve"> predviđene za postavu urbane opreme razvrstavaju se u zone,</w:t>
      </w:r>
      <w:r w:rsidRPr="007A77F3">
        <w:t xml:space="preserve"> sukladno grafičkom prikazu koji čini sastavni dio ove Odluke</w:t>
      </w:r>
      <w:r w:rsidRPr="007A77F3">
        <w:rPr>
          <w:bCs/>
        </w:rPr>
        <w:t>, kako slijedi:</w:t>
      </w:r>
    </w:p>
    <w:p w14:paraId="377BE1AB" w14:textId="77777777" w:rsidR="00681AA7" w:rsidRPr="007A77F3" w:rsidRDefault="00D25482" w:rsidP="00675652">
      <w:pPr>
        <w:numPr>
          <w:ilvl w:val="0"/>
          <w:numId w:val="8"/>
        </w:numPr>
        <w:tabs>
          <w:tab w:val="num" w:pos="900"/>
        </w:tabs>
        <w:autoSpaceDE w:val="0"/>
        <w:autoSpaceDN w:val="0"/>
        <w:adjustRightInd w:val="0"/>
        <w:ind w:left="900"/>
        <w:jc w:val="both"/>
      </w:pPr>
      <w:r w:rsidRPr="007A77F3">
        <w:rPr>
          <w:b/>
        </w:rPr>
        <w:t xml:space="preserve">Zona visoke frekventnosti </w:t>
      </w:r>
      <w:r w:rsidRPr="006F22F5">
        <w:rPr>
          <w:b/>
        </w:rPr>
        <w:t>unuta</w:t>
      </w:r>
      <w:r w:rsidRPr="006F22F5">
        <w:rPr>
          <w:b/>
        </w:rPr>
        <w:t>r I</w:t>
      </w:r>
      <w:r w:rsidR="006F22F5" w:rsidRPr="006F22F5">
        <w:rPr>
          <w:b/>
        </w:rPr>
        <w:t>.</w:t>
      </w:r>
      <w:r w:rsidRPr="006F22F5">
        <w:rPr>
          <w:b/>
        </w:rPr>
        <w:t xml:space="preserve"> </w:t>
      </w:r>
      <w:r w:rsidR="006F22F5" w:rsidRPr="006F22F5">
        <w:rPr>
          <w:b/>
        </w:rPr>
        <w:t>Z</w:t>
      </w:r>
      <w:r w:rsidRPr="006F22F5">
        <w:rPr>
          <w:b/>
        </w:rPr>
        <w:t>one</w:t>
      </w:r>
      <w:r w:rsidRPr="007A77F3">
        <w:t xml:space="preserve"> koja obuhvaća:</w:t>
      </w:r>
      <w:r w:rsidR="00E64603" w:rsidRPr="007A77F3">
        <w:t xml:space="preserve"> </w:t>
      </w:r>
      <w:r w:rsidRPr="007A77F3">
        <w:t>Forum, Trg Portarata, Kapitolinski trg, Danteov trg, Narodni trg, Giardin</w:t>
      </w:r>
      <w:r w:rsidR="00A14BE2" w:rsidRPr="007A77F3">
        <w:t>e</w:t>
      </w:r>
      <w:r w:rsidRPr="007A77F3">
        <w:t xml:space="preserve">, Ulicu Sergijevaca, Kandlerovu ulicu, Flanatičku ulicu, Fontičku ulicu, Ciscuttijevu ulicu, Veronsku ulicu, Maksimijanovu ulicu, Clerisseauovu ulicu, </w:t>
      </w:r>
      <w:r w:rsidRPr="007A77F3">
        <w:t>Ulicu Porta Stovagna</w:t>
      </w:r>
      <w:r w:rsidR="00A14BE2" w:rsidRPr="007A77F3">
        <w:t>g</w:t>
      </w:r>
      <w:r w:rsidRPr="007A77F3">
        <w:t>a, odnosno dijelove grada obojane u grafičkom prilogu žutom bojom,</w:t>
      </w:r>
    </w:p>
    <w:p w14:paraId="268D1E63" w14:textId="77777777" w:rsidR="00681AA7" w:rsidRPr="007A77F3" w:rsidRDefault="00D25482" w:rsidP="00675652">
      <w:pPr>
        <w:numPr>
          <w:ilvl w:val="0"/>
          <w:numId w:val="8"/>
        </w:numPr>
        <w:tabs>
          <w:tab w:val="num" w:pos="900"/>
        </w:tabs>
        <w:autoSpaceDE w:val="0"/>
        <w:autoSpaceDN w:val="0"/>
        <w:adjustRightInd w:val="0"/>
        <w:ind w:left="900"/>
        <w:jc w:val="both"/>
        <w:rPr>
          <w:color w:val="000000"/>
        </w:rPr>
      </w:pPr>
      <w:r>
        <w:rPr>
          <w:b/>
        </w:rPr>
        <w:t>I</w:t>
      </w:r>
      <w:r w:rsidRPr="007A77F3">
        <w:rPr>
          <w:b/>
        </w:rPr>
        <w:t>.</w:t>
      </w:r>
      <w:r w:rsidRPr="007A77F3">
        <w:t xml:space="preserve"> </w:t>
      </w:r>
      <w:r w:rsidRPr="006F22F5">
        <w:rPr>
          <w:b/>
          <w:bCs/>
        </w:rPr>
        <w:t>Zona</w:t>
      </w:r>
      <w:r>
        <w:t xml:space="preserve"> </w:t>
      </w:r>
      <w:r w:rsidRPr="007A77F3">
        <w:t xml:space="preserve">obuhvaća ulice kao i dijelove grada u grafičkom prilogu </w:t>
      </w:r>
      <w:r w:rsidRPr="007A77F3">
        <w:rPr>
          <w:color w:val="000000"/>
        </w:rPr>
        <w:t>obojane plavom bojom,</w:t>
      </w:r>
    </w:p>
    <w:p w14:paraId="0ED37776" w14:textId="77777777" w:rsidR="00681AA7" w:rsidRPr="007A77F3" w:rsidRDefault="00D25482" w:rsidP="00675652">
      <w:pPr>
        <w:numPr>
          <w:ilvl w:val="0"/>
          <w:numId w:val="8"/>
        </w:numPr>
        <w:tabs>
          <w:tab w:val="num" w:pos="900"/>
        </w:tabs>
        <w:autoSpaceDE w:val="0"/>
        <w:autoSpaceDN w:val="0"/>
        <w:adjustRightInd w:val="0"/>
        <w:ind w:left="900"/>
        <w:jc w:val="both"/>
      </w:pPr>
      <w:r>
        <w:rPr>
          <w:b/>
          <w:color w:val="000000"/>
        </w:rPr>
        <w:t>II</w:t>
      </w:r>
      <w:r w:rsidRPr="007A77F3">
        <w:rPr>
          <w:b/>
          <w:color w:val="000000"/>
        </w:rPr>
        <w:t>.</w:t>
      </w:r>
      <w:r w:rsidRPr="007A77F3">
        <w:rPr>
          <w:color w:val="000000"/>
        </w:rPr>
        <w:t xml:space="preserve"> </w:t>
      </w:r>
      <w:r w:rsidRPr="006F22F5">
        <w:rPr>
          <w:b/>
          <w:bCs/>
          <w:color w:val="000000"/>
        </w:rPr>
        <w:t>Zona</w:t>
      </w:r>
      <w:r>
        <w:rPr>
          <w:color w:val="000000"/>
        </w:rPr>
        <w:t xml:space="preserve"> </w:t>
      </w:r>
      <w:r w:rsidRPr="007A77F3">
        <w:rPr>
          <w:color w:val="000000"/>
        </w:rPr>
        <w:t>obuhvaća ulice kao i dijelove grada u grafičkom prilogu obojane</w:t>
      </w:r>
      <w:r w:rsidRPr="007A77F3">
        <w:t xml:space="preserve"> crvenom b</w:t>
      </w:r>
      <w:r w:rsidRPr="007A77F3">
        <w:t>ojom,</w:t>
      </w:r>
    </w:p>
    <w:p w14:paraId="619AA5E2" w14:textId="77777777" w:rsidR="00681AA7" w:rsidRPr="004E4874" w:rsidRDefault="00D25482" w:rsidP="00675652">
      <w:pPr>
        <w:numPr>
          <w:ilvl w:val="0"/>
          <w:numId w:val="8"/>
        </w:numPr>
        <w:tabs>
          <w:tab w:val="num" w:pos="900"/>
        </w:tabs>
        <w:autoSpaceDE w:val="0"/>
        <w:autoSpaceDN w:val="0"/>
        <w:adjustRightInd w:val="0"/>
        <w:ind w:left="900"/>
        <w:jc w:val="both"/>
      </w:pPr>
      <w:r>
        <w:rPr>
          <w:b/>
        </w:rPr>
        <w:t>III</w:t>
      </w:r>
      <w:r w:rsidRPr="004E4874">
        <w:rPr>
          <w:b/>
        </w:rPr>
        <w:t>.</w:t>
      </w:r>
      <w:r w:rsidRPr="004E4874">
        <w:t xml:space="preserve"> </w:t>
      </w:r>
      <w:r w:rsidRPr="006F22F5">
        <w:rPr>
          <w:b/>
          <w:bCs/>
        </w:rPr>
        <w:t>Zona</w:t>
      </w:r>
      <w:r>
        <w:t xml:space="preserve"> </w:t>
      </w:r>
      <w:r w:rsidRPr="004E4874">
        <w:t xml:space="preserve">obuhvaća ulice kao i dijelove grada koji nisu obuhvaćeni zonama </w:t>
      </w:r>
      <w:r>
        <w:t>I.</w:t>
      </w:r>
      <w:r w:rsidRPr="004E4874">
        <w:t xml:space="preserve"> i </w:t>
      </w:r>
      <w:r>
        <w:t>II</w:t>
      </w:r>
      <w:r w:rsidRPr="004E4874">
        <w:t>.</w:t>
      </w:r>
    </w:p>
    <w:p w14:paraId="04DABBE7" w14:textId="77777777" w:rsidR="00681AA7" w:rsidRPr="007A77F3" w:rsidRDefault="00681AA7" w:rsidP="004F67BB">
      <w:pPr>
        <w:autoSpaceDE w:val="0"/>
        <w:autoSpaceDN w:val="0"/>
        <w:adjustRightInd w:val="0"/>
        <w:jc w:val="center"/>
      </w:pPr>
    </w:p>
    <w:p w14:paraId="56673681" w14:textId="77777777" w:rsidR="00681AA7" w:rsidRPr="007A77F3" w:rsidRDefault="00D25482" w:rsidP="00675652">
      <w:pPr>
        <w:autoSpaceDE w:val="0"/>
        <w:autoSpaceDN w:val="0"/>
        <w:adjustRightInd w:val="0"/>
        <w:jc w:val="center"/>
      </w:pPr>
      <w:r w:rsidRPr="007A77F3">
        <w:t>Članak 7.</w:t>
      </w:r>
    </w:p>
    <w:p w14:paraId="50A2C56F" w14:textId="77777777" w:rsidR="00764998" w:rsidRPr="007A77F3" w:rsidRDefault="00764998" w:rsidP="00675652">
      <w:pPr>
        <w:autoSpaceDE w:val="0"/>
        <w:autoSpaceDN w:val="0"/>
        <w:adjustRightInd w:val="0"/>
        <w:jc w:val="center"/>
      </w:pPr>
    </w:p>
    <w:p w14:paraId="0F7D139C" w14:textId="77777777" w:rsidR="00681AA7" w:rsidRPr="007A77F3" w:rsidRDefault="00D25482" w:rsidP="00675652">
      <w:pPr>
        <w:autoSpaceDE w:val="0"/>
        <w:autoSpaceDN w:val="0"/>
        <w:adjustRightInd w:val="0"/>
        <w:jc w:val="both"/>
      </w:pPr>
      <w:r w:rsidRPr="007A77F3">
        <w:tab/>
        <w:t>Korištenje javne površine ne može se odobriti podnositelju zahtjeva koji nije u cijelosti podmirio sva dospjela dugovanja prema Gradu</w:t>
      </w:r>
      <w:r w:rsidR="00AB2227" w:rsidRPr="007A77F3">
        <w:t xml:space="preserve"> Pula</w:t>
      </w:r>
      <w:r w:rsidR="00B50CA6" w:rsidRPr="007A77F3">
        <w:t xml:space="preserve"> </w:t>
      </w:r>
      <w:r w:rsidR="00AB2227" w:rsidRPr="007A77F3">
        <w:t>-</w:t>
      </w:r>
      <w:r w:rsidR="00B50CA6" w:rsidRPr="007A77F3">
        <w:t xml:space="preserve"> </w:t>
      </w:r>
      <w:r w:rsidR="00AB2227" w:rsidRPr="007A77F3">
        <w:t>Pola</w:t>
      </w:r>
      <w:r w:rsidRPr="007A77F3">
        <w:t>.</w:t>
      </w:r>
    </w:p>
    <w:p w14:paraId="4C660ACF" w14:textId="77777777" w:rsidR="004F67BB" w:rsidRDefault="004F67BB" w:rsidP="004F67BB">
      <w:pPr>
        <w:autoSpaceDE w:val="0"/>
        <w:autoSpaceDN w:val="0"/>
        <w:adjustRightInd w:val="0"/>
        <w:jc w:val="center"/>
        <w:rPr>
          <w:b/>
        </w:rPr>
      </w:pPr>
    </w:p>
    <w:p w14:paraId="01B97774" w14:textId="77777777" w:rsidR="00585F07" w:rsidRDefault="00585F07" w:rsidP="004F67BB">
      <w:pPr>
        <w:autoSpaceDE w:val="0"/>
        <w:autoSpaceDN w:val="0"/>
        <w:adjustRightInd w:val="0"/>
        <w:jc w:val="center"/>
        <w:rPr>
          <w:b/>
        </w:rPr>
      </w:pPr>
    </w:p>
    <w:p w14:paraId="43283EDC" w14:textId="77777777" w:rsidR="00681AA7" w:rsidRPr="007A77F3" w:rsidRDefault="00D25482" w:rsidP="004F67BB">
      <w:pPr>
        <w:autoSpaceDE w:val="0"/>
        <w:autoSpaceDN w:val="0"/>
        <w:adjustRightInd w:val="0"/>
        <w:jc w:val="center"/>
        <w:rPr>
          <w:b/>
        </w:rPr>
      </w:pPr>
      <w:r w:rsidRPr="007A77F3">
        <w:rPr>
          <w:b/>
        </w:rPr>
        <w:t xml:space="preserve">Korištenje javnih površina </w:t>
      </w:r>
      <w:r w:rsidRPr="00450BA8">
        <w:rPr>
          <w:b/>
        </w:rPr>
        <w:t>postavljanjem kioska ili drugog montažnog objekta</w:t>
      </w:r>
    </w:p>
    <w:p w14:paraId="7A004DB8" w14:textId="77777777" w:rsidR="00681AA7" w:rsidRPr="007A77F3" w:rsidRDefault="00681AA7" w:rsidP="004F67BB">
      <w:pPr>
        <w:autoSpaceDE w:val="0"/>
        <w:autoSpaceDN w:val="0"/>
        <w:adjustRightInd w:val="0"/>
        <w:ind w:firstLine="708"/>
        <w:jc w:val="center"/>
      </w:pPr>
    </w:p>
    <w:p w14:paraId="78B28DD7" w14:textId="77777777" w:rsidR="00681AA7" w:rsidRPr="007A77F3" w:rsidRDefault="00D25482" w:rsidP="00675652">
      <w:pPr>
        <w:autoSpaceDE w:val="0"/>
        <w:autoSpaceDN w:val="0"/>
        <w:adjustRightInd w:val="0"/>
        <w:jc w:val="center"/>
        <w:rPr>
          <w:bCs/>
        </w:rPr>
      </w:pPr>
      <w:r w:rsidRPr="007A77F3">
        <w:rPr>
          <w:bCs/>
        </w:rPr>
        <w:t>Članak 8.</w:t>
      </w:r>
    </w:p>
    <w:p w14:paraId="74F87700" w14:textId="77777777" w:rsidR="00764998" w:rsidRPr="007A77F3" w:rsidRDefault="00764998" w:rsidP="00675652">
      <w:pPr>
        <w:autoSpaceDE w:val="0"/>
        <w:autoSpaceDN w:val="0"/>
        <w:adjustRightInd w:val="0"/>
        <w:jc w:val="center"/>
        <w:rPr>
          <w:bCs/>
        </w:rPr>
      </w:pPr>
    </w:p>
    <w:p w14:paraId="7AFA2B9D" w14:textId="77777777" w:rsidR="005C4DD3" w:rsidRDefault="00D25482" w:rsidP="00675652">
      <w:pPr>
        <w:autoSpaceDE w:val="0"/>
        <w:autoSpaceDN w:val="0"/>
        <w:adjustRightInd w:val="0"/>
        <w:jc w:val="both"/>
      </w:pPr>
      <w:r w:rsidRPr="007A77F3">
        <w:tab/>
        <w:t xml:space="preserve">Porez na korištenje javnih površina </w:t>
      </w:r>
      <w:r w:rsidRPr="00450BA8">
        <w:t>za postavljanje kioska i</w:t>
      </w:r>
      <w:r w:rsidR="004E4874" w:rsidRPr="00450BA8">
        <w:t xml:space="preserve">li </w:t>
      </w:r>
      <w:r w:rsidRPr="00450BA8">
        <w:t>drug</w:t>
      </w:r>
      <w:r w:rsidR="004E4874" w:rsidRPr="00450BA8">
        <w:t>og</w:t>
      </w:r>
      <w:r w:rsidRPr="00450BA8">
        <w:t xml:space="preserve"> montažn</w:t>
      </w:r>
      <w:r w:rsidR="004E4874" w:rsidRPr="00450BA8">
        <w:t>og</w:t>
      </w:r>
      <w:r w:rsidRPr="00450BA8">
        <w:t xml:space="preserve"> objekta</w:t>
      </w:r>
      <w:r w:rsidRPr="007A77F3">
        <w:t xml:space="preserve"> utvrđuje se </w:t>
      </w:r>
      <w:r w:rsidR="0074402D">
        <w:t xml:space="preserve">u eurima </w:t>
      </w:r>
      <w:r w:rsidRPr="007A77F3">
        <w:t>kako slijedi:</w:t>
      </w:r>
    </w:p>
    <w:p w14:paraId="6A682689" w14:textId="77777777" w:rsidR="003957DA" w:rsidRDefault="003957DA" w:rsidP="00675652">
      <w:pPr>
        <w:autoSpaceDE w:val="0"/>
        <w:autoSpaceDN w:val="0"/>
        <w:adjustRightInd w:val="0"/>
        <w:jc w:val="both"/>
      </w:pPr>
    </w:p>
    <w:p w14:paraId="389B4364" w14:textId="77777777" w:rsidR="003957DA" w:rsidRDefault="003957DA" w:rsidP="00675652">
      <w:pPr>
        <w:autoSpaceDE w:val="0"/>
        <w:autoSpaceDN w:val="0"/>
        <w:adjustRightInd w:val="0"/>
        <w:jc w:val="both"/>
      </w:pPr>
    </w:p>
    <w:p w14:paraId="37752334" w14:textId="77777777" w:rsidR="003957DA" w:rsidRDefault="003957DA" w:rsidP="00675652">
      <w:pPr>
        <w:autoSpaceDE w:val="0"/>
        <w:autoSpaceDN w:val="0"/>
        <w:adjustRightInd w:val="0"/>
        <w:jc w:val="both"/>
      </w:pPr>
    </w:p>
    <w:p w14:paraId="23D44D7F" w14:textId="77777777" w:rsidR="003957DA" w:rsidRDefault="003957DA" w:rsidP="00675652">
      <w:pPr>
        <w:autoSpaceDE w:val="0"/>
        <w:autoSpaceDN w:val="0"/>
        <w:adjustRightInd w:val="0"/>
        <w:jc w:val="both"/>
      </w:pPr>
    </w:p>
    <w:p w14:paraId="22ADBF2E" w14:textId="77777777" w:rsidR="003957DA" w:rsidRDefault="003957DA" w:rsidP="00675652">
      <w:pPr>
        <w:autoSpaceDE w:val="0"/>
        <w:autoSpaceDN w:val="0"/>
        <w:adjustRightInd w:val="0"/>
        <w:jc w:val="both"/>
      </w:pPr>
    </w:p>
    <w:p w14:paraId="7E8C0A78" w14:textId="77777777" w:rsidR="003957DA" w:rsidRDefault="003957DA" w:rsidP="00675652">
      <w:pPr>
        <w:autoSpaceDE w:val="0"/>
        <w:autoSpaceDN w:val="0"/>
        <w:adjustRightInd w:val="0"/>
        <w:jc w:val="both"/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1619"/>
        <w:gridCol w:w="1620"/>
        <w:gridCol w:w="1620"/>
        <w:gridCol w:w="1620"/>
      </w:tblGrid>
      <w:tr w:rsidR="000F24A0" w14:paraId="148C4CA5" w14:textId="77777777" w:rsidTr="00585F07">
        <w:trPr>
          <w:trHeight w:val="298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97BA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Djelatnost/namjena</w:t>
            </w:r>
          </w:p>
        </w:tc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9768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4614">
              <w:rPr>
                <w:sz w:val="22"/>
                <w:szCs w:val="22"/>
              </w:rPr>
              <w:t>M</w:t>
            </w:r>
            <w:r w:rsidRPr="00D04614">
              <w:rPr>
                <w:sz w:val="22"/>
                <w:szCs w:val="22"/>
              </w:rPr>
              <w:t xml:space="preserve">jesečni iznos poreza u </w:t>
            </w:r>
            <w:r w:rsidR="00ED2BB8" w:rsidRPr="00D04614">
              <w:rPr>
                <w:sz w:val="22"/>
                <w:szCs w:val="22"/>
              </w:rPr>
              <w:t>eur</w:t>
            </w:r>
            <w:r w:rsidR="00D04614" w:rsidRPr="00D04614">
              <w:rPr>
                <w:sz w:val="22"/>
                <w:szCs w:val="22"/>
              </w:rPr>
              <w:t>ima</w:t>
            </w:r>
            <w:r w:rsidRPr="00D04614">
              <w:rPr>
                <w:sz w:val="22"/>
                <w:szCs w:val="22"/>
              </w:rPr>
              <w:t xml:space="preserve"> po </w:t>
            </w:r>
            <w:r w:rsidR="00ED2BB8" w:rsidRPr="00D04614">
              <w:rPr>
                <w:sz w:val="22"/>
                <w:szCs w:val="22"/>
              </w:rPr>
              <w:t>objektu</w:t>
            </w:r>
            <w:r w:rsidR="00ED2BB8" w:rsidRPr="007A77F3">
              <w:rPr>
                <w:strike/>
                <w:sz w:val="22"/>
                <w:szCs w:val="22"/>
              </w:rPr>
              <w:t xml:space="preserve"> </w:t>
            </w:r>
          </w:p>
        </w:tc>
      </w:tr>
      <w:tr w:rsidR="000F24A0" w14:paraId="0C392FD6" w14:textId="77777777" w:rsidTr="00585F07">
        <w:trPr>
          <w:trHeight w:val="158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23F1" w14:textId="77777777" w:rsidR="00681AA7" w:rsidRPr="007A77F3" w:rsidRDefault="00681AA7" w:rsidP="00675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B1C2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7A77F3">
              <w:rPr>
                <w:sz w:val="22"/>
                <w:szCs w:val="22"/>
              </w:rPr>
              <w:t>ona visoke frekventnosti unutar I</w:t>
            </w:r>
            <w:r>
              <w:rPr>
                <w:sz w:val="22"/>
                <w:szCs w:val="22"/>
              </w:rPr>
              <w:t>.</w:t>
            </w:r>
            <w:r w:rsidRPr="007A77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</w:t>
            </w:r>
            <w:r w:rsidRPr="007A77F3">
              <w:rPr>
                <w:sz w:val="22"/>
                <w:szCs w:val="22"/>
              </w:rPr>
              <w:t>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5E2F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I</w:t>
            </w:r>
            <w:r w:rsidR="006F22F5">
              <w:rPr>
                <w:sz w:val="22"/>
                <w:szCs w:val="22"/>
              </w:rPr>
              <w:t>.</w:t>
            </w:r>
            <w:r w:rsidRPr="007A77F3">
              <w:rPr>
                <w:sz w:val="22"/>
                <w:szCs w:val="22"/>
              </w:rPr>
              <w:t xml:space="preserve"> </w:t>
            </w:r>
            <w:r w:rsidR="006F22F5">
              <w:rPr>
                <w:sz w:val="22"/>
                <w:szCs w:val="22"/>
              </w:rPr>
              <w:t>Z</w:t>
            </w:r>
            <w:r w:rsidRPr="007A77F3">
              <w:rPr>
                <w:sz w:val="22"/>
                <w:szCs w:val="22"/>
              </w:rPr>
              <w:t xml:space="preserve">ona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EA8C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II</w:t>
            </w:r>
            <w:r w:rsidR="006F22F5">
              <w:rPr>
                <w:sz w:val="22"/>
                <w:szCs w:val="22"/>
              </w:rPr>
              <w:t>.</w:t>
            </w:r>
            <w:r w:rsidRPr="007A77F3">
              <w:rPr>
                <w:sz w:val="22"/>
                <w:szCs w:val="22"/>
              </w:rPr>
              <w:t xml:space="preserve"> </w:t>
            </w:r>
            <w:r w:rsidR="006F22F5">
              <w:rPr>
                <w:sz w:val="22"/>
                <w:szCs w:val="22"/>
              </w:rPr>
              <w:t>Z</w:t>
            </w:r>
            <w:r w:rsidRPr="007A77F3">
              <w:rPr>
                <w:sz w:val="22"/>
                <w:szCs w:val="22"/>
              </w:rPr>
              <w:t>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BC8D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III</w:t>
            </w:r>
            <w:r w:rsidR="006F22F5">
              <w:rPr>
                <w:sz w:val="22"/>
                <w:szCs w:val="22"/>
              </w:rPr>
              <w:t>. Z</w:t>
            </w:r>
            <w:r w:rsidRPr="007A77F3">
              <w:rPr>
                <w:sz w:val="22"/>
                <w:szCs w:val="22"/>
              </w:rPr>
              <w:t>ona</w:t>
            </w:r>
          </w:p>
        </w:tc>
      </w:tr>
      <w:tr w:rsidR="000F24A0" w14:paraId="14145601" w14:textId="77777777" w:rsidTr="00585F07">
        <w:trPr>
          <w:trHeight w:val="611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EA94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trgovinska djelatnost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EE56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700,00</w:t>
            </w:r>
          </w:p>
          <w:p w14:paraId="2697000F" w14:textId="77777777" w:rsidR="00681AA7" w:rsidRPr="007A77F3" w:rsidRDefault="00681AA7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F660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560,00 </w:t>
            </w:r>
          </w:p>
          <w:p w14:paraId="6F9D79D1" w14:textId="77777777" w:rsidR="00681AA7" w:rsidRPr="007A77F3" w:rsidRDefault="00681AA7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48EE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448,00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8BA2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358,00</w:t>
            </w:r>
          </w:p>
          <w:p w14:paraId="161A9009" w14:textId="77777777" w:rsidR="00681AA7" w:rsidRPr="007A77F3" w:rsidRDefault="00681AA7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F24A0" w14:paraId="543EB9A5" w14:textId="77777777" w:rsidTr="00585F07">
        <w:trPr>
          <w:trHeight w:val="611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28B2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ugostiteljska djelatnost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27AE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900,00 </w:t>
            </w:r>
          </w:p>
          <w:p w14:paraId="5FA11128" w14:textId="77777777" w:rsidR="00681AA7" w:rsidRPr="007A77F3" w:rsidRDefault="00681AA7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084B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720,00 </w:t>
            </w:r>
          </w:p>
          <w:p w14:paraId="6B76FA23" w14:textId="77777777" w:rsidR="00681AA7" w:rsidRPr="007A77F3" w:rsidRDefault="00681AA7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0933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576,00 </w:t>
            </w:r>
          </w:p>
          <w:p w14:paraId="61D8C65D" w14:textId="77777777" w:rsidR="00681AA7" w:rsidRPr="007A77F3" w:rsidRDefault="00681AA7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F24A0" w14:paraId="1A604F4A" w14:textId="77777777" w:rsidTr="00585F07">
        <w:trPr>
          <w:trHeight w:val="611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E34F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bankarstvo, lutrija, </w:t>
            </w:r>
            <w:r w:rsidRPr="007A77F3">
              <w:rPr>
                <w:sz w:val="22"/>
                <w:szCs w:val="22"/>
              </w:rPr>
              <w:t>kladionice</w:t>
            </w:r>
          </w:p>
        </w:tc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048D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1.500,00</w:t>
            </w:r>
          </w:p>
          <w:p w14:paraId="2CC84734" w14:textId="77777777" w:rsidR="00681AA7" w:rsidRPr="007A77F3" w:rsidRDefault="00681AA7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7BCE829A" w14:textId="77777777" w:rsidR="00213C23" w:rsidRPr="007A77F3" w:rsidRDefault="00213C23" w:rsidP="00675652">
      <w:pPr>
        <w:pStyle w:val="CommentText"/>
        <w:ind w:firstLine="720"/>
        <w:jc w:val="both"/>
        <w:rPr>
          <w:noProof w:val="0"/>
          <w:sz w:val="24"/>
          <w:szCs w:val="24"/>
        </w:rPr>
      </w:pPr>
    </w:p>
    <w:p w14:paraId="3C753B0B" w14:textId="77777777" w:rsidR="00681AA7" w:rsidRPr="007A77F3" w:rsidRDefault="00D25482" w:rsidP="00675652">
      <w:pPr>
        <w:pStyle w:val="CommentText"/>
        <w:ind w:firstLine="720"/>
        <w:jc w:val="both"/>
        <w:rPr>
          <w:noProof w:val="0"/>
          <w:sz w:val="24"/>
          <w:szCs w:val="24"/>
        </w:rPr>
      </w:pPr>
      <w:r w:rsidRPr="007A77F3">
        <w:rPr>
          <w:noProof w:val="0"/>
          <w:sz w:val="24"/>
          <w:szCs w:val="24"/>
        </w:rPr>
        <w:t xml:space="preserve">Dosadašnji korisnici javnih površina na kojim su postavljeni kiosci zadržavaju prava utvrđena ranijim odobrenjem te će se istima temeljem ove </w:t>
      </w:r>
      <w:r w:rsidR="00A76E35">
        <w:rPr>
          <w:noProof w:val="0"/>
          <w:sz w:val="24"/>
          <w:szCs w:val="24"/>
        </w:rPr>
        <w:t>O</w:t>
      </w:r>
      <w:r w:rsidRPr="007A77F3">
        <w:rPr>
          <w:noProof w:val="0"/>
          <w:sz w:val="24"/>
          <w:szCs w:val="24"/>
        </w:rPr>
        <w:t>dluke izdati Rješenje o porezu na korištenje javn</w:t>
      </w:r>
      <w:r w:rsidR="00A76E35">
        <w:rPr>
          <w:noProof w:val="0"/>
          <w:sz w:val="24"/>
          <w:szCs w:val="24"/>
        </w:rPr>
        <w:t>e</w:t>
      </w:r>
      <w:r w:rsidRPr="007A77F3">
        <w:rPr>
          <w:noProof w:val="0"/>
          <w:sz w:val="24"/>
          <w:szCs w:val="24"/>
        </w:rPr>
        <w:t xml:space="preserve"> površin</w:t>
      </w:r>
      <w:r w:rsidR="00A76E35">
        <w:rPr>
          <w:noProof w:val="0"/>
          <w:sz w:val="24"/>
          <w:szCs w:val="24"/>
        </w:rPr>
        <w:t>e</w:t>
      </w:r>
      <w:r w:rsidRPr="007A77F3">
        <w:rPr>
          <w:noProof w:val="0"/>
          <w:sz w:val="24"/>
          <w:szCs w:val="24"/>
        </w:rPr>
        <w:t>.</w:t>
      </w:r>
    </w:p>
    <w:p w14:paraId="7866DA74" w14:textId="77777777" w:rsidR="00681AA7" w:rsidRPr="007A77F3" w:rsidRDefault="00D25482" w:rsidP="00675652">
      <w:pPr>
        <w:autoSpaceDE w:val="0"/>
        <w:autoSpaceDN w:val="0"/>
        <w:adjustRightInd w:val="0"/>
        <w:jc w:val="both"/>
      </w:pPr>
      <w:r w:rsidRPr="007A77F3">
        <w:tab/>
        <w:t>Grad</w:t>
      </w:r>
      <w:r w:rsidR="00ED2BB8" w:rsidRPr="007A77F3">
        <w:t xml:space="preserve"> Pula</w:t>
      </w:r>
      <w:r w:rsidR="00B50CA6" w:rsidRPr="007A77F3">
        <w:t xml:space="preserve"> </w:t>
      </w:r>
      <w:r w:rsidR="00ED2BB8" w:rsidRPr="007A77F3">
        <w:t>-</w:t>
      </w:r>
      <w:r w:rsidR="00B50CA6" w:rsidRPr="007A77F3">
        <w:t xml:space="preserve"> </w:t>
      </w:r>
      <w:r w:rsidR="00ED2BB8" w:rsidRPr="007A77F3">
        <w:t>Pola</w:t>
      </w:r>
      <w:r w:rsidRPr="007A77F3">
        <w:t xml:space="preserve"> može odobriti stupanje u prava i obveze dosadašnjeg korisnika, odnosno obveznika, njegovim pravnim sljednicima, pod uvjetom da nastave obavljati istu djelatnost te da su podmirena sva dospjela dugovanja koja je prednik imao prema Gradu</w:t>
      </w:r>
      <w:r w:rsidR="00ED2BB8" w:rsidRPr="007A77F3">
        <w:t xml:space="preserve"> Pula</w:t>
      </w:r>
      <w:r w:rsidR="00B50CA6" w:rsidRPr="007A77F3">
        <w:t xml:space="preserve"> </w:t>
      </w:r>
      <w:r w:rsidR="00ED2BB8" w:rsidRPr="007A77F3">
        <w:t>-</w:t>
      </w:r>
      <w:r w:rsidR="00B50CA6" w:rsidRPr="007A77F3">
        <w:t xml:space="preserve"> </w:t>
      </w:r>
      <w:r w:rsidR="00ED2BB8" w:rsidRPr="007A77F3">
        <w:t>Pola</w:t>
      </w:r>
      <w:r w:rsidRPr="007A77F3">
        <w:t>.</w:t>
      </w:r>
    </w:p>
    <w:p w14:paraId="1CD77C98" w14:textId="77777777" w:rsidR="00681AA7" w:rsidRPr="007A77F3" w:rsidRDefault="00681AA7" w:rsidP="00675652">
      <w:pPr>
        <w:autoSpaceDE w:val="0"/>
        <w:autoSpaceDN w:val="0"/>
        <w:adjustRightInd w:val="0"/>
        <w:jc w:val="both"/>
        <w:rPr>
          <w:b/>
        </w:rPr>
      </w:pPr>
    </w:p>
    <w:p w14:paraId="11D38ECA" w14:textId="77777777" w:rsidR="00681AA7" w:rsidRPr="007A77F3" w:rsidRDefault="00D25482" w:rsidP="00675652">
      <w:pPr>
        <w:autoSpaceDE w:val="0"/>
        <w:autoSpaceDN w:val="0"/>
        <w:adjustRightInd w:val="0"/>
        <w:jc w:val="center"/>
        <w:rPr>
          <w:b/>
        </w:rPr>
      </w:pPr>
      <w:r w:rsidRPr="007A77F3">
        <w:rPr>
          <w:b/>
        </w:rPr>
        <w:t>Koriš</w:t>
      </w:r>
      <w:r w:rsidRPr="007A77F3">
        <w:rPr>
          <w:b/>
        </w:rPr>
        <w:t>tenje javnih površina postavljanjem ugostiteljskih terasa</w:t>
      </w:r>
    </w:p>
    <w:p w14:paraId="7C199E5E" w14:textId="77777777" w:rsidR="00681AA7" w:rsidRPr="007A77F3" w:rsidRDefault="00681AA7" w:rsidP="00675652">
      <w:pPr>
        <w:autoSpaceDE w:val="0"/>
        <w:autoSpaceDN w:val="0"/>
        <w:adjustRightInd w:val="0"/>
        <w:jc w:val="center"/>
        <w:rPr>
          <w:bCs/>
        </w:rPr>
      </w:pPr>
    </w:p>
    <w:p w14:paraId="7DDD64D2" w14:textId="77777777" w:rsidR="00681AA7" w:rsidRPr="007A77F3" w:rsidRDefault="00D25482" w:rsidP="00675652">
      <w:pPr>
        <w:autoSpaceDE w:val="0"/>
        <w:autoSpaceDN w:val="0"/>
        <w:adjustRightInd w:val="0"/>
        <w:jc w:val="center"/>
        <w:rPr>
          <w:bCs/>
        </w:rPr>
      </w:pPr>
      <w:r w:rsidRPr="007A77F3">
        <w:rPr>
          <w:bCs/>
        </w:rPr>
        <w:t>Članak 9.</w:t>
      </w:r>
    </w:p>
    <w:p w14:paraId="3171C30D" w14:textId="77777777" w:rsidR="00764998" w:rsidRPr="007A77F3" w:rsidRDefault="00764998" w:rsidP="00675652">
      <w:pPr>
        <w:autoSpaceDE w:val="0"/>
        <w:autoSpaceDN w:val="0"/>
        <w:adjustRightInd w:val="0"/>
        <w:jc w:val="center"/>
        <w:rPr>
          <w:bCs/>
        </w:rPr>
      </w:pPr>
    </w:p>
    <w:p w14:paraId="74549FD0" w14:textId="77777777" w:rsidR="00681AA7" w:rsidRDefault="00D25482" w:rsidP="00675652">
      <w:pPr>
        <w:autoSpaceDE w:val="0"/>
        <w:autoSpaceDN w:val="0"/>
        <w:adjustRightInd w:val="0"/>
        <w:jc w:val="both"/>
      </w:pPr>
      <w:r w:rsidRPr="007A77F3">
        <w:tab/>
        <w:t>Porez na korištenje javnih površina za postavljanje ugostiteljskih terasa utvrđuje se</w:t>
      </w:r>
      <w:r w:rsidR="0074402D">
        <w:t xml:space="preserve"> u eurima </w:t>
      </w:r>
      <w:r w:rsidRPr="007A77F3">
        <w:t>kako slijedi: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1619"/>
        <w:gridCol w:w="1619"/>
        <w:gridCol w:w="1530"/>
        <w:gridCol w:w="1701"/>
      </w:tblGrid>
      <w:tr w:rsidR="000F24A0" w14:paraId="2665435A" w14:textId="77777777" w:rsidTr="00AB2227">
        <w:trPr>
          <w:trHeight w:val="298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E373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OLE_LINK1"/>
            <w:r w:rsidRPr="007A77F3">
              <w:rPr>
                <w:sz w:val="22"/>
                <w:szCs w:val="22"/>
              </w:rPr>
              <w:t>Vrsta ugostiteljske terase s obzirom na razdoblje postavljanja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9A66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Mjesečni izno</w:t>
            </w:r>
            <w:r w:rsidRPr="007A77F3">
              <w:rPr>
                <w:sz w:val="22"/>
                <w:szCs w:val="22"/>
              </w:rPr>
              <w:t xml:space="preserve">s poreza u </w:t>
            </w:r>
            <w:r w:rsidR="00ED2BB8" w:rsidRPr="007A77F3">
              <w:rPr>
                <w:sz w:val="22"/>
                <w:szCs w:val="22"/>
              </w:rPr>
              <w:t>eur</w:t>
            </w:r>
            <w:r w:rsidR="00D04614">
              <w:rPr>
                <w:sz w:val="22"/>
                <w:szCs w:val="22"/>
              </w:rPr>
              <w:t>ima</w:t>
            </w:r>
            <w:r w:rsidRPr="007A77F3">
              <w:rPr>
                <w:sz w:val="22"/>
                <w:szCs w:val="22"/>
              </w:rPr>
              <w:t xml:space="preserve"> po m²</w:t>
            </w:r>
          </w:p>
        </w:tc>
      </w:tr>
      <w:tr w:rsidR="000F24A0" w14:paraId="424CC547" w14:textId="77777777" w:rsidTr="00AB2227">
        <w:trPr>
          <w:trHeight w:val="158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96C2" w14:textId="77777777" w:rsidR="00681AA7" w:rsidRPr="007A77F3" w:rsidRDefault="00681AA7" w:rsidP="00675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59C2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7A77F3">
              <w:rPr>
                <w:sz w:val="22"/>
                <w:szCs w:val="22"/>
              </w:rPr>
              <w:t>ona visoke frekventnosti unutar I</w:t>
            </w:r>
            <w:r>
              <w:rPr>
                <w:sz w:val="22"/>
                <w:szCs w:val="22"/>
              </w:rPr>
              <w:t>. Z</w:t>
            </w:r>
            <w:r w:rsidRPr="007A77F3">
              <w:rPr>
                <w:sz w:val="22"/>
                <w:szCs w:val="22"/>
              </w:rPr>
              <w:t>one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33AD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I</w:t>
            </w:r>
            <w:r w:rsidR="006F22F5">
              <w:rPr>
                <w:sz w:val="22"/>
                <w:szCs w:val="22"/>
              </w:rPr>
              <w:t>. Z</w:t>
            </w:r>
            <w:r w:rsidRPr="007A77F3">
              <w:rPr>
                <w:sz w:val="22"/>
                <w:szCs w:val="22"/>
              </w:rPr>
              <w:t xml:space="preserve">ona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69A3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II</w:t>
            </w:r>
            <w:r w:rsidR="006F22F5">
              <w:rPr>
                <w:sz w:val="22"/>
                <w:szCs w:val="22"/>
              </w:rPr>
              <w:t>. Z</w:t>
            </w:r>
            <w:r w:rsidRPr="007A77F3">
              <w:rPr>
                <w:sz w:val="22"/>
                <w:szCs w:val="22"/>
              </w:rPr>
              <w:t>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5A5F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III</w:t>
            </w:r>
            <w:r w:rsidR="006F22F5">
              <w:rPr>
                <w:sz w:val="22"/>
                <w:szCs w:val="22"/>
              </w:rPr>
              <w:t>.</w:t>
            </w:r>
            <w:r w:rsidRPr="007A77F3">
              <w:rPr>
                <w:sz w:val="22"/>
                <w:szCs w:val="22"/>
              </w:rPr>
              <w:t xml:space="preserve"> </w:t>
            </w:r>
            <w:r w:rsidR="006F22F5">
              <w:rPr>
                <w:sz w:val="22"/>
                <w:szCs w:val="22"/>
              </w:rPr>
              <w:t>Z</w:t>
            </w:r>
            <w:r w:rsidRPr="007A77F3">
              <w:rPr>
                <w:sz w:val="22"/>
                <w:szCs w:val="22"/>
              </w:rPr>
              <w:t>ona</w:t>
            </w:r>
          </w:p>
        </w:tc>
      </w:tr>
      <w:tr w:rsidR="000F24A0" w14:paraId="3C2E10A9" w14:textId="77777777" w:rsidTr="00AB2227">
        <w:trPr>
          <w:trHeight w:val="61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1BAC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godišnja (stalna)</w:t>
            </w:r>
          </w:p>
          <w:p w14:paraId="27E75806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(01.01. - 31.12.)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9D0B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20,00 </w:t>
            </w:r>
          </w:p>
          <w:p w14:paraId="3E1D980C" w14:textId="77777777" w:rsidR="00681AA7" w:rsidRPr="007A77F3" w:rsidRDefault="00681AA7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D150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16,00 </w:t>
            </w:r>
          </w:p>
          <w:p w14:paraId="2090B272" w14:textId="77777777" w:rsidR="00681AA7" w:rsidRPr="007A77F3" w:rsidRDefault="00681AA7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84B8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13,00 </w:t>
            </w:r>
          </w:p>
          <w:p w14:paraId="166287B9" w14:textId="77777777" w:rsidR="00681AA7" w:rsidRPr="007A77F3" w:rsidRDefault="00681AA7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87DE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10,00 </w:t>
            </w:r>
          </w:p>
          <w:p w14:paraId="05522A51" w14:textId="77777777" w:rsidR="00681AA7" w:rsidRPr="007A77F3" w:rsidRDefault="00681AA7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F24A0" w14:paraId="2AED70FE" w14:textId="77777777" w:rsidTr="00AB2227">
        <w:trPr>
          <w:trHeight w:val="61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F5D1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sezonska</w:t>
            </w:r>
          </w:p>
          <w:p w14:paraId="53802545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(01.04. </w:t>
            </w:r>
            <w:r w:rsidR="00ED2BB8" w:rsidRPr="007A77F3">
              <w:rPr>
                <w:sz w:val="22"/>
                <w:szCs w:val="22"/>
              </w:rPr>
              <w:t>-</w:t>
            </w:r>
            <w:r w:rsidRPr="007A77F3">
              <w:rPr>
                <w:sz w:val="22"/>
                <w:szCs w:val="22"/>
              </w:rPr>
              <w:t xml:space="preserve"> </w:t>
            </w:r>
            <w:r w:rsidRPr="007A77F3">
              <w:rPr>
                <w:color w:val="000000"/>
                <w:sz w:val="22"/>
                <w:szCs w:val="22"/>
              </w:rPr>
              <w:t>30.09.)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B9CE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A77F3">
              <w:rPr>
                <w:bCs/>
                <w:sz w:val="22"/>
                <w:szCs w:val="22"/>
              </w:rPr>
              <w:t xml:space="preserve">30,00 </w:t>
            </w:r>
          </w:p>
          <w:p w14:paraId="2D3F09B3" w14:textId="77777777" w:rsidR="00681AA7" w:rsidRPr="007A77F3" w:rsidRDefault="00681AA7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E739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24,00</w:t>
            </w:r>
          </w:p>
          <w:p w14:paraId="21AA75B0" w14:textId="77777777" w:rsidR="00681AA7" w:rsidRPr="007A77F3" w:rsidRDefault="00681AA7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9DB5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20,00 </w:t>
            </w:r>
          </w:p>
          <w:p w14:paraId="58BBE824" w14:textId="77777777" w:rsidR="00681AA7" w:rsidRPr="007A77F3" w:rsidRDefault="00681AA7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A08B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16,00 </w:t>
            </w:r>
          </w:p>
          <w:p w14:paraId="27ACCAD1" w14:textId="77777777" w:rsidR="00681AA7" w:rsidRPr="007A77F3" w:rsidRDefault="00681AA7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bookmarkEnd w:id="0"/>
    <w:p w14:paraId="72149B89" w14:textId="77777777" w:rsidR="00213C23" w:rsidRPr="007A77F3" w:rsidRDefault="00D25482" w:rsidP="0067565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A77F3">
        <w:rPr>
          <w:bCs/>
          <w:sz w:val="22"/>
          <w:szCs w:val="22"/>
        </w:rPr>
        <w:tab/>
      </w:r>
    </w:p>
    <w:p w14:paraId="1B9FB9C1" w14:textId="77777777" w:rsidR="00681AA7" w:rsidRPr="007A77F3" w:rsidRDefault="00D25482" w:rsidP="0067565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A77F3">
        <w:rPr>
          <w:bCs/>
        </w:rPr>
        <w:t xml:space="preserve">Rješenje o porezu na </w:t>
      </w:r>
      <w:r w:rsidRPr="007A77F3">
        <w:rPr>
          <w:bCs/>
        </w:rPr>
        <w:t>korištenje javne površine za postavljanje ugostiteljske terase može se izdati</w:t>
      </w:r>
      <w:r w:rsidRPr="007A77F3">
        <w:t>:</w:t>
      </w:r>
    </w:p>
    <w:p w14:paraId="59A5D2A4" w14:textId="77777777" w:rsidR="00681AA7" w:rsidRPr="007A77F3" w:rsidRDefault="00D25482" w:rsidP="0067565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za razdoblje </w:t>
      </w:r>
      <w:r w:rsidRPr="007A77F3">
        <w:rPr>
          <w:color w:val="000000"/>
        </w:rPr>
        <w:t xml:space="preserve">od 01.01. do 31.12. </w:t>
      </w:r>
      <w:r w:rsidR="00975BD4" w:rsidRPr="007A77F3">
        <w:rPr>
          <w:color w:val="000000"/>
        </w:rPr>
        <w:t>(</w:t>
      </w:r>
      <w:r w:rsidRPr="007A77F3">
        <w:rPr>
          <w:color w:val="000000"/>
        </w:rPr>
        <w:t>stalna terasa</w:t>
      </w:r>
      <w:r w:rsidR="00975BD4" w:rsidRPr="007A77F3">
        <w:rPr>
          <w:color w:val="000000"/>
        </w:rPr>
        <w:t>)</w:t>
      </w:r>
      <w:r w:rsidRPr="007A77F3">
        <w:rPr>
          <w:color w:val="000000"/>
        </w:rPr>
        <w:t xml:space="preserve"> za ukupnu površinu terase ili </w:t>
      </w:r>
      <w:r>
        <w:rPr>
          <w:color w:val="000000"/>
        </w:rPr>
        <w:t>umanjenu</w:t>
      </w:r>
      <w:r w:rsidR="00B76243">
        <w:rPr>
          <w:color w:val="000000"/>
        </w:rPr>
        <w:t xml:space="preserve"> površinu terase</w:t>
      </w:r>
      <w:r>
        <w:rPr>
          <w:color w:val="000000"/>
        </w:rPr>
        <w:t>,</w:t>
      </w:r>
      <w:r w:rsidRPr="007A77F3">
        <w:rPr>
          <w:color w:val="000000"/>
        </w:rPr>
        <w:t xml:space="preserve"> i to</w:t>
      </w:r>
      <w:r>
        <w:rPr>
          <w:color w:val="000000"/>
        </w:rPr>
        <w:t xml:space="preserve"> umanjenu </w:t>
      </w:r>
      <w:r w:rsidRPr="007A77F3">
        <w:rPr>
          <w:color w:val="000000"/>
        </w:rPr>
        <w:t>za najviše 50%</w:t>
      </w:r>
      <w:r>
        <w:rPr>
          <w:color w:val="000000"/>
        </w:rPr>
        <w:t xml:space="preserve"> od ukupne površine terase, koja je </w:t>
      </w:r>
      <w:r w:rsidRPr="007A77F3">
        <w:rPr>
          <w:color w:val="000000"/>
        </w:rPr>
        <w:t>predviđe</w:t>
      </w:r>
      <w:r w:rsidRPr="007A77F3">
        <w:rPr>
          <w:color w:val="000000"/>
        </w:rPr>
        <w:t>n</w:t>
      </w:r>
      <w:r>
        <w:rPr>
          <w:color w:val="000000"/>
        </w:rPr>
        <w:t>a</w:t>
      </w:r>
      <w:r w:rsidRPr="007A77F3">
        <w:rPr>
          <w:color w:val="000000"/>
        </w:rPr>
        <w:t xml:space="preserve"> Planom rasporeda ugostiteljskih terasa</w:t>
      </w:r>
      <w:r>
        <w:rPr>
          <w:color w:val="000000"/>
        </w:rPr>
        <w:t>,</w:t>
      </w:r>
      <w:r w:rsidRPr="007A77F3">
        <w:rPr>
          <w:color w:val="000000"/>
        </w:rPr>
        <w:t xml:space="preserve"> </w:t>
      </w:r>
      <w:r>
        <w:rPr>
          <w:color w:val="000000"/>
        </w:rPr>
        <w:t xml:space="preserve">u </w:t>
      </w:r>
      <w:r w:rsidRPr="007A77F3">
        <w:rPr>
          <w:color w:val="000000"/>
        </w:rPr>
        <w:t>izvansezonsko</w:t>
      </w:r>
      <w:r>
        <w:rPr>
          <w:color w:val="000000"/>
        </w:rPr>
        <w:t>m</w:t>
      </w:r>
      <w:r w:rsidRPr="007A77F3">
        <w:rPr>
          <w:color w:val="000000"/>
        </w:rPr>
        <w:t xml:space="preserve"> razdoblj</w:t>
      </w:r>
      <w:r>
        <w:rPr>
          <w:color w:val="000000"/>
        </w:rPr>
        <w:t>u</w:t>
      </w:r>
      <w:r w:rsidRPr="007A77F3">
        <w:rPr>
          <w:color w:val="000000"/>
        </w:rPr>
        <w:t xml:space="preserve"> (studeni, prosinac, siječanj, veljača i ožujak), s time da se mogućnost umanjenja površine stalne terase za 50% odnosi samo na dio terase koji je od osi najduže stranice terase najudaljeniji od ulaza u ugostiteljski objekt</w:t>
      </w:r>
      <w:r>
        <w:rPr>
          <w:color w:val="000000"/>
        </w:rPr>
        <w:t>,</w:t>
      </w:r>
    </w:p>
    <w:p w14:paraId="498EB9E4" w14:textId="77777777" w:rsidR="00681AA7" w:rsidRDefault="00D25482" w:rsidP="0067565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za razdoblje </w:t>
      </w:r>
      <w:r w:rsidRPr="007A77F3">
        <w:rPr>
          <w:color w:val="000000"/>
        </w:rPr>
        <w:t>od 01.04. do 30.09</w:t>
      </w:r>
      <w:r w:rsidRPr="007A77F3">
        <w:rPr>
          <w:color w:val="000000"/>
        </w:rPr>
        <w:t xml:space="preserve">. </w:t>
      </w:r>
      <w:r w:rsidR="00975BD4" w:rsidRPr="007A77F3">
        <w:rPr>
          <w:color w:val="000000"/>
        </w:rPr>
        <w:t>(</w:t>
      </w:r>
      <w:r w:rsidRPr="007A77F3">
        <w:rPr>
          <w:color w:val="000000"/>
        </w:rPr>
        <w:t>sezonska terasa</w:t>
      </w:r>
      <w:r w:rsidR="00975BD4" w:rsidRPr="007A77F3">
        <w:rPr>
          <w:color w:val="000000"/>
        </w:rPr>
        <w:t>)</w:t>
      </w:r>
      <w:r w:rsidR="00915109" w:rsidRPr="007A77F3">
        <w:rPr>
          <w:color w:val="000000"/>
        </w:rPr>
        <w:t xml:space="preserve"> </w:t>
      </w:r>
      <w:r w:rsidRPr="007A77F3">
        <w:rPr>
          <w:color w:val="000000"/>
        </w:rPr>
        <w:t>za ukupnu površinu terase predviđene Planom</w:t>
      </w:r>
      <w:r w:rsidR="0059253A">
        <w:rPr>
          <w:color w:val="000000"/>
        </w:rPr>
        <w:t xml:space="preserve"> </w:t>
      </w:r>
      <w:r w:rsidR="0059253A" w:rsidRPr="007A77F3">
        <w:rPr>
          <w:color w:val="000000"/>
        </w:rPr>
        <w:t>rasporeda ugostiteljskih terasa</w:t>
      </w:r>
      <w:r w:rsidRPr="007A77F3">
        <w:rPr>
          <w:color w:val="000000"/>
        </w:rPr>
        <w:t>.</w:t>
      </w:r>
    </w:p>
    <w:p w14:paraId="037E3147" w14:textId="77777777" w:rsidR="00681AA7" w:rsidRPr="007A77F3" w:rsidRDefault="00D25482" w:rsidP="00675652">
      <w:pPr>
        <w:autoSpaceDE w:val="0"/>
        <w:autoSpaceDN w:val="0"/>
        <w:adjustRightInd w:val="0"/>
        <w:jc w:val="both"/>
        <w:rPr>
          <w:color w:val="000000"/>
        </w:rPr>
      </w:pPr>
      <w:r w:rsidRPr="007A77F3">
        <w:rPr>
          <w:color w:val="00B050"/>
        </w:rPr>
        <w:tab/>
      </w:r>
      <w:r w:rsidRPr="007A77F3">
        <w:rPr>
          <w:color w:val="000000"/>
        </w:rPr>
        <w:t>U iznimnim i opravdanim situacijama moguće je odrediti i drugačije vremensko razdoblje korištenja od utvrđenog u ovom članku, o čemu odlučuje Gradonačelnik na</w:t>
      </w:r>
      <w:r w:rsidRPr="007A77F3">
        <w:rPr>
          <w:color w:val="000000"/>
        </w:rPr>
        <w:t xml:space="preserve"> prijedlog upravnog tijela Grada </w:t>
      </w:r>
      <w:r w:rsidR="00B50CA6" w:rsidRPr="007A77F3">
        <w:rPr>
          <w:color w:val="000000"/>
        </w:rPr>
        <w:t xml:space="preserve">Pula </w:t>
      </w:r>
      <w:r w:rsidR="002E7F81">
        <w:rPr>
          <w:color w:val="000000"/>
        </w:rPr>
        <w:t>-</w:t>
      </w:r>
      <w:r w:rsidR="00B50CA6" w:rsidRPr="007A77F3">
        <w:rPr>
          <w:color w:val="000000"/>
        </w:rPr>
        <w:t xml:space="preserve"> Pola </w:t>
      </w:r>
      <w:r w:rsidRPr="007A77F3">
        <w:rPr>
          <w:color w:val="000000"/>
        </w:rPr>
        <w:t>nadležnog za poslove upravljanja imovinom.</w:t>
      </w:r>
    </w:p>
    <w:p w14:paraId="1B353548" w14:textId="77777777" w:rsidR="00681AA7" w:rsidRDefault="00681AA7" w:rsidP="004F67BB">
      <w:pPr>
        <w:autoSpaceDE w:val="0"/>
        <w:autoSpaceDN w:val="0"/>
        <w:adjustRightInd w:val="0"/>
        <w:jc w:val="center"/>
        <w:rPr>
          <w:b/>
        </w:rPr>
      </w:pPr>
    </w:p>
    <w:p w14:paraId="6349BF61" w14:textId="77777777" w:rsidR="00585F07" w:rsidRDefault="00585F07" w:rsidP="00675652">
      <w:pPr>
        <w:autoSpaceDE w:val="0"/>
        <w:autoSpaceDN w:val="0"/>
        <w:adjustRightInd w:val="0"/>
        <w:jc w:val="center"/>
        <w:rPr>
          <w:b/>
        </w:rPr>
      </w:pPr>
    </w:p>
    <w:p w14:paraId="1F3FDD3C" w14:textId="77777777" w:rsidR="003957DA" w:rsidRDefault="003957DA" w:rsidP="00675652">
      <w:pPr>
        <w:autoSpaceDE w:val="0"/>
        <w:autoSpaceDN w:val="0"/>
        <w:adjustRightInd w:val="0"/>
        <w:jc w:val="center"/>
        <w:rPr>
          <w:b/>
        </w:rPr>
      </w:pPr>
    </w:p>
    <w:p w14:paraId="7016F6F9" w14:textId="77777777" w:rsidR="003957DA" w:rsidRDefault="003957DA" w:rsidP="00675652">
      <w:pPr>
        <w:autoSpaceDE w:val="0"/>
        <w:autoSpaceDN w:val="0"/>
        <w:adjustRightInd w:val="0"/>
        <w:jc w:val="center"/>
        <w:rPr>
          <w:b/>
        </w:rPr>
      </w:pPr>
    </w:p>
    <w:p w14:paraId="3C0DA6CB" w14:textId="77777777" w:rsidR="00681AA7" w:rsidRPr="007A77F3" w:rsidRDefault="00D25482" w:rsidP="00675652">
      <w:pPr>
        <w:autoSpaceDE w:val="0"/>
        <w:autoSpaceDN w:val="0"/>
        <w:adjustRightInd w:val="0"/>
        <w:jc w:val="center"/>
        <w:rPr>
          <w:b/>
        </w:rPr>
      </w:pPr>
      <w:r w:rsidRPr="007A77F3">
        <w:rPr>
          <w:b/>
        </w:rPr>
        <w:t>Korištenje javnih površina postavljanjem privremenih objekata</w:t>
      </w:r>
    </w:p>
    <w:p w14:paraId="72C488CB" w14:textId="77777777" w:rsidR="00681AA7" w:rsidRPr="007A77F3" w:rsidRDefault="00681AA7" w:rsidP="00675652">
      <w:pPr>
        <w:autoSpaceDE w:val="0"/>
        <w:autoSpaceDN w:val="0"/>
        <w:adjustRightInd w:val="0"/>
        <w:jc w:val="center"/>
      </w:pPr>
    </w:p>
    <w:p w14:paraId="78C0C5C9" w14:textId="77777777" w:rsidR="00681AA7" w:rsidRDefault="00D25482" w:rsidP="00675652">
      <w:pPr>
        <w:autoSpaceDE w:val="0"/>
        <w:autoSpaceDN w:val="0"/>
        <w:adjustRightInd w:val="0"/>
        <w:jc w:val="center"/>
      </w:pPr>
      <w:r w:rsidRPr="007A77F3">
        <w:t>Članak 10.</w:t>
      </w:r>
    </w:p>
    <w:p w14:paraId="16709B8B" w14:textId="77777777" w:rsidR="004F67BB" w:rsidRPr="007A77F3" w:rsidRDefault="004F67BB" w:rsidP="00675652">
      <w:pPr>
        <w:autoSpaceDE w:val="0"/>
        <w:autoSpaceDN w:val="0"/>
        <w:adjustRightInd w:val="0"/>
        <w:jc w:val="center"/>
      </w:pPr>
    </w:p>
    <w:p w14:paraId="790BF025" w14:textId="77777777" w:rsidR="00681AA7" w:rsidRDefault="00D25482" w:rsidP="00675652">
      <w:pPr>
        <w:autoSpaceDE w:val="0"/>
        <w:autoSpaceDN w:val="0"/>
        <w:adjustRightInd w:val="0"/>
        <w:jc w:val="both"/>
      </w:pPr>
      <w:r w:rsidRPr="007A77F3">
        <w:tab/>
        <w:t xml:space="preserve">Porez na korištenje javnih površina za postavljanje privremenih objekata utvrđuje se </w:t>
      </w:r>
      <w:r w:rsidR="0074402D">
        <w:t xml:space="preserve">u eurima </w:t>
      </w:r>
      <w:r w:rsidRPr="007A77F3">
        <w:t>kako slijedi: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1"/>
        <w:gridCol w:w="3179"/>
        <w:gridCol w:w="1433"/>
        <w:gridCol w:w="1231"/>
      </w:tblGrid>
      <w:tr w:rsidR="000F24A0" w14:paraId="50803932" w14:textId="77777777" w:rsidTr="00E540BB">
        <w:trPr>
          <w:trHeight w:val="828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B4AD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Privremeni objekt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26CB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Vrsta objekta/namjena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FA56" w14:textId="77777777" w:rsidR="00696651" w:rsidRDefault="00D25482" w:rsidP="006966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213C23" w:rsidRPr="007A77F3">
              <w:rPr>
                <w:sz w:val="22"/>
                <w:szCs w:val="22"/>
              </w:rPr>
              <w:t>znos u eur</w:t>
            </w:r>
            <w:r w:rsidR="00D04614">
              <w:rPr>
                <w:sz w:val="22"/>
                <w:szCs w:val="22"/>
              </w:rPr>
              <w:t>ima</w:t>
            </w:r>
            <w:r>
              <w:rPr>
                <w:sz w:val="22"/>
                <w:szCs w:val="22"/>
              </w:rPr>
              <w:t xml:space="preserve">/ </w:t>
            </w:r>
          </w:p>
          <w:p w14:paraId="79C47EBE" w14:textId="77777777" w:rsidR="00696651" w:rsidRPr="007A77F3" w:rsidRDefault="00D25482" w:rsidP="006966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7A77F3">
              <w:rPr>
                <w:sz w:val="22"/>
                <w:szCs w:val="22"/>
              </w:rPr>
              <w:t>ačin obračuna</w:t>
            </w:r>
            <w:r>
              <w:rPr>
                <w:sz w:val="22"/>
                <w:szCs w:val="22"/>
              </w:rPr>
              <w:t>/razdoblje</w:t>
            </w:r>
          </w:p>
          <w:p w14:paraId="023F467F" w14:textId="77777777" w:rsidR="00213C23" w:rsidRPr="007A77F3" w:rsidRDefault="00213C23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F24A0" w14:paraId="3049609E" w14:textId="77777777" w:rsidTr="00E540BB"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22CF" w14:textId="77777777" w:rsidR="00681AA7" w:rsidRPr="007A77F3" w:rsidRDefault="00681AA7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F874267" w14:textId="77777777" w:rsidR="00681AA7" w:rsidRPr="007A77F3" w:rsidRDefault="00681AA7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30B5623" w14:textId="77777777" w:rsidR="00681AA7" w:rsidRPr="007A77F3" w:rsidRDefault="00681AA7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4F46C0F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pokretna naprava</w:t>
            </w:r>
          </w:p>
          <w:p w14:paraId="6FE25223" w14:textId="77777777" w:rsidR="00681AA7" w:rsidRPr="007A77F3" w:rsidRDefault="00681AA7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8760EFC" w14:textId="77777777" w:rsidR="00681AA7" w:rsidRPr="007A77F3" w:rsidRDefault="00681AA7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C691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privremene građevine i pokretne naprave za potrebe ugostiteljstva (šatori,</w:t>
            </w:r>
            <w:r w:rsidRPr="007A77F3">
              <w:rPr>
                <w:color w:val="000000"/>
                <w:sz w:val="22"/>
                <w:szCs w:val="22"/>
              </w:rPr>
              <w:t xml:space="preserve"> točionici, šankovi i slično)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8D88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5,00/</w:t>
            </w:r>
            <w:r w:rsidR="00B411D9">
              <w:rPr>
                <w:sz w:val="22"/>
                <w:szCs w:val="22"/>
              </w:rPr>
              <w:t xml:space="preserve">po </w:t>
            </w:r>
            <w:r w:rsidR="00ED1A79" w:rsidRPr="007A77F3">
              <w:rPr>
                <w:sz w:val="22"/>
                <w:szCs w:val="22"/>
              </w:rPr>
              <w:t>m²</w:t>
            </w:r>
            <w:r w:rsidRPr="007A77F3">
              <w:rPr>
                <w:sz w:val="22"/>
                <w:szCs w:val="22"/>
              </w:rPr>
              <w:t>/dan</w:t>
            </w:r>
          </w:p>
        </w:tc>
      </w:tr>
      <w:tr w:rsidR="000F24A0" w14:paraId="60D52474" w14:textId="77777777" w:rsidTr="00E54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4872" w14:textId="77777777" w:rsidR="00681AA7" w:rsidRPr="007A77F3" w:rsidRDefault="00681AA7" w:rsidP="00675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F5FD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objekti za prigodnu prodaju i ugostiteljsku djelatnost povodom blagdana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A3B6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10,00/</w:t>
            </w:r>
            <w:r w:rsidR="00B411D9">
              <w:rPr>
                <w:sz w:val="22"/>
                <w:szCs w:val="22"/>
              </w:rPr>
              <w:t xml:space="preserve">po </w:t>
            </w:r>
            <w:r w:rsidR="00ED1A79" w:rsidRPr="007A77F3">
              <w:rPr>
                <w:sz w:val="22"/>
                <w:szCs w:val="22"/>
              </w:rPr>
              <w:t>m²</w:t>
            </w:r>
            <w:r w:rsidRPr="007A77F3">
              <w:rPr>
                <w:sz w:val="22"/>
                <w:szCs w:val="22"/>
              </w:rPr>
              <w:t>/dan</w:t>
            </w:r>
          </w:p>
        </w:tc>
      </w:tr>
      <w:tr w:rsidR="000F24A0" w14:paraId="6228B8E2" w14:textId="77777777" w:rsidTr="00E54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5DD7" w14:textId="77777777" w:rsidR="00681AA7" w:rsidRPr="007A77F3" w:rsidRDefault="00681AA7" w:rsidP="00675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E9EE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izlaganje </w:t>
            </w:r>
            <w:r w:rsidRPr="007A77F3">
              <w:rPr>
                <w:color w:val="000000"/>
                <w:sz w:val="22"/>
                <w:szCs w:val="22"/>
              </w:rPr>
              <w:t xml:space="preserve">i prodaja </w:t>
            </w:r>
            <w:r w:rsidRPr="007A77F3">
              <w:rPr>
                <w:sz w:val="22"/>
                <w:szCs w:val="22"/>
              </w:rPr>
              <w:t>knjiga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2DCB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2,00/</w:t>
            </w:r>
            <w:r w:rsidR="00B411D9">
              <w:rPr>
                <w:sz w:val="22"/>
                <w:szCs w:val="22"/>
              </w:rPr>
              <w:t xml:space="preserve">po </w:t>
            </w:r>
            <w:r w:rsidR="00ED1A79" w:rsidRPr="007A77F3">
              <w:rPr>
                <w:sz w:val="22"/>
                <w:szCs w:val="22"/>
              </w:rPr>
              <w:t>m²</w:t>
            </w:r>
            <w:r w:rsidRPr="007A77F3">
              <w:rPr>
                <w:sz w:val="22"/>
                <w:szCs w:val="22"/>
              </w:rPr>
              <w:t>/dan</w:t>
            </w:r>
          </w:p>
        </w:tc>
      </w:tr>
      <w:tr w:rsidR="000F24A0" w14:paraId="5F936BAD" w14:textId="77777777" w:rsidTr="00E54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A4C5" w14:textId="77777777" w:rsidR="00681AA7" w:rsidRPr="007A77F3" w:rsidRDefault="00681AA7" w:rsidP="00675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FE45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kolica, izložbeni eksponat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7BB3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11,00/</w:t>
            </w:r>
            <w:r w:rsidR="00B411D9">
              <w:rPr>
                <w:sz w:val="22"/>
                <w:szCs w:val="22"/>
              </w:rPr>
              <w:t xml:space="preserve">po </w:t>
            </w:r>
            <w:r w:rsidR="00ED1A79" w:rsidRPr="007A77F3">
              <w:rPr>
                <w:sz w:val="22"/>
                <w:szCs w:val="22"/>
              </w:rPr>
              <w:t>m²</w:t>
            </w:r>
            <w:r w:rsidRPr="007A77F3">
              <w:rPr>
                <w:sz w:val="22"/>
                <w:szCs w:val="22"/>
              </w:rPr>
              <w:t>/dan</w:t>
            </w:r>
          </w:p>
        </w:tc>
      </w:tr>
      <w:tr w:rsidR="000F24A0" w14:paraId="22EA23E0" w14:textId="77777777" w:rsidTr="00E540BB"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6AA09" w14:textId="77777777" w:rsidR="00585F0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uslužna naprava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DB1B" w14:textId="77777777" w:rsidR="00585F0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naprava (pult) </w:t>
            </w:r>
            <w:r w:rsidRPr="007A77F3">
              <w:rPr>
                <w:color w:val="000000"/>
                <w:sz w:val="22"/>
                <w:szCs w:val="22"/>
              </w:rPr>
              <w:t>za prodaju</w:t>
            </w:r>
            <w:r w:rsidRPr="007A77F3">
              <w:rPr>
                <w:sz w:val="22"/>
                <w:szCs w:val="22"/>
              </w:rPr>
              <w:t xml:space="preserve"> pića i sladoleda, pečenje plodina, </w:t>
            </w:r>
            <w:r w:rsidRPr="007A77F3">
              <w:rPr>
                <w:color w:val="000000"/>
                <w:sz w:val="22"/>
                <w:szCs w:val="22"/>
              </w:rPr>
              <w:t>kokica,</w:t>
            </w:r>
            <w:r w:rsidRPr="007A77F3">
              <w:rPr>
                <w:sz w:val="22"/>
                <w:szCs w:val="22"/>
              </w:rPr>
              <w:t xml:space="preserve"> palačinki i slično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91B9" w14:textId="77777777" w:rsidR="00585F0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20,00/</w:t>
            </w:r>
            <w:r>
              <w:rPr>
                <w:sz w:val="22"/>
                <w:szCs w:val="22"/>
              </w:rPr>
              <w:t xml:space="preserve">po </w:t>
            </w:r>
            <w:r w:rsidRPr="007A77F3">
              <w:rPr>
                <w:sz w:val="22"/>
                <w:szCs w:val="22"/>
              </w:rPr>
              <w:t>m²/dan/</w:t>
            </w:r>
          </w:p>
        </w:tc>
      </w:tr>
      <w:tr w:rsidR="000F24A0" w14:paraId="4C9B19C0" w14:textId="77777777" w:rsidTr="00E540B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F0EA9" w14:textId="77777777" w:rsidR="00585F07" w:rsidRPr="007A77F3" w:rsidRDefault="00585F07" w:rsidP="00675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2B68" w14:textId="77777777" w:rsidR="00585F0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naprava za promidžbene svrhe i slično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0F99" w14:textId="77777777" w:rsidR="00585F0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210,00</w:t>
            </w:r>
            <w:r>
              <w:rPr>
                <w:sz w:val="22"/>
                <w:szCs w:val="22"/>
              </w:rPr>
              <w:t xml:space="preserve">/po </w:t>
            </w:r>
            <w:r w:rsidRPr="00585F07">
              <w:rPr>
                <w:sz w:val="22"/>
                <w:szCs w:val="22"/>
              </w:rPr>
              <w:t>napravi/</w:t>
            </w:r>
            <w:r w:rsidRPr="007A77F3">
              <w:rPr>
                <w:sz w:val="22"/>
                <w:szCs w:val="22"/>
              </w:rPr>
              <w:t>mjesečno</w:t>
            </w:r>
          </w:p>
        </w:tc>
      </w:tr>
      <w:tr w:rsidR="000F24A0" w14:paraId="792487EE" w14:textId="77777777" w:rsidTr="00E540B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7CB4A" w14:textId="77777777" w:rsidR="00585F07" w:rsidRPr="007A77F3" w:rsidRDefault="00585F07" w:rsidP="00675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CF57" w14:textId="77777777" w:rsidR="00585F0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specijalno vozilo za ugostiteljstvo i slično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2761" w14:textId="77777777" w:rsidR="00585F0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120,00</w:t>
            </w:r>
            <w:r>
              <w:rPr>
                <w:sz w:val="22"/>
                <w:szCs w:val="22"/>
              </w:rPr>
              <w:t>/</w:t>
            </w:r>
            <w:r w:rsidRPr="007A77F3">
              <w:rPr>
                <w:sz w:val="22"/>
                <w:szCs w:val="22"/>
              </w:rPr>
              <w:t>po vozilu/dan</w:t>
            </w:r>
          </w:p>
        </w:tc>
      </w:tr>
      <w:tr w:rsidR="000F24A0" w14:paraId="49515CC5" w14:textId="77777777" w:rsidTr="00E540B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FB18C" w14:textId="77777777" w:rsidR="00585F07" w:rsidRPr="007A77F3" w:rsidRDefault="00585F07" w:rsidP="00675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F38C" w14:textId="77777777" w:rsidR="00585F0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ambulantna prodaja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F15D" w14:textId="77777777" w:rsidR="00585F0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90,00</w:t>
            </w:r>
            <w:r>
              <w:rPr>
                <w:sz w:val="22"/>
                <w:szCs w:val="22"/>
              </w:rPr>
              <w:t>/</w:t>
            </w:r>
            <w:r w:rsidRPr="007A77F3">
              <w:rPr>
                <w:sz w:val="22"/>
                <w:szCs w:val="22"/>
              </w:rPr>
              <w:t>po objektu/dan</w:t>
            </w:r>
          </w:p>
        </w:tc>
      </w:tr>
      <w:tr w:rsidR="000F24A0" w14:paraId="38E8364C" w14:textId="77777777" w:rsidTr="0057667A">
        <w:trPr>
          <w:trHeight w:val="10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0D632" w14:textId="77777777" w:rsidR="00585F07" w:rsidRPr="007A77F3" w:rsidRDefault="00585F07" w:rsidP="00675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613D5" w14:textId="77777777" w:rsidR="00585F07" w:rsidRPr="00500D68" w:rsidRDefault="00D25482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0D68">
              <w:rPr>
                <w:color w:val="000000"/>
                <w:sz w:val="22"/>
                <w:szCs w:val="22"/>
              </w:rPr>
              <w:t>bankomati</w:t>
            </w:r>
          </w:p>
          <w:p w14:paraId="033399CA" w14:textId="77777777" w:rsidR="00585F07" w:rsidRPr="00500D68" w:rsidRDefault="00D25482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0D68">
              <w:rPr>
                <w:color w:val="000000"/>
                <w:sz w:val="22"/>
                <w:szCs w:val="22"/>
              </w:rPr>
              <w:t>(samostojeći)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91D4" w14:textId="77777777" w:rsidR="00585F07" w:rsidRPr="007A77F3" w:rsidRDefault="00D25482" w:rsidP="005766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</w:t>
            </w:r>
            <w:r w:rsidRPr="007A77F3">
              <w:rPr>
                <w:color w:val="000000"/>
                <w:sz w:val="22"/>
                <w:szCs w:val="22"/>
              </w:rPr>
              <w:t xml:space="preserve">ona visoke frekventnosti unutar I. </w:t>
            </w:r>
            <w:r>
              <w:rPr>
                <w:color w:val="000000"/>
                <w:sz w:val="22"/>
                <w:szCs w:val="22"/>
              </w:rPr>
              <w:t>Z</w:t>
            </w:r>
            <w:r w:rsidRPr="007A77F3">
              <w:rPr>
                <w:color w:val="000000"/>
                <w:sz w:val="22"/>
                <w:szCs w:val="22"/>
              </w:rPr>
              <w:t>one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5BBF" w14:textId="77777777" w:rsidR="00585F07" w:rsidRDefault="00D25482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A77F3">
              <w:rPr>
                <w:color w:val="000000"/>
                <w:sz w:val="22"/>
                <w:szCs w:val="22"/>
              </w:rPr>
              <w:t>220,00</w:t>
            </w:r>
            <w:r>
              <w:rPr>
                <w:color w:val="000000"/>
                <w:sz w:val="22"/>
                <w:szCs w:val="22"/>
              </w:rPr>
              <w:t>/</w:t>
            </w:r>
          </w:p>
          <w:p w14:paraId="2B8E5DD1" w14:textId="77777777" w:rsidR="00585F07" w:rsidRDefault="00D25482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A77F3">
              <w:rPr>
                <w:color w:val="000000"/>
                <w:sz w:val="22"/>
                <w:szCs w:val="22"/>
              </w:rPr>
              <w:t>po</w:t>
            </w:r>
            <w:r>
              <w:rPr>
                <w:color w:val="000000"/>
                <w:sz w:val="22"/>
                <w:szCs w:val="22"/>
              </w:rPr>
              <w:t xml:space="preserve"> o</w:t>
            </w:r>
            <w:r w:rsidRPr="007A77F3">
              <w:rPr>
                <w:color w:val="000000"/>
                <w:sz w:val="22"/>
                <w:szCs w:val="22"/>
              </w:rPr>
              <w:t>bjektu</w:t>
            </w:r>
            <w:r>
              <w:rPr>
                <w:color w:val="000000"/>
                <w:sz w:val="22"/>
                <w:szCs w:val="22"/>
              </w:rPr>
              <w:t>/</w:t>
            </w:r>
          </w:p>
          <w:p w14:paraId="0FB1F3F2" w14:textId="77777777" w:rsidR="00585F07" w:rsidRPr="007A77F3" w:rsidRDefault="00D25482" w:rsidP="005766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mjesečno</w:t>
            </w:r>
          </w:p>
        </w:tc>
      </w:tr>
      <w:tr w:rsidR="000F24A0" w14:paraId="3BA133EA" w14:textId="77777777" w:rsidTr="0057667A">
        <w:trPr>
          <w:trHeight w:val="6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7E1F8" w14:textId="77777777" w:rsidR="00585F07" w:rsidRPr="007A77F3" w:rsidRDefault="00585F07" w:rsidP="00675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4B132" w14:textId="77777777" w:rsidR="00585F07" w:rsidRPr="00500D68" w:rsidRDefault="00585F07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BDA8" w14:textId="77777777" w:rsidR="00585F0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A77F3">
              <w:rPr>
                <w:color w:val="000000"/>
                <w:sz w:val="22"/>
                <w:szCs w:val="22"/>
              </w:rPr>
              <w:t xml:space="preserve">I. </w:t>
            </w:r>
            <w:r>
              <w:rPr>
                <w:color w:val="000000"/>
                <w:sz w:val="22"/>
                <w:szCs w:val="22"/>
              </w:rPr>
              <w:t>Z</w:t>
            </w:r>
            <w:r w:rsidRPr="007A77F3">
              <w:rPr>
                <w:color w:val="000000"/>
                <w:sz w:val="22"/>
                <w:szCs w:val="22"/>
              </w:rPr>
              <w:t xml:space="preserve">ona </w:t>
            </w:r>
          </w:p>
          <w:p w14:paraId="19AE9E7D" w14:textId="77777777" w:rsidR="00585F07" w:rsidRPr="007A77F3" w:rsidRDefault="00585F07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EDB0" w14:textId="77777777" w:rsidR="00585F07" w:rsidRPr="007A77F3" w:rsidRDefault="00D25482" w:rsidP="005766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77F3">
              <w:rPr>
                <w:color w:val="000000"/>
                <w:sz w:val="22"/>
                <w:szCs w:val="22"/>
              </w:rPr>
              <w:t>190,00</w:t>
            </w:r>
            <w:r>
              <w:rPr>
                <w:color w:val="000000"/>
                <w:sz w:val="22"/>
                <w:szCs w:val="22"/>
              </w:rPr>
              <w:t>/</w:t>
            </w:r>
            <w:r w:rsidRPr="007A77F3">
              <w:rPr>
                <w:color w:val="000000"/>
                <w:sz w:val="22"/>
                <w:szCs w:val="22"/>
              </w:rPr>
              <w:t xml:space="preserve">  </w:t>
            </w:r>
          </w:p>
          <w:p w14:paraId="1A654F55" w14:textId="77777777" w:rsidR="00585F0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A77F3">
              <w:rPr>
                <w:color w:val="000000"/>
                <w:sz w:val="22"/>
                <w:szCs w:val="22"/>
              </w:rPr>
              <w:t>po objektu</w:t>
            </w:r>
            <w:r>
              <w:rPr>
                <w:color w:val="000000"/>
                <w:sz w:val="22"/>
                <w:szCs w:val="22"/>
              </w:rPr>
              <w:t>/</w:t>
            </w:r>
            <w:r w:rsidRPr="007A77F3">
              <w:rPr>
                <w:color w:val="000000"/>
                <w:sz w:val="22"/>
                <w:szCs w:val="22"/>
              </w:rPr>
              <w:t xml:space="preserve"> mjesečno</w:t>
            </w:r>
          </w:p>
        </w:tc>
      </w:tr>
      <w:tr w:rsidR="000F24A0" w14:paraId="42AD017E" w14:textId="77777777" w:rsidTr="00E540BB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16F27" w14:textId="77777777" w:rsidR="00585F07" w:rsidRPr="007A77F3" w:rsidRDefault="00585F07" w:rsidP="00675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1E828" w14:textId="77777777" w:rsidR="00585F07" w:rsidRPr="00500D68" w:rsidRDefault="00585F07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4131" w14:textId="77777777" w:rsidR="00585F0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  <w:r w:rsidRPr="007A77F3">
              <w:rPr>
                <w:color w:val="000000"/>
                <w:sz w:val="22"/>
                <w:szCs w:val="22"/>
              </w:rPr>
              <w:t xml:space="preserve">I. </w:t>
            </w:r>
            <w:r>
              <w:rPr>
                <w:color w:val="000000"/>
                <w:sz w:val="22"/>
                <w:szCs w:val="22"/>
              </w:rPr>
              <w:t>Z</w:t>
            </w:r>
            <w:r w:rsidRPr="007A77F3">
              <w:rPr>
                <w:color w:val="000000"/>
                <w:sz w:val="22"/>
                <w:szCs w:val="22"/>
              </w:rPr>
              <w:t>ona</w:t>
            </w:r>
          </w:p>
          <w:p w14:paraId="7DD5B59C" w14:textId="77777777" w:rsidR="00585F07" w:rsidRPr="007A77F3" w:rsidRDefault="00585F07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2673" w14:textId="77777777" w:rsidR="00585F0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A77F3">
              <w:rPr>
                <w:color w:val="000000"/>
                <w:sz w:val="22"/>
                <w:szCs w:val="22"/>
              </w:rPr>
              <w:t>160,00</w:t>
            </w:r>
            <w:r>
              <w:rPr>
                <w:color w:val="000000"/>
                <w:sz w:val="22"/>
                <w:szCs w:val="22"/>
              </w:rPr>
              <w:t>/</w:t>
            </w:r>
            <w:r w:rsidRPr="007A77F3">
              <w:rPr>
                <w:color w:val="000000"/>
                <w:sz w:val="22"/>
                <w:szCs w:val="22"/>
              </w:rPr>
              <w:t xml:space="preserve">  </w:t>
            </w:r>
          </w:p>
          <w:p w14:paraId="7CC0B828" w14:textId="77777777" w:rsidR="00585F07" w:rsidRDefault="00D25482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A77F3">
              <w:rPr>
                <w:color w:val="000000"/>
                <w:sz w:val="22"/>
                <w:szCs w:val="22"/>
              </w:rPr>
              <w:t>po objektu</w:t>
            </w:r>
            <w:r>
              <w:rPr>
                <w:color w:val="000000"/>
                <w:sz w:val="22"/>
                <w:szCs w:val="22"/>
              </w:rPr>
              <w:t>/</w:t>
            </w:r>
          </w:p>
          <w:p w14:paraId="0865C115" w14:textId="77777777" w:rsidR="00585F07" w:rsidRPr="007A77F3" w:rsidRDefault="00D25482" w:rsidP="00585F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mjesečno</w:t>
            </w:r>
          </w:p>
        </w:tc>
      </w:tr>
      <w:tr w:rsidR="000F24A0" w14:paraId="11E202E4" w14:textId="77777777" w:rsidTr="00E540BB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F27D4" w14:textId="77777777" w:rsidR="00585F07" w:rsidRPr="007A77F3" w:rsidRDefault="00585F07" w:rsidP="00675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9675" w14:textId="77777777" w:rsidR="00585F07" w:rsidRPr="00500D68" w:rsidRDefault="00585F07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C0F3" w14:textId="77777777" w:rsidR="00585F0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A77F3">
              <w:rPr>
                <w:color w:val="000000"/>
                <w:sz w:val="22"/>
                <w:szCs w:val="22"/>
              </w:rPr>
              <w:t xml:space="preserve">III. </w:t>
            </w:r>
            <w:r>
              <w:rPr>
                <w:color w:val="000000"/>
                <w:sz w:val="22"/>
                <w:szCs w:val="22"/>
              </w:rPr>
              <w:t>Z</w:t>
            </w:r>
            <w:r w:rsidRPr="007A77F3">
              <w:rPr>
                <w:color w:val="000000"/>
                <w:sz w:val="22"/>
                <w:szCs w:val="22"/>
              </w:rPr>
              <w:t>ona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0ED3" w14:textId="77777777" w:rsidR="00585F0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A77F3">
              <w:rPr>
                <w:color w:val="000000"/>
                <w:sz w:val="22"/>
                <w:szCs w:val="22"/>
              </w:rPr>
              <w:t>130,00</w:t>
            </w:r>
            <w:r>
              <w:rPr>
                <w:color w:val="000000"/>
                <w:sz w:val="22"/>
                <w:szCs w:val="22"/>
              </w:rPr>
              <w:t>/</w:t>
            </w:r>
            <w:r w:rsidRPr="007A77F3">
              <w:rPr>
                <w:color w:val="000000"/>
                <w:sz w:val="22"/>
                <w:szCs w:val="22"/>
              </w:rPr>
              <w:t xml:space="preserve">  </w:t>
            </w:r>
          </w:p>
          <w:p w14:paraId="3DBB9B74" w14:textId="77777777" w:rsidR="00585F07" w:rsidRDefault="00D25482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A77F3">
              <w:rPr>
                <w:color w:val="000000"/>
                <w:sz w:val="22"/>
                <w:szCs w:val="22"/>
              </w:rPr>
              <w:t xml:space="preserve">po </w:t>
            </w:r>
            <w:r w:rsidRPr="007A77F3">
              <w:rPr>
                <w:color w:val="000000"/>
                <w:sz w:val="22"/>
                <w:szCs w:val="22"/>
              </w:rPr>
              <w:t>objektu</w:t>
            </w:r>
            <w:r>
              <w:rPr>
                <w:color w:val="000000"/>
                <w:sz w:val="22"/>
                <w:szCs w:val="22"/>
              </w:rPr>
              <w:t>/</w:t>
            </w:r>
          </w:p>
          <w:p w14:paraId="61479312" w14:textId="77777777" w:rsidR="00585F07" w:rsidRPr="007A77F3" w:rsidRDefault="00D25482" w:rsidP="00585F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mjesečno</w:t>
            </w:r>
          </w:p>
        </w:tc>
      </w:tr>
      <w:tr w:rsidR="000F24A0" w14:paraId="33662D46" w14:textId="77777777" w:rsidTr="00DF3C28"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5A724" w14:textId="77777777" w:rsidR="00585F07" w:rsidRPr="007A77F3" w:rsidRDefault="00585F07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E066" w14:textId="77777777" w:rsidR="00585F07" w:rsidRPr="00500D68" w:rsidRDefault="00D25482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0D68">
              <w:rPr>
                <w:color w:val="000000"/>
                <w:sz w:val="22"/>
                <w:szCs w:val="22"/>
              </w:rPr>
              <w:t>samostojeći telekomunikacijski razvodni ormarić i sl.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9E79" w14:textId="77777777" w:rsidR="00585F0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A77F3">
              <w:rPr>
                <w:color w:val="000000"/>
                <w:sz w:val="22"/>
                <w:szCs w:val="22"/>
              </w:rPr>
              <w:t>80,00</w:t>
            </w:r>
            <w:r>
              <w:rPr>
                <w:color w:val="000000"/>
                <w:sz w:val="22"/>
                <w:szCs w:val="22"/>
              </w:rPr>
              <w:t>/</w:t>
            </w:r>
            <w:r w:rsidRPr="007A77F3">
              <w:rPr>
                <w:color w:val="000000"/>
                <w:sz w:val="22"/>
                <w:szCs w:val="22"/>
              </w:rPr>
              <w:t>po objektu</w:t>
            </w:r>
            <w:r>
              <w:rPr>
                <w:color w:val="000000"/>
                <w:sz w:val="22"/>
                <w:szCs w:val="22"/>
              </w:rPr>
              <w:t>/mjesečno</w:t>
            </w:r>
          </w:p>
        </w:tc>
      </w:tr>
      <w:tr w:rsidR="000F24A0" w14:paraId="61557C94" w14:textId="77777777" w:rsidTr="00E540BB"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39B70" w14:textId="77777777" w:rsidR="00585F07" w:rsidRPr="007A77F3" w:rsidRDefault="00585F07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FCB1" w14:textId="77777777" w:rsidR="00585F07" w:rsidRPr="00500D68" w:rsidRDefault="00D25482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0D68">
              <w:rPr>
                <w:color w:val="000000"/>
                <w:sz w:val="22"/>
                <w:szCs w:val="22"/>
              </w:rPr>
              <w:t>automatski uslužni uređaji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E671" w14:textId="77777777" w:rsidR="00585F0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1946">
              <w:rPr>
                <w:color w:val="000000"/>
                <w:sz w:val="22"/>
                <w:szCs w:val="22"/>
              </w:rPr>
              <w:t>100,00</w:t>
            </w:r>
            <w:r>
              <w:rPr>
                <w:color w:val="000000"/>
                <w:sz w:val="22"/>
                <w:szCs w:val="22"/>
              </w:rPr>
              <w:t>/p</w:t>
            </w:r>
            <w:r w:rsidRPr="007A77F3"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A77F3">
              <w:rPr>
                <w:color w:val="000000"/>
                <w:sz w:val="22"/>
                <w:szCs w:val="22"/>
              </w:rPr>
              <w:t>objektu</w:t>
            </w:r>
            <w:r>
              <w:rPr>
                <w:color w:val="000000"/>
                <w:sz w:val="22"/>
                <w:szCs w:val="22"/>
              </w:rPr>
              <w:t>/mjesečno</w:t>
            </w:r>
          </w:p>
        </w:tc>
      </w:tr>
      <w:tr w:rsidR="000F24A0" w14:paraId="2815C5DA" w14:textId="77777777" w:rsidTr="00E540BB"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199A" w14:textId="77777777" w:rsidR="00585F07" w:rsidRPr="007A77F3" w:rsidRDefault="00585F07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E8A3" w14:textId="77777777" w:rsidR="00585F0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A77F3">
              <w:rPr>
                <w:color w:val="000000"/>
                <w:sz w:val="22"/>
                <w:szCs w:val="22"/>
              </w:rPr>
              <w:t>e-romobili, e-bicikle i slično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77D4" w14:textId="77777777" w:rsidR="00585F0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A77F3">
              <w:rPr>
                <w:color w:val="000000"/>
                <w:sz w:val="22"/>
                <w:szCs w:val="22"/>
              </w:rPr>
              <w:t>35,00</w:t>
            </w:r>
            <w:r>
              <w:rPr>
                <w:color w:val="000000"/>
                <w:sz w:val="22"/>
                <w:szCs w:val="22"/>
              </w:rPr>
              <w:t>/</w:t>
            </w:r>
            <w:r w:rsidRPr="007A77F3">
              <w:rPr>
                <w:color w:val="000000"/>
                <w:sz w:val="22"/>
                <w:szCs w:val="22"/>
              </w:rPr>
              <w:t>po sredstvu/godišnje</w:t>
            </w:r>
          </w:p>
        </w:tc>
      </w:tr>
      <w:tr w:rsidR="000F24A0" w14:paraId="2B19D578" w14:textId="77777777" w:rsidTr="00E540BB"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FAC2" w14:textId="77777777" w:rsidR="00E540BB" w:rsidRDefault="00D25482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</w:t>
            </w:r>
            <w:r w:rsidR="00681AA7" w:rsidRPr="007A77F3">
              <w:rPr>
                <w:color w:val="000000"/>
                <w:sz w:val="22"/>
                <w:szCs w:val="22"/>
              </w:rPr>
              <w:t>tandovi</w:t>
            </w:r>
            <w:r>
              <w:rPr>
                <w:color w:val="000000"/>
                <w:sz w:val="22"/>
                <w:szCs w:val="22"/>
              </w:rPr>
              <w:t xml:space="preserve"> površine zauzimanja</w:t>
            </w:r>
          </w:p>
          <w:p w14:paraId="3EC7D804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do 4,00 m</w:t>
            </w:r>
            <w:r w:rsidRPr="007A77F3">
              <w:rPr>
                <w:sz w:val="22"/>
                <w:szCs w:val="22"/>
              </w:rPr>
              <w:t>²</w:t>
            </w:r>
          </w:p>
          <w:p w14:paraId="13B6EEBE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7A77F3">
              <w:rPr>
                <w:color w:val="000000"/>
                <w:sz w:val="22"/>
                <w:szCs w:val="22"/>
              </w:rPr>
              <w:t>(montažni/prenosivi)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A7F7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prodaja voća, povrća, jaja, tekstila i slično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B0BB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400,00</w:t>
            </w:r>
            <w:r w:rsidR="0074402D">
              <w:rPr>
                <w:sz w:val="22"/>
                <w:szCs w:val="22"/>
              </w:rPr>
              <w:t>/</w:t>
            </w:r>
            <w:r w:rsidR="00696651">
              <w:rPr>
                <w:sz w:val="22"/>
                <w:szCs w:val="22"/>
              </w:rPr>
              <w:t>po štandu/mjesečno</w:t>
            </w:r>
          </w:p>
        </w:tc>
      </w:tr>
      <w:tr w:rsidR="000F24A0" w14:paraId="167F8965" w14:textId="77777777" w:rsidTr="00E54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26C7" w14:textId="77777777" w:rsidR="00681AA7" w:rsidRPr="007A77F3" w:rsidRDefault="00681AA7" w:rsidP="00675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4D06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cvijeće, svijeće i slično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C9E0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400,00</w:t>
            </w:r>
            <w:r w:rsidR="00696651">
              <w:rPr>
                <w:sz w:val="22"/>
                <w:szCs w:val="22"/>
              </w:rPr>
              <w:t>/po štandu/mjesečno</w:t>
            </w:r>
          </w:p>
        </w:tc>
      </w:tr>
      <w:tr w:rsidR="000F24A0" w14:paraId="41FFB895" w14:textId="77777777" w:rsidTr="00E54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9433" w14:textId="77777777" w:rsidR="00681AA7" w:rsidRPr="007A77F3" w:rsidRDefault="00681AA7" w:rsidP="00675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3E53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suveniri, numizmatika, slike i slično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A8CE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600,00</w:t>
            </w:r>
            <w:r w:rsidR="00696651">
              <w:rPr>
                <w:sz w:val="22"/>
                <w:szCs w:val="22"/>
              </w:rPr>
              <w:t>/po štandu/mjesečno</w:t>
            </w:r>
          </w:p>
        </w:tc>
      </w:tr>
      <w:tr w:rsidR="000F24A0" w14:paraId="40EB5B16" w14:textId="77777777" w:rsidTr="00E54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0C7E" w14:textId="77777777" w:rsidR="00681AA7" w:rsidRPr="007A77F3" w:rsidRDefault="00681AA7" w:rsidP="00675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E184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stolić za tetoviranje, ukrašavanje tijela i slično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5114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600,00</w:t>
            </w:r>
            <w:r w:rsidR="00696651">
              <w:rPr>
                <w:sz w:val="22"/>
                <w:szCs w:val="22"/>
              </w:rPr>
              <w:t>/po štandu/mjesečno</w:t>
            </w:r>
          </w:p>
        </w:tc>
      </w:tr>
      <w:tr w:rsidR="000F24A0" w14:paraId="65B54756" w14:textId="77777777" w:rsidTr="00E54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2759" w14:textId="77777777" w:rsidR="00681AA7" w:rsidRPr="007A77F3" w:rsidRDefault="00681AA7" w:rsidP="00675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3854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portretiranje i slično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D4CA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400,00</w:t>
            </w:r>
            <w:r w:rsidR="00696651">
              <w:rPr>
                <w:sz w:val="22"/>
                <w:szCs w:val="22"/>
              </w:rPr>
              <w:t>/po štandu/mjesečno</w:t>
            </w:r>
          </w:p>
        </w:tc>
      </w:tr>
      <w:tr w:rsidR="000F24A0" w14:paraId="712B88CC" w14:textId="77777777" w:rsidTr="00270CDE">
        <w:trPr>
          <w:trHeight w:val="44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E951E" w14:textId="77777777" w:rsidR="00733A34" w:rsidRPr="007A77F3" w:rsidRDefault="00D25482" w:rsidP="0073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 š</w:t>
            </w:r>
            <w:r w:rsidRPr="007A77F3">
              <w:rPr>
                <w:color w:val="000000"/>
                <w:sz w:val="22"/>
                <w:szCs w:val="22"/>
              </w:rPr>
              <w:t>tandov</w:t>
            </w:r>
            <w:r w:rsidR="00426EF8"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 xml:space="preserve"> površine zauzimanja  veće od 4,00 m</w:t>
            </w:r>
            <w:r w:rsidRPr="007A77F3">
              <w:rPr>
                <w:sz w:val="22"/>
                <w:szCs w:val="22"/>
              </w:rPr>
              <w:t>²</w:t>
            </w:r>
            <w:r>
              <w:rPr>
                <w:sz w:val="22"/>
                <w:szCs w:val="22"/>
              </w:rPr>
              <w:t xml:space="preserve"> </w:t>
            </w:r>
            <w:r w:rsidRPr="007A77F3">
              <w:rPr>
                <w:color w:val="000000"/>
                <w:sz w:val="22"/>
                <w:szCs w:val="22"/>
              </w:rPr>
              <w:t>(montažni/prenosivi)</w:t>
            </w:r>
            <w:r>
              <w:rPr>
                <w:color w:val="000000"/>
                <w:sz w:val="22"/>
                <w:szCs w:val="22"/>
              </w:rPr>
              <w:t xml:space="preserve"> porez na korištenje javne površine se obračunava u mjesečnom iznosu od </w:t>
            </w:r>
            <w:r>
              <w:rPr>
                <w:sz w:val="22"/>
                <w:szCs w:val="22"/>
              </w:rPr>
              <w:t>100</w:t>
            </w:r>
            <w:r w:rsidRPr="007A77F3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eura po svakom dodatnom </w:t>
            </w:r>
            <w:r w:rsidRPr="007A77F3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 xml:space="preserve"> površine.</w:t>
            </w:r>
          </w:p>
        </w:tc>
      </w:tr>
    </w:tbl>
    <w:p w14:paraId="2E2BDF57" w14:textId="77777777" w:rsidR="00681AA7" w:rsidRDefault="00681AA7" w:rsidP="004F67BB">
      <w:pPr>
        <w:autoSpaceDE w:val="0"/>
        <w:autoSpaceDN w:val="0"/>
        <w:adjustRightInd w:val="0"/>
        <w:jc w:val="center"/>
        <w:rPr>
          <w:b/>
        </w:rPr>
      </w:pPr>
    </w:p>
    <w:p w14:paraId="6423CF5D" w14:textId="77777777" w:rsidR="00733A34" w:rsidRDefault="00733A34" w:rsidP="00675652">
      <w:pPr>
        <w:autoSpaceDE w:val="0"/>
        <w:autoSpaceDN w:val="0"/>
        <w:adjustRightInd w:val="0"/>
        <w:jc w:val="center"/>
        <w:rPr>
          <w:b/>
        </w:rPr>
      </w:pPr>
    </w:p>
    <w:p w14:paraId="4CD71CEB" w14:textId="77777777" w:rsidR="00733A34" w:rsidRDefault="00733A34" w:rsidP="00675652">
      <w:pPr>
        <w:autoSpaceDE w:val="0"/>
        <w:autoSpaceDN w:val="0"/>
        <w:adjustRightInd w:val="0"/>
        <w:jc w:val="center"/>
        <w:rPr>
          <w:b/>
        </w:rPr>
      </w:pPr>
    </w:p>
    <w:p w14:paraId="737D400E" w14:textId="77777777" w:rsidR="00681AA7" w:rsidRPr="007A77F3" w:rsidRDefault="00D25482" w:rsidP="00675652">
      <w:pPr>
        <w:autoSpaceDE w:val="0"/>
        <w:autoSpaceDN w:val="0"/>
        <w:adjustRightInd w:val="0"/>
        <w:jc w:val="center"/>
        <w:rPr>
          <w:b/>
        </w:rPr>
      </w:pPr>
      <w:r w:rsidRPr="007A77F3">
        <w:rPr>
          <w:b/>
        </w:rPr>
        <w:t>Korištenje javnih površina postavljanjem reklamnih predmeta</w:t>
      </w:r>
    </w:p>
    <w:p w14:paraId="270F4D60" w14:textId="77777777" w:rsidR="00681AA7" w:rsidRPr="007A77F3" w:rsidRDefault="00681AA7" w:rsidP="00675652">
      <w:pPr>
        <w:autoSpaceDE w:val="0"/>
        <w:autoSpaceDN w:val="0"/>
        <w:adjustRightInd w:val="0"/>
        <w:jc w:val="center"/>
        <w:rPr>
          <w:bCs/>
        </w:rPr>
      </w:pPr>
    </w:p>
    <w:p w14:paraId="1118321F" w14:textId="77777777" w:rsidR="00681AA7" w:rsidRPr="007A77F3" w:rsidRDefault="00D25482" w:rsidP="00675652">
      <w:pPr>
        <w:autoSpaceDE w:val="0"/>
        <w:autoSpaceDN w:val="0"/>
        <w:adjustRightInd w:val="0"/>
        <w:jc w:val="center"/>
      </w:pPr>
      <w:r w:rsidRPr="007A77F3">
        <w:t>Članak 11.</w:t>
      </w:r>
    </w:p>
    <w:p w14:paraId="6847855C" w14:textId="77777777" w:rsidR="00764998" w:rsidRPr="007A77F3" w:rsidRDefault="00764998" w:rsidP="00675652">
      <w:pPr>
        <w:autoSpaceDE w:val="0"/>
        <w:autoSpaceDN w:val="0"/>
        <w:adjustRightInd w:val="0"/>
        <w:jc w:val="center"/>
      </w:pPr>
    </w:p>
    <w:p w14:paraId="1AD3F9CF" w14:textId="77777777" w:rsidR="00681AA7" w:rsidRDefault="00D25482" w:rsidP="00675652">
      <w:pPr>
        <w:autoSpaceDE w:val="0"/>
        <w:autoSpaceDN w:val="0"/>
        <w:adjustRightInd w:val="0"/>
        <w:jc w:val="both"/>
      </w:pPr>
      <w:r w:rsidRPr="007A77F3">
        <w:tab/>
        <w:t xml:space="preserve">Porez na korištenje javnih površina za postavljanje reklamnih </w:t>
      </w:r>
      <w:r w:rsidRPr="007A77F3">
        <w:t>predmeta utvrđuje se</w:t>
      </w:r>
      <w:r w:rsidR="0074402D">
        <w:t xml:space="preserve"> u eurima </w:t>
      </w:r>
      <w:r w:rsidRPr="007A77F3">
        <w:t>kako slijedi: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1336"/>
        <w:gridCol w:w="2911"/>
        <w:gridCol w:w="2013"/>
      </w:tblGrid>
      <w:tr w:rsidR="000F24A0" w14:paraId="2B03EFB4" w14:textId="77777777" w:rsidTr="00AB2227">
        <w:trPr>
          <w:trHeight w:val="828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3671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Reklamni predmet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6863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I</w:t>
            </w:r>
            <w:r w:rsidR="00975BD4" w:rsidRPr="007A77F3">
              <w:rPr>
                <w:sz w:val="22"/>
                <w:szCs w:val="22"/>
              </w:rPr>
              <w:t>znos poreza u eur</w:t>
            </w:r>
            <w:r w:rsidR="00D04614">
              <w:rPr>
                <w:sz w:val="22"/>
                <w:szCs w:val="22"/>
              </w:rPr>
              <w:t>ima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87E9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7A77F3">
              <w:rPr>
                <w:sz w:val="22"/>
                <w:szCs w:val="22"/>
              </w:rPr>
              <w:t>ačin obračuna</w:t>
            </w:r>
            <w:r>
              <w:rPr>
                <w:sz w:val="22"/>
                <w:szCs w:val="22"/>
              </w:rPr>
              <w:t>/razdoblje</w:t>
            </w:r>
          </w:p>
        </w:tc>
      </w:tr>
      <w:tr w:rsidR="000F24A0" w14:paraId="3695579A" w14:textId="77777777" w:rsidTr="00AB2227"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A21C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transparent, reklamna zastava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DE37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14,00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E037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 </w:t>
            </w:r>
            <w:r w:rsidRPr="007A77F3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/</w:t>
            </w:r>
            <w:r w:rsidRPr="007A77F3">
              <w:rPr>
                <w:sz w:val="22"/>
                <w:szCs w:val="22"/>
              </w:rPr>
              <w:t>dnevno</w:t>
            </w:r>
          </w:p>
        </w:tc>
      </w:tr>
      <w:tr w:rsidR="000F24A0" w14:paraId="44A6DE7A" w14:textId="77777777" w:rsidTr="00AB2227"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7C93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reklamni naziv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CDC5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10,00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EB83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 </w:t>
            </w:r>
            <w:r w:rsidRPr="007A77F3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/</w:t>
            </w:r>
            <w:r w:rsidRPr="007A77F3">
              <w:rPr>
                <w:sz w:val="22"/>
                <w:szCs w:val="22"/>
              </w:rPr>
              <w:t xml:space="preserve">dnevno </w:t>
            </w:r>
          </w:p>
        </w:tc>
      </w:tr>
      <w:tr w:rsidR="000F24A0" w14:paraId="1E9311DE" w14:textId="77777777" w:rsidTr="00AB2227"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B8A6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slobodnostojeći reklamni pano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9956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pojedinačni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5AB2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60,00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526F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 </w:t>
            </w:r>
            <w:r>
              <w:rPr>
                <w:sz w:val="22"/>
                <w:szCs w:val="22"/>
              </w:rPr>
              <w:t>panou</w:t>
            </w:r>
            <w:r w:rsidR="00D6264A">
              <w:rPr>
                <w:sz w:val="22"/>
                <w:szCs w:val="22"/>
              </w:rPr>
              <w:t>/mjesečno</w:t>
            </w:r>
          </w:p>
        </w:tc>
      </w:tr>
      <w:tr w:rsidR="000F24A0" w14:paraId="46F45531" w14:textId="77777777" w:rsidTr="00AB22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2534" w14:textId="77777777" w:rsidR="00681AA7" w:rsidRPr="007A77F3" w:rsidRDefault="00681AA7" w:rsidP="00675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EE2C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skupni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BCE4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40,00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456E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panou/mjesečno</w:t>
            </w:r>
          </w:p>
        </w:tc>
      </w:tr>
      <w:tr w:rsidR="000F24A0" w14:paraId="7F9721B8" w14:textId="77777777" w:rsidTr="00AB22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168A" w14:textId="77777777" w:rsidR="00681AA7" w:rsidRPr="007A77F3" w:rsidRDefault="00681AA7" w:rsidP="00675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6886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prijenosni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C5F3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 </w:t>
            </w:r>
            <w:r w:rsidR="00975BD4" w:rsidRPr="007A77F3">
              <w:rPr>
                <w:sz w:val="22"/>
                <w:szCs w:val="22"/>
              </w:rPr>
              <w:t xml:space="preserve">6,00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036C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 </w:t>
            </w:r>
            <w:r w:rsidRPr="007A77F3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/</w:t>
            </w:r>
            <w:r w:rsidRPr="007A77F3">
              <w:rPr>
                <w:sz w:val="22"/>
                <w:szCs w:val="22"/>
              </w:rPr>
              <w:t xml:space="preserve">dnevno </w:t>
            </w:r>
          </w:p>
        </w:tc>
      </w:tr>
      <w:tr w:rsidR="000F24A0" w14:paraId="7E4FA553" w14:textId="77777777" w:rsidTr="00AB2227"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87BA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reklamni sadržaji na pročeljima građevina, urbanoj opremi i sl.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DC63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40,00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9870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 </w:t>
            </w:r>
            <w:r w:rsidRPr="007A77F3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/</w:t>
            </w:r>
            <w:r w:rsidRPr="007A77F3">
              <w:rPr>
                <w:sz w:val="22"/>
                <w:szCs w:val="22"/>
              </w:rPr>
              <w:t>mjesečno</w:t>
            </w:r>
          </w:p>
        </w:tc>
      </w:tr>
      <w:tr w:rsidR="000F24A0" w14:paraId="20879076" w14:textId="77777777" w:rsidTr="00AB2227"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5A89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reklamni jumbo pano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90A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do 15 m²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345A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75,00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6B17" w14:textId="77777777" w:rsidR="00D6264A" w:rsidRPr="007A77F3" w:rsidRDefault="00D25482" w:rsidP="009B48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po stranici</w:t>
            </w:r>
            <w:r>
              <w:rPr>
                <w:sz w:val="22"/>
                <w:szCs w:val="22"/>
              </w:rPr>
              <w:t>/</w:t>
            </w:r>
            <w:r w:rsidRPr="007A77F3">
              <w:rPr>
                <w:sz w:val="22"/>
                <w:szCs w:val="22"/>
              </w:rPr>
              <w:t xml:space="preserve"> mjesečno</w:t>
            </w:r>
          </w:p>
          <w:p w14:paraId="70D117B6" w14:textId="77777777" w:rsidR="00681AA7" w:rsidRPr="007A77F3" w:rsidRDefault="00681AA7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F24A0" w14:paraId="788166B4" w14:textId="77777777" w:rsidTr="00AB22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D5B6" w14:textId="77777777" w:rsidR="00681AA7" w:rsidRPr="007A77F3" w:rsidRDefault="00681AA7" w:rsidP="00675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6E9A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&gt; od 15 m²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C85D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150,00 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5706" w14:textId="77777777" w:rsidR="00681AA7" w:rsidRPr="007A77F3" w:rsidRDefault="00681AA7" w:rsidP="00675652">
            <w:pPr>
              <w:jc w:val="center"/>
              <w:rPr>
                <w:sz w:val="22"/>
                <w:szCs w:val="22"/>
              </w:rPr>
            </w:pPr>
          </w:p>
        </w:tc>
      </w:tr>
      <w:tr w:rsidR="000F24A0" w14:paraId="3698D1B0" w14:textId="77777777" w:rsidTr="00AB22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0C64" w14:textId="77777777" w:rsidR="00681AA7" w:rsidRPr="007A77F3" w:rsidRDefault="00681AA7" w:rsidP="00675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1BB1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&gt; od 27 m²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1417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225,00 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986F" w14:textId="77777777" w:rsidR="00681AA7" w:rsidRPr="007A77F3" w:rsidRDefault="00681AA7" w:rsidP="00675652">
            <w:pPr>
              <w:jc w:val="center"/>
              <w:rPr>
                <w:sz w:val="22"/>
                <w:szCs w:val="22"/>
              </w:rPr>
            </w:pPr>
          </w:p>
        </w:tc>
      </w:tr>
      <w:tr w:rsidR="000F24A0" w14:paraId="18F89107" w14:textId="77777777" w:rsidTr="00AB2227"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0DFA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reklamni ormarić, reklamna vitrina</w:t>
            </w:r>
            <w:r w:rsidRPr="007A77F3">
              <w:rPr>
                <w:color w:val="000000"/>
                <w:sz w:val="22"/>
                <w:szCs w:val="22"/>
              </w:rPr>
              <w:t>, reklamni uređaj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FCC5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40,00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0050" w14:textId="77777777" w:rsidR="00D6264A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696651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o</w:t>
            </w:r>
            <w:r w:rsidR="00696651">
              <w:rPr>
                <w:sz w:val="22"/>
                <w:szCs w:val="22"/>
              </w:rPr>
              <w:t>bjektu</w:t>
            </w:r>
            <w:r>
              <w:rPr>
                <w:sz w:val="22"/>
                <w:szCs w:val="22"/>
              </w:rPr>
              <w:t>/</w:t>
            </w:r>
          </w:p>
          <w:p w14:paraId="6147C25F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mjesečno</w:t>
            </w:r>
          </w:p>
        </w:tc>
      </w:tr>
      <w:tr w:rsidR="000F24A0" w14:paraId="693DF07E" w14:textId="77777777" w:rsidTr="00AB2227"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7D35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reklamni logo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0E8E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30,00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2F2F" w14:textId="77777777" w:rsidR="00681AA7" w:rsidRPr="007A77F3" w:rsidRDefault="00D25482" w:rsidP="00D62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 </w:t>
            </w:r>
            <w:r w:rsidRPr="007A77F3">
              <w:rPr>
                <w:sz w:val="22"/>
                <w:szCs w:val="22"/>
              </w:rPr>
              <w:t>m²</w:t>
            </w:r>
            <w:r w:rsidR="00D6264A">
              <w:rPr>
                <w:sz w:val="22"/>
                <w:szCs w:val="22"/>
              </w:rPr>
              <w:t>/mjesečno</w:t>
            </w:r>
          </w:p>
        </w:tc>
      </w:tr>
      <w:tr w:rsidR="000F24A0" w14:paraId="4CB79135" w14:textId="77777777" w:rsidTr="00AB2227"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0A7D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reklamna tenda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026D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14,00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DF18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 </w:t>
            </w:r>
            <w:r w:rsidRPr="007A77F3">
              <w:rPr>
                <w:sz w:val="22"/>
                <w:szCs w:val="22"/>
              </w:rPr>
              <w:t>m²</w:t>
            </w:r>
            <w:r w:rsidR="00D6264A">
              <w:rPr>
                <w:sz w:val="22"/>
                <w:szCs w:val="22"/>
              </w:rPr>
              <w:t>/dnevno</w:t>
            </w:r>
          </w:p>
        </w:tc>
      </w:tr>
      <w:tr w:rsidR="000F24A0" w14:paraId="019E40AF" w14:textId="77777777" w:rsidTr="00AB2227"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70E7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reklamni stup - totem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0ECE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110,00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DA38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reklamnom stupu</w:t>
            </w:r>
            <w:r w:rsidR="00D6264A">
              <w:rPr>
                <w:sz w:val="22"/>
                <w:szCs w:val="22"/>
              </w:rPr>
              <w:t>/mjesečno</w:t>
            </w:r>
          </w:p>
        </w:tc>
      </w:tr>
      <w:tr w:rsidR="000F24A0" w14:paraId="4E94AA46" w14:textId="77777777" w:rsidTr="00AB2227"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1EBD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reklamna ograda, reklama na zaštitnoj ogradi gradilišta, reklama na zaštitnom platnu građevinske skele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161A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5,00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8F78" w14:textId="77777777" w:rsidR="00681AA7" w:rsidRPr="007A77F3" w:rsidRDefault="00D25482" w:rsidP="00675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 </w:t>
            </w:r>
            <w:r w:rsidRPr="007A77F3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/</w:t>
            </w:r>
            <w:r w:rsidRPr="007A77F3">
              <w:rPr>
                <w:sz w:val="22"/>
                <w:szCs w:val="22"/>
              </w:rPr>
              <w:t>mjesečno</w:t>
            </w:r>
          </w:p>
        </w:tc>
      </w:tr>
    </w:tbl>
    <w:p w14:paraId="3855200D" w14:textId="77777777" w:rsidR="00681AA7" w:rsidRDefault="00681AA7" w:rsidP="004F67BB">
      <w:pPr>
        <w:autoSpaceDE w:val="0"/>
        <w:autoSpaceDN w:val="0"/>
        <w:adjustRightInd w:val="0"/>
        <w:jc w:val="center"/>
      </w:pPr>
    </w:p>
    <w:p w14:paraId="34BB61FF" w14:textId="77777777" w:rsidR="004F67BB" w:rsidRPr="007A77F3" w:rsidRDefault="004F67BB" w:rsidP="004F67BB">
      <w:pPr>
        <w:autoSpaceDE w:val="0"/>
        <w:autoSpaceDN w:val="0"/>
        <w:adjustRightInd w:val="0"/>
        <w:jc w:val="center"/>
      </w:pPr>
    </w:p>
    <w:p w14:paraId="13AB5439" w14:textId="77777777" w:rsidR="00681AA7" w:rsidRPr="007A77F3" w:rsidRDefault="00D25482" w:rsidP="00675652">
      <w:pPr>
        <w:autoSpaceDE w:val="0"/>
        <w:autoSpaceDN w:val="0"/>
        <w:adjustRightInd w:val="0"/>
        <w:jc w:val="center"/>
        <w:rPr>
          <w:b/>
        </w:rPr>
      </w:pPr>
      <w:r w:rsidRPr="007A77F3">
        <w:rPr>
          <w:b/>
        </w:rPr>
        <w:t>Ostala korištenja javnih površina</w:t>
      </w:r>
    </w:p>
    <w:p w14:paraId="2ECAC75B" w14:textId="77777777" w:rsidR="00681AA7" w:rsidRPr="007A77F3" w:rsidRDefault="00681AA7" w:rsidP="00675652">
      <w:pPr>
        <w:autoSpaceDE w:val="0"/>
        <w:autoSpaceDN w:val="0"/>
        <w:adjustRightInd w:val="0"/>
        <w:jc w:val="center"/>
      </w:pPr>
    </w:p>
    <w:p w14:paraId="344EADD3" w14:textId="77777777" w:rsidR="00681AA7" w:rsidRPr="007A77F3" w:rsidRDefault="00D25482" w:rsidP="00675652">
      <w:pPr>
        <w:autoSpaceDE w:val="0"/>
        <w:autoSpaceDN w:val="0"/>
        <w:adjustRightInd w:val="0"/>
        <w:jc w:val="center"/>
      </w:pPr>
      <w:r w:rsidRPr="007A77F3">
        <w:t>Članak 12.</w:t>
      </w:r>
    </w:p>
    <w:p w14:paraId="496F413B" w14:textId="77777777" w:rsidR="00764998" w:rsidRPr="007A77F3" w:rsidRDefault="00764998" w:rsidP="00675652">
      <w:pPr>
        <w:autoSpaceDE w:val="0"/>
        <w:autoSpaceDN w:val="0"/>
        <w:adjustRightInd w:val="0"/>
        <w:jc w:val="center"/>
      </w:pPr>
    </w:p>
    <w:p w14:paraId="4C265C82" w14:textId="77777777" w:rsidR="00681AA7" w:rsidRDefault="00D25482" w:rsidP="00675652">
      <w:pPr>
        <w:autoSpaceDE w:val="0"/>
        <w:autoSpaceDN w:val="0"/>
        <w:adjustRightInd w:val="0"/>
        <w:jc w:val="both"/>
      </w:pPr>
      <w:r w:rsidRPr="007A77F3">
        <w:tab/>
      </w:r>
      <w:r w:rsidRPr="007A77F3">
        <w:t xml:space="preserve">Porez na korištenje javnih površina za ostala korištenja javnih površina utvrđuje se </w:t>
      </w:r>
      <w:r w:rsidR="0074402D">
        <w:t xml:space="preserve">u eurima </w:t>
      </w:r>
      <w:r w:rsidRPr="007A77F3">
        <w:t>kako slijedi: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7"/>
        <w:gridCol w:w="3717"/>
      </w:tblGrid>
      <w:tr w:rsidR="000F24A0" w14:paraId="5D0C35B0" w14:textId="77777777" w:rsidTr="00480835">
        <w:trPr>
          <w:trHeight w:val="858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CC87" w14:textId="77777777" w:rsidR="00681AA7" w:rsidRPr="007A77F3" w:rsidRDefault="00D25482" w:rsidP="008E6E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  <w:r w:rsidRPr="007A77F3">
              <w:rPr>
                <w:sz w:val="22"/>
                <w:szCs w:val="22"/>
              </w:rPr>
              <w:t>ganiziranje zabava i manifestacija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4711" w14:textId="77777777" w:rsidR="00D6264A" w:rsidRDefault="00D6264A" w:rsidP="004808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E68F990" w14:textId="77777777" w:rsidR="00D6264A" w:rsidRDefault="00D25482" w:rsidP="004808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7A77F3">
              <w:rPr>
                <w:sz w:val="22"/>
                <w:szCs w:val="22"/>
              </w:rPr>
              <w:t>znos u eur</w:t>
            </w:r>
            <w:r>
              <w:rPr>
                <w:sz w:val="22"/>
                <w:szCs w:val="22"/>
              </w:rPr>
              <w:t>ima/</w:t>
            </w:r>
          </w:p>
          <w:p w14:paraId="1C3B17D4" w14:textId="77777777" w:rsidR="00D6264A" w:rsidRDefault="00D25482" w:rsidP="004808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7A77F3">
              <w:rPr>
                <w:sz w:val="22"/>
                <w:szCs w:val="22"/>
              </w:rPr>
              <w:t>ačin obračuna</w:t>
            </w:r>
            <w:r>
              <w:rPr>
                <w:sz w:val="22"/>
                <w:szCs w:val="22"/>
              </w:rPr>
              <w:t>/razdoblje</w:t>
            </w:r>
          </w:p>
          <w:p w14:paraId="220DE613" w14:textId="77777777" w:rsidR="00480835" w:rsidRPr="007A77F3" w:rsidRDefault="00480835" w:rsidP="004808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A403A60" w14:textId="77777777" w:rsidR="00213C23" w:rsidRPr="007A77F3" w:rsidRDefault="00213C23" w:rsidP="004808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F24A0" w14:paraId="6C2E1973" w14:textId="77777777" w:rsidTr="00AB2227">
        <w:trPr>
          <w:trHeight w:val="575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7F59" w14:textId="77777777" w:rsidR="00681AA7" w:rsidRPr="007A77F3" w:rsidRDefault="00D25482" w:rsidP="008E6E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zabavni park, cirkus, postavljanje montažnih pozornica, bina i </w:t>
            </w:r>
            <w:r w:rsidRPr="007A77F3">
              <w:rPr>
                <w:sz w:val="22"/>
                <w:szCs w:val="22"/>
              </w:rPr>
              <w:t>slično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4E13" w14:textId="77777777" w:rsidR="00681AA7" w:rsidRPr="007A77F3" w:rsidRDefault="00D25482" w:rsidP="008E6E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2AD3">
              <w:rPr>
                <w:sz w:val="22"/>
                <w:szCs w:val="22"/>
              </w:rPr>
              <w:t>4</w:t>
            </w:r>
            <w:r w:rsidR="00975BD4" w:rsidRPr="00EB2AD3">
              <w:rPr>
                <w:sz w:val="22"/>
                <w:szCs w:val="22"/>
              </w:rPr>
              <w:t>,00/</w:t>
            </w:r>
            <w:r w:rsidR="00ED4D5A" w:rsidRPr="00EB2AD3">
              <w:rPr>
                <w:sz w:val="22"/>
                <w:szCs w:val="22"/>
              </w:rPr>
              <w:t xml:space="preserve">po </w:t>
            </w:r>
            <w:r w:rsidR="00975BD4" w:rsidRPr="00EB2AD3">
              <w:rPr>
                <w:sz w:val="22"/>
                <w:szCs w:val="22"/>
              </w:rPr>
              <w:t>m²</w:t>
            </w:r>
            <w:r w:rsidR="00D6264A" w:rsidRPr="00EB2AD3">
              <w:rPr>
                <w:sz w:val="22"/>
                <w:szCs w:val="22"/>
              </w:rPr>
              <w:t>/dan</w:t>
            </w:r>
          </w:p>
        </w:tc>
      </w:tr>
      <w:tr w:rsidR="000F24A0" w14:paraId="65FE9466" w14:textId="77777777" w:rsidTr="00AB2227">
        <w:trPr>
          <w:trHeight w:val="575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35DB" w14:textId="77777777" w:rsidR="00681AA7" w:rsidRPr="007A77F3" w:rsidRDefault="00D25482" w:rsidP="008E6E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ulični zabavljači (svirači, pantomima, mađioničari, artisti i slično)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EDC0" w14:textId="77777777" w:rsidR="00681AA7" w:rsidRPr="007A77F3" w:rsidRDefault="00D25482" w:rsidP="008E6E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15,00/dan</w:t>
            </w:r>
          </w:p>
        </w:tc>
      </w:tr>
      <w:tr w:rsidR="000F24A0" w14:paraId="53D67CC3" w14:textId="77777777" w:rsidTr="00AB2227">
        <w:trPr>
          <w:trHeight w:val="295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E8FD" w14:textId="77777777" w:rsidR="00681AA7" w:rsidRPr="007A77F3" w:rsidRDefault="00D25482" w:rsidP="008E6E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prezentacija proizvoda i usluga i slično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2D3F" w14:textId="77777777" w:rsidR="00681AA7" w:rsidRPr="007A77F3" w:rsidRDefault="00D25482" w:rsidP="008E6E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20,00/</w:t>
            </w:r>
            <w:r w:rsidR="00ED4D5A">
              <w:rPr>
                <w:sz w:val="22"/>
                <w:szCs w:val="22"/>
              </w:rPr>
              <w:t xml:space="preserve">po </w:t>
            </w:r>
            <w:r w:rsidRPr="007A77F3">
              <w:rPr>
                <w:sz w:val="22"/>
                <w:szCs w:val="22"/>
              </w:rPr>
              <w:t>m²</w:t>
            </w:r>
            <w:r w:rsidR="00D6264A">
              <w:rPr>
                <w:sz w:val="22"/>
                <w:szCs w:val="22"/>
              </w:rPr>
              <w:t>/dan</w:t>
            </w:r>
          </w:p>
        </w:tc>
      </w:tr>
      <w:tr w:rsidR="000F24A0" w14:paraId="2092D4CC" w14:textId="77777777" w:rsidTr="00AB2227">
        <w:trPr>
          <w:trHeight w:val="280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2B7D" w14:textId="77777777" w:rsidR="00681AA7" w:rsidRPr="007A77F3" w:rsidRDefault="00D25482" w:rsidP="008E6E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distribucija letaka i promidžbenih materijala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54C4" w14:textId="77777777" w:rsidR="00681AA7" w:rsidRPr="007A77F3" w:rsidRDefault="00D25482" w:rsidP="008E6E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100,00/dan</w:t>
            </w:r>
          </w:p>
        </w:tc>
      </w:tr>
      <w:tr w:rsidR="000F24A0" w14:paraId="064BD519" w14:textId="77777777" w:rsidTr="00AB2227">
        <w:trPr>
          <w:trHeight w:val="575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57AC" w14:textId="77777777" w:rsidR="00681AA7" w:rsidRPr="007A77F3" w:rsidRDefault="00D25482" w:rsidP="008E6E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 xml:space="preserve">organizacija gradilišta, </w:t>
            </w:r>
            <w:r w:rsidRPr="007A77F3">
              <w:rPr>
                <w:color w:val="000000"/>
                <w:sz w:val="22"/>
                <w:szCs w:val="22"/>
              </w:rPr>
              <w:t>postava skela na javnu površine</w:t>
            </w:r>
            <w:r w:rsidRPr="007A77F3">
              <w:rPr>
                <w:sz w:val="22"/>
                <w:szCs w:val="22"/>
              </w:rPr>
              <w:t xml:space="preserve"> i odlaganje građevinskog materijala na javnu površinu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38DB" w14:textId="77777777" w:rsidR="00681AA7" w:rsidRPr="007A77F3" w:rsidRDefault="00D25482" w:rsidP="008E6E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77F3">
              <w:rPr>
                <w:sz w:val="22"/>
                <w:szCs w:val="22"/>
              </w:rPr>
              <w:t>0,70/</w:t>
            </w:r>
            <w:r w:rsidR="00ED4D5A">
              <w:rPr>
                <w:sz w:val="22"/>
                <w:szCs w:val="22"/>
              </w:rPr>
              <w:t xml:space="preserve">po </w:t>
            </w:r>
            <w:r w:rsidR="00ED1A79" w:rsidRPr="007A77F3">
              <w:rPr>
                <w:sz w:val="22"/>
                <w:szCs w:val="22"/>
              </w:rPr>
              <w:t>m²</w:t>
            </w:r>
            <w:r w:rsidRPr="007A77F3">
              <w:rPr>
                <w:sz w:val="22"/>
                <w:szCs w:val="22"/>
              </w:rPr>
              <w:t>/dan</w:t>
            </w:r>
          </w:p>
        </w:tc>
      </w:tr>
      <w:tr w:rsidR="000F24A0" w14:paraId="77295F48" w14:textId="77777777" w:rsidTr="008E6E82">
        <w:trPr>
          <w:trHeight w:val="341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C1A7" w14:textId="77777777" w:rsidR="008E6E82" w:rsidRPr="008E6E82" w:rsidRDefault="00D25482" w:rsidP="008E6E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6E82">
              <w:rPr>
                <w:sz w:val="22"/>
                <w:szCs w:val="22"/>
              </w:rPr>
              <w:t>smještaj kontejnera za potrebe gradilišta i slično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E588" w14:textId="77777777" w:rsidR="008E6E82" w:rsidRPr="008E6E82" w:rsidRDefault="00D25482" w:rsidP="008E6E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6E82">
              <w:rPr>
                <w:sz w:val="22"/>
                <w:szCs w:val="22"/>
              </w:rPr>
              <w:t>12,00/</w:t>
            </w:r>
            <w:r w:rsidR="00ED4D5A">
              <w:rPr>
                <w:sz w:val="22"/>
                <w:szCs w:val="22"/>
              </w:rPr>
              <w:t>po kontejneru/</w:t>
            </w:r>
            <w:r w:rsidRPr="008E6E82">
              <w:rPr>
                <w:sz w:val="22"/>
                <w:szCs w:val="22"/>
              </w:rPr>
              <w:t>dan</w:t>
            </w:r>
          </w:p>
        </w:tc>
      </w:tr>
      <w:tr w:rsidR="000F24A0" w14:paraId="77EB3D9F" w14:textId="77777777" w:rsidTr="00AB2227">
        <w:trPr>
          <w:trHeight w:val="280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34F0" w14:textId="77777777" w:rsidR="00993E21" w:rsidRPr="008E6E82" w:rsidRDefault="00D25482" w:rsidP="008E6E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6E82">
              <w:rPr>
                <w:sz w:val="22"/>
                <w:szCs w:val="22"/>
              </w:rPr>
              <w:t>snimanje filma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7E53" w14:textId="77777777" w:rsidR="00681AA7" w:rsidRPr="008E6E82" w:rsidRDefault="00D25482" w:rsidP="008E6E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6E82">
              <w:rPr>
                <w:sz w:val="22"/>
                <w:szCs w:val="22"/>
              </w:rPr>
              <w:t>600,00/dan</w:t>
            </w:r>
          </w:p>
        </w:tc>
      </w:tr>
      <w:tr w:rsidR="000F24A0" w14:paraId="412AA6EB" w14:textId="77777777" w:rsidTr="00AB2227">
        <w:trPr>
          <w:trHeight w:val="280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E630" w14:textId="77777777" w:rsidR="00681AA7" w:rsidRPr="008E6E82" w:rsidRDefault="00D25482" w:rsidP="008E6E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E6E82">
              <w:rPr>
                <w:color w:val="000000"/>
                <w:sz w:val="22"/>
                <w:szCs w:val="22"/>
              </w:rPr>
              <w:t xml:space="preserve">snimanje filma u </w:t>
            </w:r>
            <w:r w:rsidRPr="008E6E82">
              <w:rPr>
                <w:color w:val="000000"/>
                <w:sz w:val="22"/>
                <w:szCs w:val="22"/>
              </w:rPr>
              <w:t>starogradskoj jezgri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88CB" w14:textId="77777777" w:rsidR="00681AA7" w:rsidRPr="008E6E82" w:rsidRDefault="00D25482" w:rsidP="008E6E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E6E82">
              <w:rPr>
                <w:color w:val="000000"/>
                <w:sz w:val="22"/>
                <w:szCs w:val="22"/>
              </w:rPr>
              <w:t>1.200,00/dan</w:t>
            </w:r>
          </w:p>
        </w:tc>
      </w:tr>
      <w:tr w:rsidR="000F24A0" w14:paraId="68B9ED7B" w14:textId="77777777" w:rsidTr="00AB2227">
        <w:trPr>
          <w:trHeight w:val="295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50AD" w14:textId="77777777" w:rsidR="00681AA7" w:rsidRPr="008E6E82" w:rsidRDefault="00D25482" w:rsidP="008E6E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E6E82">
              <w:rPr>
                <w:color w:val="000000"/>
                <w:sz w:val="22"/>
                <w:szCs w:val="22"/>
              </w:rPr>
              <w:lastRenderedPageBreak/>
              <w:t>snimanje reklamnog spota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C561" w14:textId="77777777" w:rsidR="00681AA7" w:rsidRPr="008E6E82" w:rsidRDefault="00D25482" w:rsidP="008E6E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E6E82">
              <w:rPr>
                <w:color w:val="000000"/>
                <w:sz w:val="22"/>
                <w:szCs w:val="22"/>
              </w:rPr>
              <w:t>1.200,00/dan</w:t>
            </w:r>
          </w:p>
        </w:tc>
      </w:tr>
      <w:tr w:rsidR="000F24A0" w14:paraId="22BF0E26" w14:textId="77777777" w:rsidTr="00AB2227">
        <w:trPr>
          <w:trHeight w:val="295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8052" w14:textId="77777777" w:rsidR="00681AA7" w:rsidRPr="008E6E82" w:rsidRDefault="00D25482" w:rsidP="008E6E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E6E82">
              <w:rPr>
                <w:color w:val="000000"/>
                <w:sz w:val="22"/>
                <w:szCs w:val="22"/>
              </w:rPr>
              <w:t>snimanje reklamnog spota u starogradskoj jezgri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8E32" w14:textId="77777777" w:rsidR="00681AA7" w:rsidRPr="008E6E82" w:rsidRDefault="00D25482" w:rsidP="008E6E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E6E82">
              <w:rPr>
                <w:color w:val="000000"/>
                <w:sz w:val="22"/>
                <w:szCs w:val="22"/>
              </w:rPr>
              <w:t>2.000,00/dan</w:t>
            </w:r>
          </w:p>
        </w:tc>
      </w:tr>
      <w:tr w:rsidR="000F24A0" w14:paraId="6B8E109B" w14:textId="77777777" w:rsidTr="00AB2227">
        <w:trPr>
          <w:trHeight w:val="280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968F" w14:textId="77777777" w:rsidR="00681AA7" w:rsidRPr="008E6E82" w:rsidRDefault="00D25482" w:rsidP="008E6E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6E82">
              <w:rPr>
                <w:sz w:val="22"/>
                <w:szCs w:val="22"/>
              </w:rPr>
              <w:t>komercijalno fotografiranje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9BC0" w14:textId="77777777" w:rsidR="00681AA7" w:rsidRPr="008E6E82" w:rsidRDefault="00D25482" w:rsidP="008E6E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6E82">
              <w:rPr>
                <w:sz w:val="22"/>
                <w:szCs w:val="22"/>
              </w:rPr>
              <w:t>400,00/dan</w:t>
            </w:r>
          </w:p>
        </w:tc>
      </w:tr>
      <w:tr w:rsidR="000F24A0" w14:paraId="546D625E" w14:textId="77777777" w:rsidTr="008E6E82">
        <w:trPr>
          <w:trHeight w:val="302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EDE3" w14:textId="77777777" w:rsidR="008E6E82" w:rsidRPr="008E6E82" w:rsidRDefault="00D25482" w:rsidP="008E6E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6E82">
              <w:rPr>
                <w:sz w:val="22"/>
                <w:szCs w:val="22"/>
              </w:rPr>
              <w:t>političko djelovanje – postavljanje pokretnih naprava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06BE" w14:textId="77777777" w:rsidR="008E6E82" w:rsidRPr="008E6E82" w:rsidRDefault="00D25482" w:rsidP="008E6E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6E82">
              <w:rPr>
                <w:sz w:val="22"/>
                <w:szCs w:val="22"/>
              </w:rPr>
              <w:t>7,00/</w:t>
            </w:r>
            <w:r w:rsidR="00ED4D5A">
              <w:rPr>
                <w:sz w:val="22"/>
                <w:szCs w:val="22"/>
              </w:rPr>
              <w:t xml:space="preserve">po </w:t>
            </w:r>
            <w:r w:rsidR="00ED1A79" w:rsidRPr="007A77F3">
              <w:rPr>
                <w:sz w:val="22"/>
                <w:szCs w:val="22"/>
              </w:rPr>
              <w:t>m²</w:t>
            </w:r>
            <w:r w:rsidRPr="008E6E82">
              <w:rPr>
                <w:sz w:val="22"/>
                <w:szCs w:val="22"/>
              </w:rPr>
              <w:t>/dan</w:t>
            </w:r>
          </w:p>
        </w:tc>
      </w:tr>
      <w:tr w:rsidR="000F24A0" w14:paraId="5CD0E564" w14:textId="77777777" w:rsidTr="008E6E82">
        <w:trPr>
          <w:trHeight w:val="314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8499" w14:textId="77777777" w:rsidR="008E6E82" w:rsidRPr="008E6E82" w:rsidRDefault="00D25482" w:rsidP="008E6E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681AA7" w:rsidRPr="008E6E82">
              <w:rPr>
                <w:sz w:val="22"/>
                <w:szCs w:val="22"/>
              </w:rPr>
              <w:t>eferendum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89E5" w14:textId="77777777" w:rsidR="008E6E82" w:rsidRPr="008E6E82" w:rsidRDefault="00D25482" w:rsidP="008E6E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6E82">
              <w:rPr>
                <w:sz w:val="22"/>
                <w:szCs w:val="22"/>
              </w:rPr>
              <w:t>0,20/</w:t>
            </w:r>
            <w:r w:rsidR="00ED4D5A">
              <w:rPr>
                <w:sz w:val="22"/>
                <w:szCs w:val="22"/>
              </w:rPr>
              <w:t xml:space="preserve">po </w:t>
            </w:r>
            <w:r w:rsidR="00ED1A79" w:rsidRPr="007A77F3">
              <w:rPr>
                <w:sz w:val="22"/>
                <w:szCs w:val="22"/>
              </w:rPr>
              <w:t>m²</w:t>
            </w:r>
            <w:r w:rsidRPr="008E6E82">
              <w:rPr>
                <w:sz w:val="22"/>
                <w:szCs w:val="22"/>
              </w:rPr>
              <w:t>/dan</w:t>
            </w:r>
          </w:p>
        </w:tc>
      </w:tr>
    </w:tbl>
    <w:p w14:paraId="54FD06F1" w14:textId="77777777" w:rsidR="00681AA7" w:rsidRPr="007A77F3" w:rsidRDefault="00681AA7" w:rsidP="00675652">
      <w:pPr>
        <w:autoSpaceDE w:val="0"/>
        <w:autoSpaceDN w:val="0"/>
        <w:adjustRightInd w:val="0"/>
        <w:jc w:val="center"/>
      </w:pPr>
    </w:p>
    <w:p w14:paraId="0A002EAF" w14:textId="77777777" w:rsidR="00733A34" w:rsidRDefault="00733A34" w:rsidP="00675652">
      <w:pPr>
        <w:autoSpaceDE w:val="0"/>
        <w:autoSpaceDN w:val="0"/>
        <w:adjustRightInd w:val="0"/>
        <w:jc w:val="center"/>
      </w:pPr>
    </w:p>
    <w:p w14:paraId="440BAEF7" w14:textId="77777777" w:rsidR="00681AA7" w:rsidRPr="007A77F3" w:rsidRDefault="00D25482" w:rsidP="00675652">
      <w:pPr>
        <w:autoSpaceDE w:val="0"/>
        <w:autoSpaceDN w:val="0"/>
        <w:adjustRightInd w:val="0"/>
        <w:jc w:val="center"/>
      </w:pPr>
      <w:r w:rsidRPr="007A77F3">
        <w:t>Članak 13.</w:t>
      </w:r>
    </w:p>
    <w:p w14:paraId="0F4406D6" w14:textId="77777777" w:rsidR="00764998" w:rsidRPr="007A77F3" w:rsidRDefault="00764998" w:rsidP="00675652">
      <w:pPr>
        <w:autoSpaceDE w:val="0"/>
        <w:autoSpaceDN w:val="0"/>
        <w:adjustRightInd w:val="0"/>
        <w:jc w:val="center"/>
      </w:pPr>
    </w:p>
    <w:p w14:paraId="3FC6EFB2" w14:textId="77777777" w:rsidR="00681AA7" w:rsidRPr="007A77F3" w:rsidRDefault="00D25482" w:rsidP="00675652">
      <w:pPr>
        <w:jc w:val="both"/>
      </w:pPr>
      <w:r w:rsidRPr="007A77F3">
        <w:tab/>
        <w:t>Pojmovi koji se koriste u smislu poreza na korištenje javnih površina definirani su i opisani Odlukom o komunalnom redu Grada Pula</w:t>
      </w:r>
      <w:r w:rsidR="00B50CA6" w:rsidRPr="007A77F3">
        <w:t xml:space="preserve"> </w:t>
      </w:r>
      <w:r w:rsidRPr="007A77F3">
        <w:t>-</w:t>
      </w:r>
      <w:r w:rsidR="00B50CA6" w:rsidRPr="007A77F3">
        <w:t xml:space="preserve"> </w:t>
      </w:r>
      <w:r w:rsidRPr="007A77F3">
        <w:t>Pola te drugim aktima koji se donose na temelju navedene Odluke.</w:t>
      </w:r>
    </w:p>
    <w:p w14:paraId="4DE66318" w14:textId="77777777" w:rsidR="007422EE" w:rsidRDefault="007422EE" w:rsidP="00675652">
      <w:pPr>
        <w:autoSpaceDE w:val="0"/>
        <w:autoSpaceDN w:val="0"/>
        <w:adjustRightInd w:val="0"/>
        <w:jc w:val="center"/>
      </w:pPr>
    </w:p>
    <w:p w14:paraId="1A746AFC" w14:textId="77777777" w:rsidR="00681AA7" w:rsidRPr="007A77F3" w:rsidRDefault="00D25482" w:rsidP="00675652">
      <w:pPr>
        <w:autoSpaceDE w:val="0"/>
        <w:autoSpaceDN w:val="0"/>
        <w:adjustRightInd w:val="0"/>
        <w:jc w:val="center"/>
      </w:pPr>
      <w:r w:rsidRPr="007A77F3">
        <w:t>Članak 14.</w:t>
      </w:r>
    </w:p>
    <w:p w14:paraId="7F390229" w14:textId="77777777" w:rsidR="00764998" w:rsidRPr="007A77F3" w:rsidRDefault="00764998" w:rsidP="00675652">
      <w:pPr>
        <w:autoSpaceDE w:val="0"/>
        <w:autoSpaceDN w:val="0"/>
        <w:adjustRightInd w:val="0"/>
        <w:jc w:val="center"/>
      </w:pPr>
    </w:p>
    <w:p w14:paraId="4914DD13" w14:textId="77777777" w:rsidR="00681AA7" w:rsidRPr="007A77F3" w:rsidRDefault="00D25482" w:rsidP="00675652">
      <w:pPr>
        <w:pStyle w:val="CommentText"/>
        <w:jc w:val="both"/>
        <w:rPr>
          <w:noProof w:val="0"/>
          <w:sz w:val="24"/>
          <w:szCs w:val="24"/>
        </w:rPr>
      </w:pPr>
      <w:r w:rsidRPr="007A77F3">
        <w:rPr>
          <w:noProof w:val="0"/>
          <w:sz w:val="24"/>
          <w:szCs w:val="24"/>
        </w:rPr>
        <w:tab/>
      </w:r>
      <w:r w:rsidR="0093313F">
        <w:rPr>
          <w:noProof w:val="0"/>
          <w:sz w:val="24"/>
          <w:szCs w:val="24"/>
        </w:rPr>
        <w:t>P</w:t>
      </w:r>
      <w:r w:rsidRPr="007A77F3">
        <w:rPr>
          <w:noProof w:val="0"/>
          <w:sz w:val="24"/>
          <w:szCs w:val="24"/>
        </w:rPr>
        <w:t xml:space="preserve">orez </w:t>
      </w:r>
      <w:r w:rsidR="0093313F">
        <w:rPr>
          <w:noProof w:val="0"/>
          <w:sz w:val="24"/>
          <w:szCs w:val="24"/>
        </w:rPr>
        <w:t xml:space="preserve">na korištenje javnih površina </w:t>
      </w:r>
      <w:r w:rsidRPr="007A77F3">
        <w:rPr>
          <w:noProof w:val="0"/>
          <w:sz w:val="24"/>
          <w:szCs w:val="24"/>
        </w:rPr>
        <w:t>utvrđen ovom Odlukom</w:t>
      </w:r>
      <w:r w:rsidR="0093313F">
        <w:rPr>
          <w:noProof w:val="0"/>
          <w:sz w:val="24"/>
          <w:szCs w:val="24"/>
        </w:rPr>
        <w:t>,</w:t>
      </w:r>
      <w:r w:rsidRPr="007A77F3">
        <w:rPr>
          <w:noProof w:val="0"/>
          <w:sz w:val="24"/>
          <w:szCs w:val="24"/>
        </w:rPr>
        <w:t xml:space="preserve"> </w:t>
      </w:r>
      <w:r w:rsidR="0093313F">
        <w:rPr>
          <w:noProof w:val="0"/>
          <w:sz w:val="24"/>
          <w:szCs w:val="24"/>
        </w:rPr>
        <w:t xml:space="preserve">za javne površine </w:t>
      </w:r>
      <w:r w:rsidRPr="007A77F3">
        <w:rPr>
          <w:noProof w:val="0"/>
          <w:sz w:val="24"/>
          <w:szCs w:val="24"/>
        </w:rPr>
        <w:t xml:space="preserve">koje </w:t>
      </w:r>
      <w:r w:rsidR="0093313F">
        <w:rPr>
          <w:noProof w:val="0"/>
          <w:sz w:val="24"/>
          <w:szCs w:val="24"/>
        </w:rPr>
        <w:t xml:space="preserve">se na korištenje daju </w:t>
      </w:r>
      <w:r w:rsidRPr="007A77F3">
        <w:rPr>
          <w:noProof w:val="0"/>
          <w:sz w:val="24"/>
          <w:szCs w:val="24"/>
        </w:rPr>
        <w:t xml:space="preserve">putem </w:t>
      </w:r>
      <w:r w:rsidR="0093313F">
        <w:rPr>
          <w:noProof w:val="0"/>
          <w:sz w:val="24"/>
          <w:szCs w:val="24"/>
        </w:rPr>
        <w:t xml:space="preserve">javnog </w:t>
      </w:r>
      <w:r w:rsidRPr="007A77F3">
        <w:rPr>
          <w:noProof w:val="0"/>
          <w:sz w:val="24"/>
          <w:szCs w:val="24"/>
        </w:rPr>
        <w:t>natječaja, smatra</w:t>
      </w:r>
      <w:r w:rsidR="0093313F">
        <w:rPr>
          <w:noProof w:val="0"/>
          <w:sz w:val="24"/>
          <w:szCs w:val="24"/>
        </w:rPr>
        <w:t xml:space="preserve"> se</w:t>
      </w:r>
      <w:r w:rsidRPr="007A77F3">
        <w:rPr>
          <w:noProof w:val="0"/>
          <w:sz w:val="24"/>
          <w:szCs w:val="24"/>
        </w:rPr>
        <w:t xml:space="preserve"> početnim porezom.</w:t>
      </w:r>
    </w:p>
    <w:p w14:paraId="4071F73F" w14:textId="77777777" w:rsidR="00681AA7" w:rsidRPr="005C4DD3" w:rsidRDefault="00D25482" w:rsidP="00675652">
      <w:pPr>
        <w:pStyle w:val="CommentText"/>
        <w:jc w:val="both"/>
        <w:rPr>
          <w:noProof w:val="0"/>
          <w:sz w:val="24"/>
          <w:szCs w:val="24"/>
        </w:rPr>
      </w:pPr>
      <w:r w:rsidRPr="007A77F3">
        <w:rPr>
          <w:noProof w:val="0"/>
          <w:sz w:val="24"/>
          <w:szCs w:val="24"/>
        </w:rPr>
        <w:tab/>
        <w:t xml:space="preserve">Način i postupak provođenja javnog natječaja propisuje se posebnom </w:t>
      </w:r>
      <w:r w:rsidR="0093313F">
        <w:rPr>
          <w:noProof w:val="0"/>
          <w:sz w:val="24"/>
          <w:szCs w:val="24"/>
        </w:rPr>
        <w:t>o</w:t>
      </w:r>
      <w:r w:rsidRPr="007A77F3">
        <w:rPr>
          <w:noProof w:val="0"/>
          <w:sz w:val="24"/>
          <w:szCs w:val="24"/>
        </w:rPr>
        <w:t>dlukom.</w:t>
      </w:r>
    </w:p>
    <w:p w14:paraId="6F270174" w14:textId="77777777" w:rsidR="00681AA7" w:rsidRPr="007A77F3" w:rsidRDefault="00681AA7" w:rsidP="004F67BB">
      <w:pPr>
        <w:jc w:val="center"/>
      </w:pPr>
    </w:p>
    <w:p w14:paraId="466FA99D" w14:textId="77777777" w:rsidR="00681AA7" w:rsidRPr="007A77F3" w:rsidRDefault="00D25482" w:rsidP="00675652">
      <w:pPr>
        <w:autoSpaceDE w:val="0"/>
        <w:autoSpaceDN w:val="0"/>
        <w:adjustRightInd w:val="0"/>
        <w:jc w:val="center"/>
      </w:pPr>
      <w:r w:rsidRPr="007A77F3">
        <w:t>Članak 15.</w:t>
      </w:r>
    </w:p>
    <w:p w14:paraId="44CACA38" w14:textId="77777777" w:rsidR="00764998" w:rsidRPr="007A77F3" w:rsidRDefault="00764998" w:rsidP="00675652">
      <w:pPr>
        <w:autoSpaceDE w:val="0"/>
        <w:autoSpaceDN w:val="0"/>
        <w:adjustRightInd w:val="0"/>
        <w:jc w:val="center"/>
      </w:pPr>
    </w:p>
    <w:p w14:paraId="32BCAC8C" w14:textId="77777777" w:rsidR="00681AA7" w:rsidRPr="007A77F3" w:rsidRDefault="00D25482" w:rsidP="00675652">
      <w:pPr>
        <w:autoSpaceDE w:val="0"/>
        <w:autoSpaceDN w:val="0"/>
        <w:adjustRightInd w:val="0"/>
        <w:jc w:val="both"/>
        <w:rPr>
          <w:bCs/>
        </w:rPr>
      </w:pPr>
      <w:r w:rsidRPr="007A77F3">
        <w:rPr>
          <w:bCs/>
        </w:rPr>
        <w:tab/>
      </w:r>
      <w:r w:rsidRPr="007A77F3">
        <w:rPr>
          <w:bCs/>
        </w:rPr>
        <w:t xml:space="preserve">Porez na korištenje javnih površina </w:t>
      </w:r>
      <w:r w:rsidRPr="007A77F3">
        <w:t>ne plaća se</w:t>
      </w:r>
      <w:r w:rsidRPr="007A77F3">
        <w:rPr>
          <w:bCs/>
        </w:rPr>
        <w:t xml:space="preserve"> za organiziranje manifestacija i pratećih aktivnosti koje se financiraju iz Proračuna Grada</w:t>
      </w:r>
      <w:r w:rsidR="00975BD4" w:rsidRPr="007A77F3">
        <w:rPr>
          <w:bCs/>
        </w:rPr>
        <w:t xml:space="preserve"> Pula</w:t>
      </w:r>
      <w:r w:rsidR="00B50CA6" w:rsidRPr="007A77F3">
        <w:rPr>
          <w:bCs/>
        </w:rPr>
        <w:t xml:space="preserve"> </w:t>
      </w:r>
      <w:r w:rsidR="00975BD4" w:rsidRPr="007A77F3">
        <w:rPr>
          <w:bCs/>
        </w:rPr>
        <w:t>-</w:t>
      </w:r>
      <w:r w:rsidR="00B50CA6" w:rsidRPr="007A77F3">
        <w:rPr>
          <w:bCs/>
        </w:rPr>
        <w:t xml:space="preserve"> </w:t>
      </w:r>
      <w:r w:rsidR="00975BD4" w:rsidRPr="007A77F3">
        <w:rPr>
          <w:bCs/>
        </w:rPr>
        <w:t>Pola</w:t>
      </w:r>
      <w:r w:rsidRPr="007A77F3">
        <w:rPr>
          <w:bCs/>
        </w:rPr>
        <w:t>, kao ni za vjerske, humanitarne, kulturne, sportske i ekološke manifestacije od značaja za Grad</w:t>
      </w:r>
      <w:r w:rsidR="00975BD4" w:rsidRPr="007A77F3">
        <w:rPr>
          <w:bCs/>
        </w:rPr>
        <w:t xml:space="preserve"> Pula</w:t>
      </w:r>
      <w:r w:rsidR="00B50CA6" w:rsidRPr="007A77F3">
        <w:rPr>
          <w:bCs/>
        </w:rPr>
        <w:t xml:space="preserve"> </w:t>
      </w:r>
      <w:r w:rsidR="00975BD4" w:rsidRPr="007A77F3">
        <w:rPr>
          <w:bCs/>
        </w:rPr>
        <w:t>-</w:t>
      </w:r>
      <w:r w:rsidR="00B50CA6" w:rsidRPr="007A77F3">
        <w:rPr>
          <w:bCs/>
        </w:rPr>
        <w:t xml:space="preserve"> </w:t>
      </w:r>
      <w:r w:rsidR="00975BD4" w:rsidRPr="007A77F3">
        <w:rPr>
          <w:bCs/>
        </w:rPr>
        <w:t>Pola</w:t>
      </w:r>
      <w:r w:rsidRPr="007A77F3">
        <w:rPr>
          <w:bCs/>
        </w:rPr>
        <w:t xml:space="preserve"> te u slučajevima kada se javna površina koristi za potrebe Grada</w:t>
      </w:r>
      <w:r w:rsidR="00975BD4" w:rsidRPr="007A77F3">
        <w:rPr>
          <w:bCs/>
        </w:rPr>
        <w:t xml:space="preserve"> Pula</w:t>
      </w:r>
      <w:r w:rsidR="00B50CA6" w:rsidRPr="007A77F3">
        <w:rPr>
          <w:bCs/>
        </w:rPr>
        <w:t xml:space="preserve"> </w:t>
      </w:r>
      <w:r w:rsidR="00975BD4" w:rsidRPr="007A77F3">
        <w:rPr>
          <w:bCs/>
        </w:rPr>
        <w:t>-</w:t>
      </w:r>
      <w:r w:rsidR="00B50CA6" w:rsidRPr="007A77F3">
        <w:rPr>
          <w:bCs/>
        </w:rPr>
        <w:t xml:space="preserve"> </w:t>
      </w:r>
      <w:r w:rsidR="00975BD4" w:rsidRPr="007A77F3">
        <w:rPr>
          <w:bCs/>
        </w:rPr>
        <w:t>Pola</w:t>
      </w:r>
      <w:r w:rsidRPr="007A77F3">
        <w:rPr>
          <w:bCs/>
        </w:rPr>
        <w:t>.</w:t>
      </w:r>
    </w:p>
    <w:p w14:paraId="0B344769" w14:textId="77777777" w:rsidR="00BC477D" w:rsidRPr="007A77F3" w:rsidRDefault="00BC477D" w:rsidP="004F67BB">
      <w:pPr>
        <w:autoSpaceDE w:val="0"/>
        <w:autoSpaceDN w:val="0"/>
        <w:adjustRightInd w:val="0"/>
        <w:jc w:val="center"/>
        <w:rPr>
          <w:bCs/>
          <w:i/>
        </w:rPr>
      </w:pPr>
    </w:p>
    <w:p w14:paraId="6FA444BC" w14:textId="77777777" w:rsidR="00764998" w:rsidRDefault="00764998" w:rsidP="004F67BB">
      <w:pPr>
        <w:autoSpaceDE w:val="0"/>
        <w:autoSpaceDN w:val="0"/>
        <w:adjustRightInd w:val="0"/>
        <w:jc w:val="center"/>
        <w:rPr>
          <w:bCs/>
          <w:i/>
        </w:rPr>
      </w:pPr>
    </w:p>
    <w:p w14:paraId="0BEDC5FA" w14:textId="77777777" w:rsidR="00456B23" w:rsidRPr="00F05AEF" w:rsidRDefault="00D25482" w:rsidP="00675652">
      <w:pPr>
        <w:autoSpaceDE w:val="0"/>
        <w:autoSpaceDN w:val="0"/>
        <w:adjustRightInd w:val="0"/>
        <w:jc w:val="both"/>
        <w:rPr>
          <w:bCs/>
          <w:i/>
        </w:rPr>
      </w:pPr>
      <w:r w:rsidRPr="007A77F3">
        <w:rPr>
          <w:bCs/>
          <w:i/>
        </w:rPr>
        <w:tab/>
      </w:r>
      <w:r w:rsidRPr="007A77F3">
        <w:rPr>
          <w:i/>
        </w:rPr>
        <w:tab/>
      </w:r>
      <w:r w:rsidRPr="007A77F3">
        <w:rPr>
          <w:i/>
        </w:rPr>
        <w:tab/>
      </w:r>
      <w:r w:rsidRPr="007A77F3">
        <w:rPr>
          <w:i/>
        </w:rPr>
        <w:tab/>
      </w:r>
      <w:r w:rsidR="00D23D61" w:rsidRPr="007A77F3">
        <w:rPr>
          <w:i/>
        </w:rPr>
        <w:t>III</w:t>
      </w:r>
      <w:r w:rsidR="00D23D61" w:rsidRPr="007A77F3">
        <w:rPr>
          <w:i/>
        </w:rPr>
        <w:tab/>
        <w:t xml:space="preserve">PROVEDBENE </w:t>
      </w:r>
      <w:r w:rsidRPr="007A77F3">
        <w:rPr>
          <w:i/>
        </w:rPr>
        <w:t>ODREDBE</w:t>
      </w:r>
    </w:p>
    <w:p w14:paraId="3BD0CE07" w14:textId="77777777" w:rsidR="00456B23" w:rsidRDefault="00456B23" w:rsidP="004F67BB">
      <w:pPr>
        <w:ind w:firstLine="720"/>
        <w:jc w:val="center"/>
        <w:rPr>
          <w:i/>
        </w:rPr>
      </w:pPr>
    </w:p>
    <w:p w14:paraId="547CC3F3" w14:textId="77777777" w:rsidR="00733A34" w:rsidRPr="00F05AEF" w:rsidRDefault="00733A34" w:rsidP="004F67BB">
      <w:pPr>
        <w:ind w:firstLine="720"/>
        <w:jc w:val="center"/>
        <w:rPr>
          <w:i/>
        </w:rPr>
      </w:pPr>
    </w:p>
    <w:p w14:paraId="51762036" w14:textId="77777777" w:rsidR="00456B23" w:rsidRPr="00F05AEF" w:rsidRDefault="00D25482" w:rsidP="00675652">
      <w:pPr>
        <w:jc w:val="center"/>
      </w:pPr>
      <w:r w:rsidRPr="00F05AEF">
        <w:t xml:space="preserve">Članak </w:t>
      </w:r>
      <w:r w:rsidR="00C67128" w:rsidRPr="00F05AEF">
        <w:t>1</w:t>
      </w:r>
      <w:r w:rsidR="00681AA7" w:rsidRPr="00F05AEF">
        <w:t>6</w:t>
      </w:r>
      <w:r w:rsidRPr="00F05AEF">
        <w:t>.</w:t>
      </w:r>
    </w:p>
    <w:p w14:paraId="3BBE96C7" w14:textId="77777777" w:rsidR="00456B23" w:rsidRPr="00F05AEF" w:rsidRDefault="00456B23" w:rsidP="00675652">
      <w:pPr>
        <w:jc w:val="center"/>
        <w:rPr>
          <w:b/>
        </w:rPr>
      </w:pPr>
    </w:p>
    <w:p w14:paraId="19AB1DFF" w14:textId="77777777" w:rsidR="00456B23" w:rsidRPr="00F05AEF" w:rsidRDefault="00D25482" w:rsidP="00675652">
      <w:pPr>
        <w:pStyle w:val="BodyTextIndent"/>
        <w:rPr>
          <w:szCs w:val="24"/>
        </w:rPr>
      </w:pPr>
      <w:r w:rsidRPr="00F05AEF">
        <w:rPr>
          <w:szCs w:val="24"/>
        </w:rPr>
        <w:t xml:space="preserve">Nadležno </w:t>
      </w:r>
      <w:r w:rsidR="00852480" w:rsidRPr="00F05AEF">
        <w:rPr>
          <w:szCs w:val="24"/>
        </w:rPr>
        <w:t xml:space="preserve">porezno </w:t>
      </w:r>
      <w:r w:rsidR="00610457" w:rsidRPr="00F05AEF">
        <w:rPr>
          <w:szCs w:val="24"/>
        </w:rPr>
        <w:t xml:space="preserve">tijelo za utvrđivanje i naplatu </w:t>
      </w:r>
      <w:r w:rsidR="00C2234F" w:rsidRPr="00F05AEF">
        <w:rPr>
          <w:szCs w:val="24"/>
        </w:rPr>
        <w:t xml:space="preserve">poreza na potrošnju i poreza na kuće za odmor </w:t>
      </w:r>
      <w:r w:rsidRPr="00F05AEF">
        <w:rPr>
          <w:szCs w:val="24"/>
        </w:rPr>
        <w:t xml:space="preserve">je upravno tijelo nadležno za poslove financija </w:t>
      </w:r>
      <w:r w:rsidR="00A5126B" w:rsidRPr="00F05AEF">
        <w:rPr>
          <w:szCs w:val="24"/>
        </w:rPr>
        <w:t>Grada</w:t>
      </w:r>
      <w:r w:rsidR="00F65122" w:rsidRPr="00F05AEF">
        <w:rPr>
          <w:szCs w:val="24"/>
        </w:rPr>
        <w:t xml:space="preserve"> Pula</w:t>
      </w:r>
      <w:r w:rsidR="00B50CA6">
        <w:rPr>
          <w:szCs w:val="24"/>
        </w:rPr>
        <w:t xml:space="preserve"> </w:t>
      </w:r>
      <w:r w:rsidR="00F65122" w:rsidRPr="00F05AEF">
        <w:rPr>
          <w:szCs w:val="24"/>
        </w:rPr>
        <w:t>-</w:t>
      </w:r>
      <w:r w:rsidR="00B50CA6">
        <w:rPr>
          <w:szCs w:val="24"/>
        </w:rPr>
        <w:t xml:space="preserve"> </w:t>
      </w:r>
      <w:r w:rsidR="00F65122" w:rsidRPr="00F05AEF">
        <w:rPr>
          <w:szCs w:val="24"/>
        </w:rPr>
        <w:t>Pola</w:t>
      </w:r>
      <w:r w:rsidRPr="00F05AEF">
        <w:rPr>
          <w:szCs w:val="24"/>
        </w:rPr>
        <w:t>.</w:t>
      </w:r>
    </w:p>
    <w:p w14:paraId="54AA80F9" w14:textId="77777777" w:rsidR="003A20B2" w:rsidRPr="00F05AEF" w:rsidRDefault="00D25482" w:rsidP="00675652">
      <w:pPr>
        <w:pStyle w:val="BodyTextIndent"/>
        <w:rPr>
          <w:szCs w:val="24"/>
        </w:rPr>
      </w:pPr>
      <w:r w:rsidRPr="00F05AEF">
        <w:rPr>
          <w:szCs w:val="24"/>
        </w:rPr>
        <w:t xml:space="preserve">Nadležno </w:t>
      </w:r>
      <w:r w:rsidR="00852480" w:rsidRPr="00F05AEF">
        <w:rPr>
          <w:szCs w:val="24"/>
        </w:rPr>
        <w:t xml:space="preserve">porezno </w:t>
      </w:r>
      <w:r w:rsidRPr="00F05AEF">
        <w:rPr>
          <w:szCs w:val="24"/>
        </w:rPr>
        <w:t xml:space="preserve">tijelo za </w:t>
      </w:r>
      <w:r w:rsidR="00610457" w:rsidRPr="00F05AEF">
        <w:rPr>
          <w:szCs w:val="24"/>
        </w:rPr>
        <w:t xml:space="preserve">utvrđivanje i naplatu </w:t>
      </w:r>
      <w:r w:rsidR="00C2234F" w:rsidRPr="00F05AEF">
        <w:rPr>
          <w:szCs w:val="24"/>
        </w:rPr>
        <w:t xml:space="preserve">poreza na korištenje javnih površina je </w:t>
      </w:r>
      <w:r w:rsidRPr="00F05AEF">
        <w:rPr>
          <w:szCs w:val="24"/>
        </w:rPr>
        <w:t>upravno tijelo u čijoj su nadležnosti poslovi upravlja</w:t>
      </w:r>
      <w:r w:rsidRPr="00F05AEF">
        <w:rPr>
          <w:szCs w:val="24"/>
        </w:rPr>
        <w:t>nja imovinom Grada</w:t>
      </w:r>
      <w:r w:rsidR="00F65122" w:rsidRPr="00F05AEF">
        <w:rPr>
          <w:szCs w:val="24"/>
        </w:rPr>
        <w:t xml:space="preserve"> Pula</w:t>
      </w:r>
      <w:r w:rsidR="00B50CA6">
        <w:rPr>
          <w:szCs w:val="24"/>
        </w:rPr>
        <w:t xml:space="preserve"> </w:t>
      </w:r>
      <w:r w:rsidR="00F65122" w:rsidRPr="00F05AEF">
        <w:rPr>
          <w:szCs w:val="24"/>
        </w:rPr>
        <w:t>-</w:t>
      </w:r>
      <w:r w:rsidR="00B50CA6">
        <w:rPr>
          <w:szCs w:val="24"/>
        </w:rPr>
        <w:t xml:space="preserve"> </w:t>
      </w:r>
      <w:r w:rsidR="00F65122" w:rsidRPr="00F05AEF">
        <w:rPr>
          <w:szCs w:val="24"/>
        </w:rPr>
        <w:t>Pola</w:t>
      </w:r>
      <w:r w:rsidRPr="00F05AEF">
        <w:rPr>
          <w:szCs w:val="24"/>
        </w:rPr>
        <w:t>.</w:t>
      </w:r>
    </w:p>
    <w:p w14:paraId="2C22B949" w14:textId="77777777" w:rsidR="00287CBC" w:rsidRPr="00F05AEF" w:rsidRDefault="00287CBC" w:rsidP="004F67BB">
      <w:pPr>
        <w:jc w:val="center"/>
      </w:pPr>
    </w:p>
    <w:p w14:paraId="4B2ADD6A" w14:textId="77777777" w:rsidR="00764998" w:rsidRPr="00F05AEF" w:rsidRDefault="00764998" w:rsidP="004F67BB">
      <w:pPr>
        <w:jc w:val="center"/>
      </w:pPr>
    </w:p>
    <w:p w14:paraId="467D18AE" w14:textId="77777777" w:rsidR="00456B23" w:rsidRPr="00F05AEF" w:rsidRDefault="00D25482" w:rsidP="00675652">
      <w:pPr>
        <w:pStyle w:val="Heading4"/>
        <w:ind w:firstLine="0"/>
        <w:rPr>
          <w:noProof w:val="0"/>
          <w:szCs w:val="24"/>
        </w:rPr>
      </w:pPr>
      <w:r w:rsidRPr="00F05AEF">
        <w:rPr>
          <w:noProof w:val="0"/>
          <w:szCs w:val="24"/>
        </w:rPr>
        <w:tab/>
      </w:r>
      <w:r w:rsidRPr="00F05AEF">
        <w:rPr>
          <w:noProof w:val="0"/>
          <w:szCs w:val="24"/>
        </w:rPr>
        <w:tab/>
      </w:r>
      <w:r w:rsidRPr="00F05AEF">
        <w:rPr>
          <w:noProof w:val="0"/>
          <w:szCs w:val="24"/>
        </w:rPr>
        <w:tab/>
      </w:r>
      <w:r w:rsidRPr="00F05AEF">
        <w:rPr>
          <w:noProof w:val="0"/>
          <w:szCs w:val="24"/>
        </w:rPr>
        <w:tab/>
      </w:r>
      <w:r w:rsidR="00D23D61" w:rsidRPr="00F05AEF">
        <w:rPr>
          <w:noProof w:val="0"/>
          <w:szCs w:val="24"/>
        </w:rPr>
        <w:t>IV</w:t>
      </w:r>
      <w:r w:rsidR="00D23D61" w:rsidRPr="00F05AEF">
        <w:rPr>
          <w:noProof w:val="0"/>
          <w:szCs w:val="24"/>
        </w:rPr>
        <w:tab/>
      </w:r>
      <w:r w:rsidRPr="00F05AEF">
        <w:rPr>
          <w:noProof w:val="0"/>
          <w:szCs w:val="24"/>
        </w:rPr>
        <w:t>PRIJELAZNE I ZAVRŠNE ODREDBE</w:t>
      </w:r>
    </w:p>
    <w:p w14:paraId="482897A3" w14:textId="77777777" w:rsidR="00456B23" w:rsidRDefault="00456B23" w:rsidP="004F67BB">
      <w:pPr>
        <w:ind w:firstLine="720"/>
        <w:jc w:val="center"/>
        <w:rPr>
          <w:i/>
        </w:rPr>
      </w:pPr>
    </w:p>
    <w:p w14:paraId="584E2C8B" w14:textId="77777777" w:rsidR="00733A34" w:rsidRPr="00F05AEF" w:rsidRDefault="00733A34" w:rsidP="004F67BB">
      <w:pPr>
        <w:ind w:firstLine="720"/>
        <w:jc w:val="center"/>
        <w:rPr>
          <w:i/>
        </w:rPr>
      </w:pPr>
    </w:p>
    <w:p w14:paraId="4A0FB2A7" w14:textId="77777777" w:rsidR="00456B23" w:rsidRPr="00F05AEF" w:rsidRDefault="00D25482" w:rsidP="00675652">
      <w:pPr>
        <w:jc w:val="center"/>
      </w:pPr>
      <w:r w:rsidRPr="00F05AEF">
        <w:t xml:space="preserve">Članak </w:t>
      </w:r>
      <w:r w:rsidR="00C67128" w:rsidRPr="00F05AEF">
        <w:t>1</w:t>
      </w:r>
      <w:r w:rsidR="00681AA7" w:rsidRPr="00F05AEF">
        <w:t>7</w:t>
      </w:r>
      <w:r w:rsidRPr="00F05AEF">
        <w:t>.</w:t>
      </w:r>
    </w:p>
    <w:p w14:paraId="5745888F" w14:textId="77777777" w:rsidR="00786699" w:rsidRDefault="00786699" w:rsidP="00675652">
      <w:pPr>
        <w:shd w:val="clear" w:color="auto" w:fill="FFFFFF"/>
        <w:ind w:firstLine="708"/>
        <w:jc w:val="both"/>
      </w:pPr>
    </w:p>
    <w:p w14:paraId="2194B243" w14:textId="77777777" w:rsidR="001A2A31" w:rsidRPr="00F05AEF" w:rsidRDefault="00D25482" w:rsidP="00675652">
      <w:pPr>
        <w:shd w:val="clear" w:color="auto" w:fill="FFFFFF"/>
        <w:ind w:firstLine="708"/>
        <w:jc w:val="both"/>
      </w:pPr>
      <w:r w:rsidRPr="00F05AEF">
        <w:t xml:space="preserve">Stupanjem na snagu ove Odluke prestaje važiti Odluka o </w:t>
      </w:r>
      <w:r w:rsidR="00C67128" w:rsidRPr="00F05AEF">
        <w:t xml:space="preserve">lokalnim porezima </w:t>
      </w:r>
      <w:r w:rsidRPr="00F05AEF">
        <w:t>Grada Pul</w:t>
      </w:r>
      <w:r w:rsidR="00C67128" w:rsidRPr="00F05AEF">
        <w:t>a</w:t>
      </w:r>
      <w:r w:rsidR="00B50CA6">
        <w:t xml:space="preserve"> </w:t>
      </w:r>
      <w:r w:rsidR="00C67128" w:rsidRPr="00F05AEF">
        <w:t>-</w:t>
      </w:r>
      <w:r w:rsidR="00B50CA6">
        <w:t xml:space="preserve"> </w:t>
      </w:r>
      <w:r w:rsidR="00C67128" w:rsidRPr="00F05AEF">
        <w:t>Pola</w:t>
      </w:r>
      <w:r w:rsidRPr="00F05AEF">
        <w:t xml:space="preserve"> </w:t>
      </w:r>
      <w:r w:rsidR="00066F45" w:rsidRPr="00F05AEF">
        <w:rPr>
          <w:color w:val="000000"/>
          <w:shd w:val="clear" w:color="auto" w:fill="FFFFFF"/>
        </w:rPr>
        <w:t>(Službene novine -</w:t>
      </w:r>
      <w:r w:rsidR="00066F45" w:rsidRPr="00F05AEF">
        <w:t xml:space="preserve"> Bollettino ufficiale Pula</w:t>
      </w:r>
      <w:r w:rsidR="00B50CA6">
        <w:t xml:space="preserve"> </w:t>
      </w:r>
      <w:r w:rsidR="00B3526E" w:rsidRPr="00F05AEF">
        <w:t>-</w:t>
      </w:r>
      <w:r w:rsidR="00B50CA6">
        <w:t xml:space="preserve"> </w:t>
      </w:r>
      <w:r w:rsidR="00066F45" w:rsidRPr="00F05AEF">
        <w:t>Pola</w:t>
      </w:r>
      <w:r w:rsidR="005438FB" w:rsidRPr="00F05AEF">
        <w:t>,</w:t>
      </w:r>
      <w:r w:rsidR="00066F45" w:rsidRPr="00F05AEF">
        <w:t xml:space="preserve"> br</w:t>
      </w:r>
      <w:r w:rsidR="005438FB" w:rsidRPr="00F05AEF">
        <w:t>oj</w:t>
      </w:r>
      <w:r w:rsidR="00066F45" w:rsidRPr="00F05AEF">
        <w:t xml:space="preserve"> 05/17, 12/17, 19/20</w:t>
      </w:r>
      <w:r w:rsidR="004F2BB1" w:rsidRPr="00F05AEF">
        <w:t xml:space="preserve"> i</w:t>
      </w:r>
      <w:r w:rsidR="00066F45" w:rsidRPr="00F05AEF">
        <w:t xml:space="preserve"> 22/21).</w:t>
      </w:r>
    </w:p>
    <w:p w14:paraId="608785C9" w14:textId="77777777" w:rsidR="00733A34" w:rsidRDefault="00733A34" w:rsidP="00675652">
      <w:pPr>
        <w:jc w:val="center"/>
      </w:pPr>
    </w:p>
    <w:p w14:paraId="4A245ADE" w14:textId="77777777" w:rsidR="00733A34" w:rsidRDefault="00733A34" w:rsidP="00675652">
      <w:pPr>
        <w:jc w:val="center"/>
      </w:pPr>
    </w:p>
    <w:p w14:paraId="6FBED13C" w14:textId="77777777" w:rsidR="00733A34" w:rsidRDefault="00733A34" w:rsidP="00675652">
      <w:pPr>
        <w:jc w:val="center"/>
      </w:pPr>
    </w:p>
    <w:p w14:paraId="066DDBCB" w14:textId="77777777" w:rsidR="00733A34" w:rsidRDefault="00733A34" w:rsidP="00675652">
      <w:pPr>
        <w:jc w:val="center"/>
      </w:pPr>
    </w:p>
    <w:p w14:paraId="3F95AAED" w14:textId="77777777" w:rsidR="00733A34" w:rsidRDefault="00733A34" w:rsidP="00675652">
      <w:pPr>
        <w:jc w:val="center"/>
      </w:pPr>
    </w:p>
    <w:p w14:paraId="6BCB1811" w14:textId="77777777" w:rsidR="00733A34" w:rsidRDefault="00733A34" w:rsidP="00675652">
      <w:pPr>
        <w:jc w:val="center"/>
      </w:pPr>
    </w:p>
    <w:p w14:paraId="69673970" w14:textId="77777777" w:rsidR="00733A34" w:rsidRDefault="00733A34" w:rsidP="00675652">
      <w:pPr>
        <w:jc w:val="center"/>
      </w:pPr>
    </w:p>
    <w:p w14:paraId="381361DE" w14:textId="77777777" w:rsidR="00733A34" w:rsidRDefault="00733A34" w:rsidP="00675652">
      <w:pPr>
        <w:jc w:val="center"/>
      </w:pPr>
    </w:p>
    <w:p w14:paraId="5A9E55DE" w14:textId="77777777" w:rsidR="00733A34" w:rsidRDefault="00733A34" w:rsidP="00675652">
      <w:pPr>
        <w:jc w:val="center"/>
      </w:pPr>
    </w:p>
    <w:p w14:paraId="075105C9" w14:textId="77777777" w:rsidR="00733A34" w:rsidRDefault="00733A34" w:rsidP="00675652">
      <w:pPr>
        <w:jc w:val="center"/>
      </w:pPr>
    </w:p>
    <w:p w14:paraId="4A57A538" w14:textId="77777777" w:rsidR="00456B23" w:rsidRPr="00F05AEF" w:rsidRDefault="00D25482" w:rsidP="00675652">
      <w:pPr>
        <w:jc w:val="center"/>
      </w:pPr>
      <w:r w:rsidRPr="00F05AEF">
        <w:t xml:space="preserve">Članak </w:t>
      </w:r>
      <w:r w:rsidR="00625BA1" w:rsidRPr="00F05AEF">
        <w:t>1</w:t>
      </w:r>
      <w:r w:rsidR="00681AA7" w:rsidRPr="00F05AEF">
        <w:t>8</w:t>
      </w:r>
      <w:r w:rsidRPr="00F05AEF">
        <w:t>.</w:t>
      </w:r>
    </w:p>
    <w:p w14:paraId="1F6A2DD6" w14:textId="77777777" w:rsidR="00456B23" w:rsidRPr="00F05AEF" w:rsidRDefault="00456B23" w:rsidP="00675652">
      <w:pPr>
        <w:jc w:val="center"/>
        <w:rPr>
          <w:b/>
        </w:rPr>
      </w:pPr>
    </w:p>
    <w:p w14:paraId="476D3213" w14:textId="77777777" w:rsidR="00821C84" w:rsidRPr="00F05AEF" w:rsidRDefault="00D25482" w:rsidP="00675652">
      <w:pPr>
        <w:pStyle w:val="BodyText2"/>
        <w:jc w:val="both"/>
        <w:rPr>
          <w:noProof w:val="0"/>
          <w:color w:val="333333"/>
          <w:szCs w:val="24"/>
        </w:rPr>
      </w:pPr>
      <w:r w:rsidRPr="00F05AEF">
        <w:rPr>
          <w:noProof w:val="0"/>
          <w:szCs w:val="24"/>
        </w:rPr>
        <w:tab/>
      </w:r>
      <w:r w:rsidRPr="00F05AEF">
        <w:rPr>
          <w:noProof w:val="0"/>
          <w:color w:val="333333"/>
        </w:rPr>
        <w:t xml:space="preserve">Ova Odluka objavit će se u Narodnim novinama i </w:t>
      </w:r>
      <w:r w:rsidRPr="00F05AEF">
        <w:rPr>
          <w:noProof w:val="0"/>
        </w:rPr>
        <w:t>Službenim novinama - Bolletino ufficiale Pula</w:t>
      </w:r>
      <w:r w:rsidR="00B50CA6">
        <w:rPr>
          <w:noProof w:val="0"/>
        </w:rPr>
        <w:t xml:space="preserve"> </w:t>
      </w:r>
      <w:r w:rsidRPr="00F05AEF">
        <w:rPr>
          <w:noProof w:val="0"/>
        </w:rPr>
        <w:t>-</w:t>
      </w:r>
      <w:r w:rsidR="00B50CA6">
        <w:rPr>
          <w:noProof w:val="0"/>
        </w:rPr>
        <w:t xml:space="preserve"> </w:t>
      </w:r>
      <w:r w:rsidRPr="00F05AEF">
        <w:rPr>
          <w:noProof w:val="0"/>
        </w:rPr>
        <w:t>Pola</w:t>
      </w:r>
      <w:r w:rsidRPr="00F05AEF">
        <w:rPr>
          <w:noProof w:val="0"/>
          <w:color w:val="333333"/>
        </w:rPr>
        <w:t xml:space="preserve">, a stupa na snagu 1. siječnja </w:t>
      </w:r>
      <w:r w:rsidRPr="00F05AEF">
        <w:rPr>
          <w:noProof w:val="0"/>
        </w:rPr>
        <w:t>2024.</w:t>
      </w:r>
      <w:r w:rsidRPr="00F05AEF">
        <w:rPr>
          <w:noProof w:val="0"/>
          <w:color w:val="333333"/>
        </w:rPr>
        <w:t xml:space="preserve"> godine.</w:t>
      </w:r>
    </w:p>
    <w:p w14:paraId="4326D9BF" w14:textId="77777777" w:rsidR="00952F23" w:rsidRDefault="00952F23" w:rsidP="004F67BB">
      <w:pPr>
        <w:pStyle w:val="BodyText2"/>
        <w:jc w:val="center"/>
        <w:rPr>
          <w:noProof w:val="0"/>
          <w:szCs w:val="24"/>
        </w:rPr>
      </w:pPr>
    </w:p>
    <w:p w14:paraId="447C3BDE" w14:textId="77777777" w:rsidR="00733A34" w:rsidRDefault="00733A34" w:rsidP="004F67BB">
      <w:pPr>
        <w:pStyle w:val="BodyText2"/>
        <w:jc w:val="center"/>
        <w:rPr>
          <w:noProof w:val="0"/>
          <w:szCs w:val="24"/>
        </w:rPr>
      </w:pPr>
    </w:p>
    <w:p w14:paraId="6D11986D" w14:textId="77777777" w:rsidR="00733A34" w:rsidRDefault="00733A34" w:rsidP="004F67BB">
      <w:pPr>
        <w:pStyle w:val="BodyText2"/>
        <w:jc w:val="center"/>
        <w:rPr>
          <w:noProof w:val="0"/>
          <w:szCs w:val="24"/>
        </w:rPr>
      </w:pPr>
    </w:p>
    <w:p w14:paraId="57117333" w14:textId="77777777" w:rsidR="00733A34" w:rsidRDefault="00733A34" w:rsidP="004F67BB">
      <w:pPr>
        <w:pStyle w:val="BodyText2"/>
        <w:jc w:val="center"/>
        <w:rPr>
          <w:noProof w:val="0"/>
          <w:szCs w:val="24"/>
        </w:rPr>
      </w:pPr>
    </w:p>
    <w:p w14:paraId="537D510E" w14:textId="77777777" w:rsidR="00733A34" w:rsidRDefault="00733A34" w:rsidP="004F67BB">
      <w:pPr>
        <w:pStyle w:val="BodyText2"/>
        <w:jc w:val="center"/>
        <w:rPr>
          <w:noProof w:val="0"/>
          <w:szCs w:val="24"/>
        </w:rPr>
      </w:pPr>
    </w:p>
    <w:p w14:paraId="099B64A6" w14:textId="77777777" w:rsidR="00456B23" w:rsidRPr="00F05AEF" w:rsidRDefault="00D25482" w:rsidP="00675652">
      <w:r w:rsidRPr="00F05AEF">
        <w:t>KLASA:</w:t>
      </w:r>
      <w:r w:rsidRPr="00F05AEF">
        <w:tab/>
      </w:r>
    </w:p>
    <w:p w14:paraId="2970F0A0" w14:textId="77777777" w:rsidR="00456B23" w:rsidRPr="00F05AEF" w:rsidRDefault="00D25482" w:rsidP="00675652">
      <w:r w:rsidRPr="00F05AEF">
        <w:t xml:space="preserve">URBROJ: </w:t>
      </w:r>
    </w:p>
    <w:p w14:paraId="6CCBE611" w14:textId="77777777" w:rsidR="00456B23" w:rsidRPr="00F05AEF" w:rsidRDefault="00D25482" w:rsidP="00675652">
      <w:r w:rsidRPr="00F05AEF">
        <w:t>PULA</w:t>
      </w:r>
      <w:r w:rsidR="00A27E25">
        <w:t xml:space="preserve"> - POLA</w:t>
      </w:r>
      <w:r w:rsidRPr="00F05AEF">
        <w:t>,</w:t>
      </w:r>
      <w:r w:rsidRPr="00F05AEF">
        <w:tab/>
        <w:t xml:space="preserve"> </w:t>
      </w:r>
    </w:p>
    <w:p w14:paraId="65460000" w14:textId="77777777" w:rsidR="004F67BB" w:rsidRDefault="004F67BB" w:rsidP="00675652">
      <w:pPr>
        <w:pStyle w:val="BodyText2"/>
        <w:jc w:val="center"/>
        <w:rPr>
          <w:b/>
          <w:noProof w:val="0"/>
          <w:szCs w:val="24"/>
        </w:rPr>
      </w:pPr>
    </w:p>
    <w:p w14:paraId="497AFA82" w14:textId="77777777" w:rsidR="00456B23" w:rsidRPr="00F05AEF" w:rsidRDefault="00D25482" w:rsidP="00675652">
      <w:pPr>
        <w:pStyle w:val="BodyText2"/>
        <w:jc w:val="center"/>
        <w:rPr>
          <w:b/>
          <w:noProof w:val="0"/>
          <w:szCs w:val="24"/>
        </w:rPr>
      </w:pPr>
      <w:r w:rsidRPr="00F05AEF">
        <w:rPr>
          <w:b/>
          <w:noProof w:val="0"/>
          <w:szCs w:val="24"/>
        </w:rPr>
        <w:t xml:space="preserve">GRADSKO VIJEĆE </w:t>
      </w:r>
      <w:r w:rsidRPr="00F05AEF">
        <w:rPr>
          <w:b/>
          <w:noProof w:val="0"/>
          <w:szCs w:val="24"/>
        </w:rPr>
        <w:t>GRADA PUL</w:t>
      </w:r>
      <w:r w:rsidR="00625BA1" w:rsidRPr="00F05AEF">
        <w:rPr>
          <w:b/>
          <w:noProof w:val="0"/>
          <w:szCs w:val="24"/>
        </w:rPr>
        <w:t>A - POLA</w:t>
      </w:r>
    </w:p>
    <w:p w14:paraId="0DE92665" w14:textId="77777777" w:rsidR="00456B23" w:rsidRPr="00F05AEF" w:rsidRDefault="00456B23" w:rsidP="00675652">
      <w:pPr>
        <w:pStyle w:val="BodyText2"/>
        <w:jc w:val="both"/>
        <w:rPr>
          <w:b/>
          <w:noProof w:val="0"/>
          <w:szCs w:val="24"/>
        </w:rPr>
      </w:pPr>
    </w:p>
    <w:p w14:paraId="4472AA03" w14:textId="77777777" w:rsidR="004F67BB" w:rsidRDefault="004F67BB" w:rsidP="00675652">
      <w:pPr>
        <w:pStyle w:val="BodyText2"/>
        <w:ind w:left="3969"/>
        <w:jc w:val="center"/>
        <w:rPr>
          <w:b/>
          <w:noProof w:val="0"/>
          <w:szCs w:val="24"/>
        </w:rPr>
      </w:pPr>
    </w:p>
    <w:p w14:paraId="7DF10D34" w14:textId="77777777" w:rsidR="00456B23" w:rsidRPr="00F05AEF" w:rsidRDefault="00D25482" w:rsidP="00675652">
      <w:pPr>
        <w:pStyle w:val="BodyText2"/>
        <w:ind w:left="3969"/>
        <w:jc w:val="center"/>
        <w:rPr>
          <w:b/>
          <w:noProof w:val="0"/>
          <w:szCs w:val="24"/>
        </w:rPr>
      </w:pPr>
      <w:r w:rsidRPr="00F05AEF">
        <w:rPr>
          <w:b/>
          <w:noProof w:val="0"/>
          <w:szCs w:val="24"/>
        </w:rPr>
        <w:t>PREDSJEDNI</w:t>
      </w:r>
      <w:r w:rsidR="00D56C02" w:rsidRPr="00F05AEF">
        <w:rPr>
          <w:b/>
          <w:noProof w:val="0"/>
          <w:szCs w:val="24"/>
        </w:rPr>
        <w:t>CA</w:t>
      </w:r>
    </w:p>
    <w:p w14:paraId="2394751C" w14:textId="77777777" w:rsidR="00D56C02" w:rsidRPr="00F05AEF" w:rsidRDefault="00D25482" w:rsidP="00675652">
      <w:pPr>
        <w:pStyle w:val="BodyText2"/>
        <w:ind w:left="3969"/>
        <w:jc w:val="center"/>
        <w:rPr>
          <w:b/>
          <w:noProof w:val="0"/>
          <w:szCs w:val="24"/>
        </w:rPr>
      </w:pPr>
      <w:r w:rsidRPr="00F05AEF">
        <w:rPr>
          <w:b/>
          <w:noProof w:val="0"/>
          <w:szCs w:val="24"/>
        </w:rPr>
        <w:t>Marija Marković-Nikolovski</w:t>
      </w:r>
    </w:p>
    <w:p w14:paraId="115D7855" w14:textId="77777777" w:rsidR="00F271C3" w:rsidRPr="00F05AEF" w:rsidRDefault="00F271C3" w:rsidP="00675652">
      <w:pPr>
        <w:rPr>
          <w:rFonts w:ascii="Arial" w:hAnsi="Arial" w:cs="Arial"/>
        </w:rPr>
      </w:pPr>
    </w:p>
    <w:p w14:paraId="49DE2175" w14:textId="77777777" w:rsidR="00B54A9E" w:rsidRPr="00F05AEF" w:rsidRDefault="00B54A9E" w:rsidP="00675652">
      <w:pPr>
        <w:rPr>
          <w:rFonts w:ascii="Arial" w:hAnsi="Arial" w:cs="Arial"/>
        </w:rPr>
      </w:pPr>
    </w:p>
    <w:p w14:paraId="69B65167" w14:textId="77777777" w:rsidR="00B54A9E" w:rsidRPr="00F05AEF" w:rsidRDefault="00B54A9E" w:rsidP="00675652">
      <w:pPr>
        <w:rPr>
          <w:rFonts w:ascii="Arial" w:hAnsi="Arial" w:cs="Arial"/>
        </w:rPr>
      </w:pPr>
    </w:p>
    <w:sectPr w:rsidR="00B54A9E" w:rsidRPr="00F05AEF" w:rsidSect="00733A34">
      <w:headerReference w:type="default" r:id="rId8"/>
      <w:type w:val="continuous"/>
      <w:pgSz w:w="11906" w:h="16838"/>
      <w:pgMar w:top="1418" w:right="1418" w:bottom="709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A3CE0" w14:textId="77777777" w:rsidR="00D25482" w:rsidRDefault="00D25482">
      <w:r>
        <w:separator/>
      </w:r>
    </w:p>
  </w:endnote>
  <w:endnote w:type="continuationSeparator" w:id="0">
    <w:p w14:paraId="07EE83EE" w14:textId="77777777" w:rsidR="00D25482" w:rsidRDefault="00D2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DCB3" w14:textId="77777777" w:rsidR="00D25482" w:rsidRDefault="00D25482">
      <w:r>
        <w:separator/>
      </w:r>
    </w:p>
  </w:footnote>
  <w:footnote w:type="continuationSeparator" w:id="0">
    <w:p w14:paraId="314F929B" w14:textId="77777777" w:rsidR="00D25482" w:rsidRDefault="00D2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9238" w14:textId="77777777" w:rsidR="00AB06F4" w:rsidRDefault="00D25482" w:rsidP="003E4F85">
    <w:pPr>
      <w:pStyle w:val="Header"/>
      <w:jc w:val="right"/>
    </w:pPr>
    <w:r w:rsidRPr="005125F9">
      <w:rPr>
        <w:noProof/>
      </w:rPr>
      <w:drawing>
        <wp:inline distT="0" distB="0" distL="0" distR="0" wp14:anchorId="5E0D24A6" wp14:editId="3943CDEB">
          <wp:extent cx="2219325" cy="457200"/>
          <wp:effectExtent l="19050" t="0" r="0" b="0"/>
          <wp:docPr id="760216723" name="Slika 760216723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216723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E02"/>
    <w:multiLevelType w:val="hybridMultilevel"/>
    <w:tmpl w:val="E230EC3A"/>
    <w:lvl w:ilvl="0" w:tplc="5628D6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78DE55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C3C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26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2CF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C79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4E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60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A3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173C"/>
    <w:multiLevelType w:val="hybridMultilevel"/>
    <w:tmpl w:val="8830FCEC"/>
    <w:lvl w:ilvl="0" w:tplc="D93C9434">
      <w:start w:val="1"/>
      <w:numFmt w:val="lowerLetter"/>
      <w:lvlText w:val="%1)"/>
      <w:lvlJc w:val="left"/>
      <w:pPr>
        <w:ind w:left="720" w:hanging="360"/>
      </w:pPr>
    </w:lvl>
    <w:lvl w:ilvl="1" w:tplc="0656679E" w:tentative="1">
      <w:start w:val="1"/>
      <w:numFmt w:val="lowerLetter"/>
      <w:lvlText w:val="%2."/>
      <w:lvlJc w:val="left"/>
      <w:pPr>
        <w:ind w:left="1440" w:hanging="360"/>
      </w:pPr>
    </w:lvl>
    <w:lvl w:ilvl="2" w:tplc="81482AA6" w:tentative="1">
      <w:start w:val="1"/>
      <w:numFmt w:val="lowerRoman"/>
      <w:lvlText w:val="%3."/>
      <w:lvlJc w:val="right"/>
      <w:pPr>
        <w:ind w:left="2160" w:hanging="180"/>
      </w:pPr>
    </w:lvl>
    <w:lvl w:ilvl="3" w:tplc="915842D0" w:tentative="1">
      <w:start w:val="1"/>
      <w:numFmt w:val="decimal"/>
      <w:lvlText w:val="%4."/>
      <w:lvlJc w:val="left"/>
      <w:pPr>
        <w:ind w:left="2880" w:hanging="360"/>
      </w:pPr>
    </w:lvl>
    <w:lvl w:ilvl="4" w:tplc="B0D095F0" w:tentative="1">
      <w:start w:val="1"/>
      <w:numFmt w:val="lowerLetter"/>
      <w:lvlText w:val="%5."/>
      <w:lvlJc w:val="left"/>
      <w:pPr>
        <w:ind w:left="3600" w:hanging="360"/>
      </w:pPr>
    </w:lvl>
    <w:lvl w:ilvl="5" w:tplc="8DE2A9F6" w:tentative="1">
      <w:start w:val="1"/>
      <w:numFmt w:val="lowerRoman"/>
      <w:lvlText w:val="%6."/>
      <w:lvlJc w:val="right"/>
      <w:pPr>
        <w:ind w:left="4320" w:hanging="180"/>
      </w:pPr>
    </w:lvl>
    <w:lvl w:ilvl="6" w:tplc="C8F61FF2" w:tentative="1">
      <w:start w:val="1"/>
      <w:numFmt w:val="decimal"/>
      <w:lvlText w:val="%7."/>
      <w:lvlJc w:val="left"/>
      <w:pPr>
        <w:ind w:left="5040" w:hanging="360"/>
      </w:pPr>
    </w:lvl>
    <w:lvl w:ilvl="7" w:tplc="D3DC275A" w:tentative="1">
      <w:start w:val="1"/>
      <w:numFmt w:val="lowerLetter"/>
      <w:lvlText w:val="%8."/>
      <w:lvlJc w:val="left"/>
      <w:pPr>
        <w:ind w:left="5760" w:hanging="360"/>
      </w:pPr>
    </w:lvl>
    <w:lvl w:ilvl="8" w:tplc="09F2FE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1C31"/>
    <w:multiLevelType w:val="multilevel"/>
    <w:tmpl w:val="FC448A6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69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1955F3D"/>
    <w:multiLevelType w:val="hybridMultilevel"/>
    <w:tmpl w:val="C708183C"/>
    <w:lvl w:ilvl="0" w:tplc="5EC4F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88F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DE65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E7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AA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B83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AA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AC7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8AD8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B6137"/>
    <w:multiLevelType w:val="hybridMultilevel"/>
    <w:tmpl w:val="95BA6748"/>
    <w:lvl w:ilvl="0" w:tplc="B016D5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3DCF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FEC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84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69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26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6A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41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70B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151E8"/>
    <w:multiLevelType w:val="hybridMultilevel"/>
    <w:tmpl w:val="AB22C480"/>
    <w:lvl w:ilvl="0" w:tplc="DFFC82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2522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4C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C0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873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2A6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8E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480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9AF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74B8B"/>
    <w:multiLevelType w:val="hybridMultilevel"/>
    <w:tmpl w:val="B414E60E"/>
    <w:lvl w:ilvl="0" w:tplc="3866FABE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E1421D6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1458DC5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D9901F7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526CD4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C6850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F3A6B0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A0DA55A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6D0E4A4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596985022">
    <w:abstractNumId w:val="3"/>
  </w:num>
  <w:num w:numId="2" w16cid:durableId="1923173025">
    <w:abstractNumId w:val="1"/>
  </w:num>
  <w:num w:numId="3" w16cid:durableId="1983582328">
    <w:abstractNumId w:val="7"/>
  </w:num>
  <w:num w:numId="4" w16cid:durableId="785659223">
    <w:abstractNumId w:val="5"/>
  </w:num>
  <w:num w:numId="5" w16cid:durableId="1376154796">
    <w:abstractNumId w:val="0"/>
  </w:num>
  <w:num w:numId="6" w16cid:durableId="465928082">
    <w:abstractNumId w:val="6"/>
  </w:num>
  <w:num w:numId="7" w16cid:durableId="1045373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585866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4996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39499D"/>
    <w:rsid w:val="000230B8"/>
    <w:rsid w:val="00043D13"/>
    <w:rsid w:val="00054915"/>
    <w:rsid w:val="00061850"/>
    <w:rsid w:val="00062E0B"/>
    <w:rsid w:val="000638DD"/>
    <w:rsid w:val="00064F52"/>
    <w:rsid w:val="00066F45"/>
    <w:rsid w:val="000751A9"/>
    <w:rsid w:val="00081424"/>
    <w:rsid w:val="00082673"/>
    <w:rsid w:val="000A4087"/>
    <w:rsid w:val="000A61B2"/>
    <w:rsid w:val="000A66D4"/>
    <w:rsid w:val="000C1DE9"/>
    <w:rsid w:val="000C2566"/>
    <w:rsid w:val="000D2651"/>
    <w:rsid w:val="000D5FAD"/>
    <w:rsid w:val="000F24A0"/>
    <w:rsid w:val="00125BE8"/>
    <w:rsid w:val="0012688B"/>
    <w:rsid w:val="001320A1"/>
    <w:rsid w:val="001326ED"/>
    <w:rsid w:val="00137B35"/>
    <w:rsid w:val="0015197C"/>
    <w:rsid w:val="00160454"/>
    <w:rsid w:val="001807F0"/>
    <w:rsid w:val="00191583"/>
    <w:rsid w:val="001A2A31"/>
    <w:rsid w:val="001B1D01"/>
    <w:rsid w:val="001B26C6"/>
    <w:rsid w:val="001B3EE0"/>
    <w:rsid w:val="001B5150"/>
    <w:rsid w:val="001B78C7"/>
    <w:rsid w:val="001C3984"/>
    <w:rsid w:val="001D1833"/>
    <w:rsid w:val="001D7CB1"/>
    <w:rsid w:val="001E6872"/>
    <w:rsid w:val="001E7ACF"/>
    <w:rsid w:val="001F0219"/>
    <w:rsid w:val="0020279C"/>
    <w:rsid w:val="00206181"/>
    <w:rsid w:val="00213C23"/>
    <w:rsid w:val="002269DF"/>
    <w:rsid w:val="002456F4"/>
    <w:rsid w:val="00247EB9"/>
    <w:rsid w:val="0027272C"/>
    <w:rsid w:val="00275729"/>
    <w:rsid w:val="002837F5"/>
    <w:rsid w:val="00287CBC"/>
    <w:rsid w:val="00293117"/>
    <w:rsid w:val="00295429"/>
    <w:rsid w:val="002A378D"/>
    <w:rsid w:val="002D2E2E"/>
    <w:rsid w:val="002D7D52"/>
    <w:rsid w:val="002E7DC1"/>
    <w:rsid w:val="002E7F81"/>
    <w:rsid w:val="00303854"/>
    <w:rsid w:val="0031229D"/>
    <w:rsid w:val="00313BE6"/>
    <w:rsid w:val="0032330A"/>
    <w:rsid w:val="0033108E"/>
    <w:rsid w:val="00335EDD"/>
    <w:rsid w:val="00362265"/>
    <w:rsid w:val="00372E7B"/>
    <w:rsid w:val="003819C0"/>
    <w:rsid w:val="003837B8"/>
    <w:rsid w:val="00384E74"/>
    <w:rsid w:val="0039013F"/>
    <w:rsid w:val="0039116C"/>
    <w:rsid w:val="0039499D"/>
    <w:rsid w:val="003957DA"/>
    <w:rsid w:val="003A20B2"/>
    <w:rsid w:val="003A5F42"/>
    <w:rsid w:val="003A68FD"/>
    <w:rsid w:val="003B425E"/>
    <w:rsid w:val="003E2DF8"/>
    <w:rsid w:val="003E4F85"/>
    <w:rsid w:val="003E79CB"/>
    <w:rsid w:val="003F2EB2"/>
    <w:rsid w:val="0040416F"/>
    <w:rsid w:val="00404715"/>
    <w:rsid w:val="004175F9"/>
    <w:rsid w:val="00421622"/>
    <w:rsid w:val="00425DD2"/>
    <w:rsid w:val="00426EF8"/>
    <w:rsid w:val="00430FDD"/>
    <w:rsid w:val="004458B6"/>
    <w:rsid w:val="00450BA8"/>
    <w:rsid w:val="00456B23"/>
    <w:rsid w:val="00464DDF"/>
    <w:rsid w:val="004673A6"/>
    <w:rsid w:val="00473E0C"/>
    <w:rsid w:val="004758CA"/>
    <w:rsid w:val="00477476"/>
    <w:rsid w:val="00480835"/>
    <w:rsid w:val="0049240B"/>
    <w:rsid w:val="004A26DA"/>
    <w:rsid w:val="004A6B7F"/>
    <w:rsid w:val="004B62BE"/>
    <w:rsid w:val="004B735B"/>
    <w:rsid w:val="004C5D76"/>
    <w:rsid w:val="004E4874"/>
    <w:rsid w:val="004F2BB1"/>
    <w:rsid w:val="004F67BB"/>
    <w:rsid w:val="005006EF"/>
    <w:rsid w:val="00500D68"/>
    <w:rsid w:val="00501F2E"/>
    <w:rsid w:val="00503850"/>
    <w:rsid w:val="00506686"/>
    <w:rsid w:val="005125F9"/>
    <w:rsid w:val="00515354"/>
    <w:rsid w:val="00520467"/>
    <w:rsid w:val="00520DEC"/>
    <w:rsid w:val="00536F7B"/>
    <w:rsid w:val="005404F9"/>
    <w:rsid w:val="005437D4"/>
    <w:rsid w:val="005438FB"/>
    <w:rsid w:val="0054470E"/>
    <w:rsid w:val="00547F83"/>
    <w:rsid w:val="005660BF"/>
    <w:rsid w:val="00572D12"/>
    <w:rsid w:val="0057667A"/>
    <w:rsid w:val="0057726C"/>
    <w:rsid w:val="00583598"/>
    <w:rsid w:val="00585F07"/>
    <w:rsid w:val="0059253A"/>
    <w:rsid w:val="005943D0"/>
    <w:rsid w:val="00597645"/>
    <w:rsid w:val="005B0C16"/>
    <w:rsid w:val="005B7BB3"/>
    <w:rsid w:val="005C4DD3"/>
    <w:rsid w:val="005E5EA9"/>
    <w:rsid w:val="005F345C"/>
    <w:rsid w:val="005F4A1A"/>
    <w:rsid w:val="005F5652"/>
    <w:rsid w:val="00602CF7"/>
    <w:rsid w:val="00607586"/>
    <w:rsid w:val="00610457"/>
    <w:rsid w:val="00611255"/>
    <w:rsid w:val="00625BA1"/>
    <w:rsid w:val="00636101"/>
    <w:rsid w:val="00656554"/>
    <w:rsid w:val="00671884"/>
    <w:rsid w:val="00675652"/>
    <w:rsid w:val="00680B69"/>
    <w:rsid w:val="00681AA7"/>
    <w:rsid w:val="006938CC"/>
    <w:rsid w:val="00696651"/>
    <w:rsid w:val="006C6399"/>
    <w:rsid w:val="006C75BE"/>
    <w:rsid w:val="006E2697"/>
    <w:rsid w:val="006E7012"/>
    <w:rsid w:val="006F22F5"/>
    <w:rsid w:val="006F3065"/>
    <w:rsid w:val="006F6F37"/>
    <w:rsid w:val="00704DBE"/>
    <w:rsid w:val="00706BE5"/>
    <w:rsid w:val="007135CA"/>
    <w:rsid w:val="0071495E"/>
    <w:rsid w:val="00716BE5"/>
    <w:rsid w:val="007231E2"/>
    <w:rsid w:val="00733A34"/>
    <w:rsid w:val="00733CB5"/>
    <w:rsid w:val="007422EE"/>
    <w:rsid w:val="0074402D"/>
    <w:rsid w:val="007447C2"/>
    <w:rsid w:val="007520B4"/>
    <w:rsid w:val="00753759"/>
    <w:rsid w:val="00760B22"/>
    <w:rsid w:val="007627E4"/>
    <w:rsid w:val="00763A1C"/>
    <w:rsid w:val="00764998"/>
    <w:rsid w:val="00766CE9"/>
    <w:rsid w:val="007735CD"/>
    <w:rsid w:val="0077526B"/>
    <w:rsid w:val="00786699"/>
    <w:rsid w:val="00786ECD"/>
    <w:rsid w:val="0079387C"/>
    <w:rsid w:val="007945E7"/>
    <w:rsid w:val="0079563E"/>
    <w:rsid w:val="007A44BB"/>
    <w:rsid w:val="007A53AC"/>
    <w:rsid w:val="007A77F3"/>
    <w:rsid w:val="007B7CBF"/>
    <w:rsid w:val="007D0E1F"/>
    <w:rsid w:val="007D5E07"/>
    <w:rsid w:val="007E60B3"/>
    <w:rsid w:val="007F3195"/>
    <w:rsid w:val="007F3DF3"/>
    <w:rsid w:val="007F7B07"/>
    <w:rsid w:val="00802CFE"/>
    <w:rsid w:val="00805914"/>
    <w:rsid w:val="00821C84"/>
    <w:rsid w:val="00825A70"/>
    <w:rsid w:val="008409E4"/>
    <w:rsid w:val="00841B15"/>
    <w:rsid w:val="00851E5A"/>
    <w:rsid w:val="00852480"/>
    <w:rsid w:val="00855F3F"/>
    <w:rsid w:val="008574AD"/>
    <w:rsid w:val="00864A6B"/>
    <w:rsid w:val="008733AB"/>
    <w:rsid w:val="00873450"/>
    <w:rsid w:val="008747AD"/>
    <w:rsid w:val="00882A7C"/>
    <w:rsid w:val="00886796"/>
    <w:rsid w:val="00892649"/>
    <w:rsid w:val="0089506A"/>
    <w:rsid w:val="008952FD"/>
    <w:rsid w:val="008A0EA5"/>
    <w:rsid w:val="008A1DFA"/>
    <w:rsid w:val="008A4E62"/>
    <w:rsid w:val="008A7B59"/>
    <w:rsid w:val="008B2BD4"/>
    <w:rsid w:val="008B6DAE"/>
    <w:rsid w:val="008C6CBD"/>
    <w:rsid w:val="008E6E82"/>
    <w:rsid w:val="008E7362"/>
    <w:rsid w:val="008F1CCD"/>
    <w:rsid w:val="00902ADE"/>
    <w:rsid w:val="00915109"/>
    <w:rsid w:val="009212A9"/>
    <w:rsid w:val="009235E7"/>
    <w:rsid w:val="00927728"/>
    <w:rsid w:val="0093313F"/>
    <w:rsid w:val="00934086"/>
    <w:rsid w:val="0094175B"/>
    <w:rsid w:val="00952094"/>
    <w:rsid w:val="00952F23"/>
    <w:rsid w:val="009664BA"/>
    <w:rsid w:val="009711D2"/>
    <w:rsid w:val="009746B6"/>
    <w:rsid w:val="00975BD4"/>
    <w:rsid w:val="00977F19"/>
    <w:rsid w:val="00986AB9"/>
    <w:rsid w:val="00993E21"/>
    <w:rsid w:val="009B4801"/>
    <w:rsid w:val="009B7620"/>
    <w:rsid w:val="009C02F9"/>
    <w:rsid w:val="009C0587"/>
    <w:rsid w:val="009D0DA8"/>
    <w:rsid w:val="009D6D44"/>
    <w:rsid w:val="009F203B"/>
    <w:rsid w:val="009F7C25"/>
    <w:rsid w:val="009F7CFB"/>
    <w:rsid w:val="00A02401"/>
    <w:rsid w:val="00A03390"/>
    <w:rsid w:val="00A03B15"/>
    <w:rsid w:val="00A05226"/>
    <w:rsid w:val="00A071CD"/>
    <w:rsid w:val="00A0756E"/>
    <w:rsid w:val="00A14BE2"/>
    <w:rsid w:val="00A24A83"/>
    <w:rsid w:val="00A27E25"/>
    <w:rsid w:val="00A3202E"/>
    <w:rsid w:val="00A41A8C"/>
    <w:rsid w:val="00A5126B"/>
    <w:rsid w:val="00A715F0"/>
    <w:rsid w:val="00A72516"/>
    <w:rsid w:val="00A76E35"/>
    <w:rsid w:val="00A92D59"/>
    <w:rsid w:val="00A9458D"/>
    <w:rsid w:val="00AB06F4"/>
    <w:rsid w:val="00AB2227"/>
    <w:rsid w:val="00AB433B"/>
    <w:rsid w:val="00AC23A8"/>
    <w:rsid w:val="00AC56F9"/>
    <w:rsid w:val="00AD3542"/>
    <w:rsid w:val="00AE7F8B"/>
    <w:rsid w:val="00AF351B"/>
    <w:rsid w:val="00B059CC"/>
    <w:rsid w:val="00B3526E"/>
    <w:rsid w:val="00B411D9"/>
    <w:rsid w:val="00B436D7"/>
    <w:rsid w:val="00B50CA6"/>
    <w:rsid w:val="00B5350B"/>
    <w:rsid w:val="00B54A9E"/>
    <w:rsid w:val="00B619A7"/>
    <w:rsid w:val="00B73DC8"/>
    <w:rsid w:val="00B76243"/>
    <w:rsid w:val="00B853C4"/>
    <w:rsid w:val="00B965E7"/>
    <w:rsid w:val="00B972CA"/>
    <w:rsid w:val="00BA1024"/>
    <w:rsid w:val="00BA5333"/>
    <w:rsid w:val="00BA60D0"/>
    <w:rsid w:val="00BA6507"/>
    <w:rsid w:val="00BB273D"/>
    <w:rsid w:val="00BC3F86"/>
    <w:rsid w:val="00BC477D"/>
    <w:rsid w:val="00BE181E"/>
    <w:rsid w:val="00BF2DC7"/>
    <w:rsid w:val="00C1752F"/>
    <w:rsid w:val="00C2234F"/>
    <w:rsid w:val="00C41584"/>
    <w:rsid w:val="00C60AFF"/>
    <w:rsid w:val="00C6256C"/>
    <w:rsid w:val="00C67128"/>
    <w:rsid w:val="00C7134B"/>
    <w:rsid w:val="00C9722C"/>
    <w:rsid w:val="00CA10E3"/>
    <w:rsid w:val="00CA592A"/>
    <w:rsid w:val="00CC425F"/>
    <w:rsid w:val="00CD25C3"/>
    <w:rsid w:val="00CD6AF0"/>
    <w:rsid w:val="00CE3915"/>
    <w:rsid w:val="00CE49D3"/>
    <w:rsid w:val="00CF06CA"/>
    <w:rsid w:val="00CF3351"/>
    <w:rsid w:val="00CF65F0"/>
    <w:rsid w:val="00D04614"/>
    <w:rsid w:val="00D200F0"/>
    <w:rsid w:val="00D23D61"/>
    <w:rsid w:val="00D25482"/>
    <w:rsid w:val="00D27C7D"/>
    <w:rsid w:val="00D310F5"/>
    <w:rsid w:val="00D31E0C"/>
    <w:rsid w:val="00D56298"/>
    <w:rsid w:val="00D56C02"/>
    <w:rsid w:val="00D6264A"/>
    <w:rsid w:val="00D72321"/>
    <w:rsid w:val="00D90367"/>
    <w:rsid w:val="00D924F6"/>
    <w:rsid w:val="00D9580D"/>
    <w:rsid w:val="00DB18E4"/>
    <w:rsid w:val="00DC4BA0"/>
    <w:rsid w:val="00DD6306"/>
    <w:rsid w:val="00DE3F10"/>
    <w:rsid w:val="00E10C5E"/>
    <w:rsid w:val="00E116E8"/>
    <w:rsid w:val="00E12420"/>
    <w:rsid w:val="00E17708"/>
    <w:rsid w:val="00E2052E"/>
    <w:rsid w:val="00E35CE5"/>
    <w:rsid w:val="00E42C6A"/>
    <w:rsid w:val="00E540BB"/>
    <w:rsid w:val="00E54FE3"/>
    <w:rsid w:val="00E64603"/>
    <w:rsid w:val="00E714C4"/>
    <w:rsid w:val="00E80155"/>
    <w:rsid w:val="00EB2AD3"/>
    <w:rsid w:val="00EB46A3"/>
    <w:rsid w:val="00EC351B"/>
    <w:rsid w:val="00EC5D66"/>
    <w:rsid w:val="00EC7652"/>
    <w:rsid w:val="00EC7CEC"/>
    <w:rsid w:val="00ED1A79"/>
    <w:rsid w:val="00ED2BB8"/>
    <w:rsid w:val="00ED4D5A"/>
    <w:rsid w:val="00ED50EE"/>
    <w:rsid w:val="00EE20DD"/>
    <w:rsid w:val="00EF1946"/>
    <w:rsid w:val="00EF2E21"/>
    <w:rsid w:val="00F05AEF"/>
    <w:rsid w:val="00F11F8E"/>
    <w:rsid w:val="00F23833"/>
    <w:rsid w:val="00F271C3"/>
    <w:rsid w:val="00F37B0F"/>
    <w:rsid w:val="00F44EA8"/>
    <w:rsid w:val="00F50C10"/>
    <w:rsid w:val="00F54796"/>
    <w:rsid w:val="00F63CB5"/>
    <w:rsid w:val="00F65122"/>
    <w:rsid w:val="00F6683F"/>
    <w:rsid w:val="00F66DA1"/>
    <w:rsid w:val="00F7093D"/>
    <w:rsid w:val="00F71EEB"/>
    <w:rsid w:val="00F76A2A"/>
    <w:rsid w:val="00F85E21"/>
    <w:rsid w:val="00F924A6"/>
    <w:rsid w:val="00FA2997"/>
    <w:rsid w:val="00FC13B1"/>
    <w:rsid w:val="00F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A7B41"/>
  <w15:docId w15:val="{283A142E-4D56-4518-B59F-74D2C3F1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B1D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6B23"/>
    <w:pPr>
      <w:keepNext/>
      <w:ind w:firstLine="720"/>
      <w:outlineLvl w:val="0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456B23"/>
    <w:pPr>
      <w:keepNext/>
      <w:ind w:firstLine="720"/>
      <w:jc w:val="both"/>
      <w:outlineLvl w:val="3"/>
    </w:pPr>
    <w:rPr>
      <w:i/>
      <w:noProof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6B23"/>
    <w:pPr>
      <w:keepNext/>
      <w:ind w:firstLine="720"/>
      <w:outlineLvl w:val="4"/>
    </w:pPr>
    <w:rPr>
      <w:i/>
      <w:szCs w:val="20"/>
    </w:rPr>
  </w:style>
  <w:style w:type="paragraph" w:styleId="Heading6">
    <w:name w:val="heading 6"/>
    <w:basedOn w:val="Normal"/>
    <w:next w:val="Normal"/>
    <w:link w:val="Heading6Char"/>
    <w:qFormat/>
    <w:rsid w:val="00456B23"/>
    <w:pPr>
      <w:keepNext/>
      <w:ind w:firstLine="720"/>
      <w:jc w:val="both"/>
      <w:outlineLvl w:val="5"/>
    </w:pPr>
    <w:rPr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4F8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F85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3E4F8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F85"/>
    <w:rPr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456B23"/>
    <w:rPr>
      <w:sz w:val="24"/>
    </w:rPr>
  </w:style>
  <w:style w:type="character" w:customStyle="1" w:styleId="Heading4Char">
    <w:name w:val="Heading 4 Char"/>
    <w:basedOn w:val="DefaultParagraphFont"/>
    <w:link w:val="Heading4"/>
    <w:rsid w:val="00456B23"/>
    <w:rPr>
      <w:i/>
      <w:noProof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456B23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56B23"/>
    <w:rPr>
      <w:b/>
      <w:noProof/>
      <w:sz w:val="24"/>
    </w:rPr>
  </w:style>
  <w:style w:type="paragraph" w:styleId="BodyTextIndent">
    <w:name w:val="Body Text Indent"/>
    <w:basedOn w:val="Normal"/>
    <w:link w:val="BodyTextIndentChar"/>
    <w:semiHidden/>
    <w:rsid w:val="00456B23"/>
    <w:pPr>
      <w:ind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56B23"/>
    <w:rPr>
      <w:sz w:val="24"/>
    </w:rPr>
  </w:style>
  <w:style w:type="paragraph" w:styleId="BodyText">
    <w:name w:val="Body Text"/>
    <w:basedOn w:val="Normal"/>
    <w:link w:val="BodyTextChar"/>
    <w:semiHidden/>
    <w:rsid w:val="00456B23"/>
    <w:pPr>
      <w:jc w:val="both"/>
    </w:pPr>
    <w:rPr>
      <w:noProof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56B23"/>
    <w:rPr>
      <w:noProof/>
      <w:sz w:val="24"/>
    </w:rPr>
  </w:style>
  <w:style w:type="paragraph" w:styleId="BodyText2">
    <w:name w:val="Body Text 2"/>
    <w:basedOn w:val="Normal"/>
    <w:link w:val="BodyText2Char"/>
    <w:semiHidden/>
    <w:rsid w:val="00456B23"/>
    <w:rPr>
      <w:noProof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56B23"/>
    <w:rPr>
      <w:noProof/>
      <w:sz w:val="24"/>
    </w:rPr>
  </w:style>
  <w:style w:type="paragraph" w:customStyle="1" w:styleId="t-9-8">
    <w:name w:val="t-9-8"/>
    <w:basedOn w:val="Normal"/>
    <w:rsid w:val="00456B23"/>
    <w:pPr>
      <w:spacing w:before="100" w:beforeAutospacing="1" w:after="100" w:afterAutospacing="1"/>
    </w:pPr>
    <w:rPr>
      <w:noProof/>
    </w:rPr>
  </w:style>
  <w:style w:type="paragraph" w:styleId="CommentText">
    <w:name w:val="annotation text"/>
    <w:basedOn w:val="Normal"/>
    <w:link w:val="CommentTextChar"/>
    <w:uiPriority w:val="99"/>
    <w:unhideWhenUsed/>
    <w:rsid w:val="00456B23"/>
    <w:rPr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B23"/>
    <w:rPr>
      <w:noProof/>
    </w:rPr>
  </w:style>
  <w:style w:type="paragraph" w:styleId="ListParagraph">
    <w:name w:val="List Paragraph"/>
    <w:basedOn w:val="Normal"/>
    <w:uiPriority w:val="34"/>
    <w:qFormat/>
    <w:rsid w:val="00456B23"/>
    <w:pPr>
      <w:ind w:left="720"/>
      <w:contextualSpacing/>
    </w:pPr>
    <w:rPr>
      <w:noProof/>
      <w:sz w:val="20"/>
      <w:szCs w:val="20"/>
    </w:rPr>
  </w:style>
  <w:style w:type="paragraph" w:customStyle="1" w:styleId="Default">
    <w:name w:val="Default"/>
    <w:rsid w:val="00456B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Odlomakpopisa1">
    <w:name w:val="Odlomak popisa1"/>
    <w:basedOn w:val="Normal"/>
    <w:uiPriority w:val="99"/>
    <w:rsid w:val="00456B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CE9"/>
    <w:rPr>
      <w:rFonts w:ascii="Tahoma" w:hAnsi="Tahoma" w:cs="Tahoma"/>
      <w:sz w:val="16"/>
      <w:szCs w:val="16"/>
    </w:rPr>
  </w:style>
  <w:style w:type="paragraph" w:customStyle="1" w:styleId="box454091">
    <w:name w:val="box_454091"/>
    <w:basedOn w:val="Normal"/>
    <w:rsid w:val="004175F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72D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2D12"/>
    <w:pPr>
      <w:spacing w:before="100" w:beforeAutospacing="1" w:after="100" w:afterAutospacing="1"/>
    </w:pPr>
  </w:style>
  <w:style w:type="character" w:customStyle="1" w:styleId="pt-zadanifontodlomka-000004">
    <w:name w:val="pt-zadanifontodlomka-000004"/>
    <w:basedOn w:val="DefaultParagraphFont"/>
    <w:rsid w:val="00B54A9E"/>
  </w:style>
  <w:style w:type="paragraph" w:styleId="NoSpacing">
    <w:name w:val="No Spacing"/>
    <w:uiPriority w:val="1"/>
    <w:qFormat/>
    <w:rsid w:val="001E687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0E208-F754-4BC2-90D8-D1FF7D03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1580</Words>
  <Characters>9606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46</vt:lpstr>
      <vt:lpstr>Temeljem članka 46</vt:lpstr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46</dc:title>
  <dc:creator>Korisnik</dc:creator>
  <cp:lastModifiedBy>Licardo Sandra</cp:lastModifiedBy>
  <cp:revision>2</cp:revision>
  <cp:lastPrinted>2023-10-18T11:54:00Z</cp:lastPrinted>
  <dcterms:created xsi:type="dcterms:W3CDTF">2023-10-18T13:01:00Z</dcterms:created>
  <dcterms:modified xsi:type="dcterms:W3CDTF">2023-10-18T13:01:00Z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ActivateWM">
    <vt:lpwstr>ka_Yes</vt:lpwstr>
  </property>
  <property fmtid="{D5CDD505-2E9C-101B-9397-08002B2CF9AE}" pid="3" name="SW_AddinName">
    <vt:lpwstr>SWINGINTEGRATOR.5.23.000.DOT</vt:lpwstr>
  </property>
  <property fmtid="{D5CDD505-2E9C-101B-9397-08002B2CF9AE}" pid="4" name="Sw_CsDo">
    <vt:lpwstr>Urbroj</vt:lpwstr>
  </property>
  <property fmtid="{D5CDD505-2E9C-101B-9397-08002B2CF9AE}" pid="5" name="Sw_CsDoVal">
    <vt:lpwstr>2168/01-01-02-02-0267-13-4</vt:lpwstr>
  </property>
  <property fmtid="{D5CDD505-2E9C-101B-9397-08002B2CF9AE}" pid="6" name="SW_CustomTitle">
    <vt:lpwstr>SWING Integrator 5 Document</vt:lpwstr>
  </property>
  <property fmtid="{D5CDD505-2E9C-101B-9397-08002B2CF9AE}" pid="7" name="SW_DialogTitle">
    <vt:lpwstr>SWING Integrator for Notes and Office</vt:lpwstr>
  </property>
  <property fmtid="{D5CDD505-2E9C-101B-9397-08002B2CF9AE}" pid="8" name="SW_DocHWND">
    <vt:r8>1115074</vt:r8>
  </property>
  <property fmtid="{D5CDD505-2E9C-101B-9397-08002B2CF9AE}" pid="9" name="SW_DocSaved">
    <vt:lpwstr>Yes</vt:lpwstr>
  </property>
  <property fmtid="{D5CDD505-2E9C-101B-9397-08002B2CF9AE}" pid="10" name="SW_DocumentDB">
    <vt:lpwstr>SWING\spmplus_pula.nsf</vt:lpwstr>
  </property>
  <property fmtid="{D5CDD505-2E9C-101B-9397-08002B2CF9AE}" pid="11" name="SW_DocumentServer">
    <vt:lpwstr>CN=Domino-SPM/O=GradPula</vt:lpwstr>
  </property>
  <property fmtid="{D5CDD505-2E9C-101B-9397-08002B2CF9AE}" pid="12" name="SW_DocUNID">
    <vt:lpwstr/>
  </property>
  <property fmtid="{D5CDD505-2E9C-101B-9397-08002B2CF9AE}" pid="13" name="SW_EnabledVBAMacroMenuItems">
    <vt:r8>127</vt:r8>
  </property>
  <property fmtid="{D5CDD505-2E9C-101B-9397-08002B2CF9AE}" pid="14" name="SW_IntOfficeMacros">
    <vt:lpwstr>Enabled</vt:lpwstr>
  </property>
  <property fmtid="{D5CDD505-2E9C-101B-9397-08002B2CF9AE}" pid="15" name="SW_NewDocument">
    <vt:lpwstr/>
  </property>
  <property fmtid="{D5CDD505-2E9C-101B-9397-08002B2CF9AE}" pid="16" name="SW_NotesContext">
    <vt:lpwstr/>
  </property>
  <property fmtid="{D5CDD505-2E9C-101B-9397-08002B2CF9AE}" pid="17" name="Sw_PrintDlg">
    <vt:lpwstr/>
  </property>
  <property fmtid="{D5CDD505-2E9C-101B-9397-08002B2CF9AE}" pid="18" name="SW_PromptText">
    <vt:lpwstr>Do you want to save?</vt:lpwstr>
  </property>
  <property fmtid="{D5CDD505-2E9C-101B-9397-08002B2CF9AE}" pid="19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20" name="SW_SaveCloseOfficeText">
    <vt:lpwstr>Save and Close Office document</vt:lpwstr>
  </property>
  <property fmtid="{D5CDD505-2E9C-101B-9397-08002B2CF9AE}" pid="21" name="SW_SaveCloseText">
    <vt:lpwstr>Save and Close Notes document</vt:lpwstr>
  </property>
  <property fmtid="{D5CDD505-2E9C-101B-9397-08002B2CF9AE}" pid="22" name="SW_SaveText">
    <vt:lpwstr>Save to Notes</vt:lpwstr>
  </property>
  <property fmtid="{D5CDD505-2E9C-101B-9397-08002B2CF9AE}" pid="23" name="SW_ShowContentLibMenus">
    <vt:bool>true</vt:bool>
  </property>
  <property fmtid="{D5CDD505-2E9C-101B-9397-08002B2CF9AE}" pid="24" name="Sw_Status">
    <vt:lpwstr>ka_Zakljuceno</vt:lpwstr>
  </property>
  <property fmtid="{D5CDD505-2E9C-101B-9397-08002B2CF9AE}" pid="25" name="Sw_TC">
    <vt:lpwstr/>
  </property>
  <property fmtid="{D5CDD505-2E9C-101B-9397-08002B2CF9AE}" pid="26" name="SW_TemplateDB">
    <vt:lpwstr/>
  </property>
  <property fmtid="{D5CDD505-2E9C-101B-9397-08002B2CF9AE}" pid="27" name="SW_TemplateServer">
    <vt:lpwstr/>
  </property>
  <property fmtid="{D5CDD505-2E9C-101B-9397-08002B2CF9AE}" pid="28" name="SW_VisibleVBAMacroMenuItems">
    <vt:r8>127</vt:r8>
  </property>
</Properties>
</file>