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B1" w:rsidRPr="003421F1" w:rsidRDefault="008049B1" w:rsidP="007B5A3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EB4" w:rsidRPr="003421F1" w:rsidRDefault="00C76EB4" w:rsidP="007B5A3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F1">
        <w:rPr>
          <w:rFonts w:ascii="Times New Roman" w:hAnsi="Times New Roman"/>
          <w:b/>
          <w:bCs/>
          <w:sz w:val="24"/>
          <w:szCs w:val="24"/>
        </w:rPr>
        <w:t>O B R A Z L O Ž E N J E</w:t>
      </w:r>
    </w:p>
    <w:p w:rsidR="00C76EB4" w:rsidRPr="003421F1" w:rsidRDefault="00C76EB4" w:rsidP="007B5A3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1DD" w:rsidRPr="003421F1" w:rsidRDefault="00DB5531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F1">
        <w:rPr>
          <w:rFonts w:ascii="Times New Roman" w:hAnsi="Times New Roman"/>
          <w:b/>
          <w:sz w:val="24"/>
          <w:szCs w:val="24"/>
        </w:rPr>
        <w:t>PRAVNI TEMELJ ZA DONOŠENJE AKTA</w:t>
      </w:r>
    </w:p>
    <w:p w:rsidR="00C76EB4" w:rsidRPr="007B5A30" w:rsidRDefault="007B5A30" w:rsidP="007B5A3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5A30">
        <w:rPr>
          <w:rFonts w:ascii="Times New Roman" w:hAnsi="Times New Roman"/>
          <w:sz w:val="24"/>
          <w:szCs w:val="24"/>
        </w:rPr>
        <w:t>Članak 39. Statuta Grada Pule - Pola („Službene novine Grada Pule“ br. 07/09, 16/09, 12/11, 01/13, 02/18, 02/20, 04/21 i 05/21) u vezi s člankom 165. i člankom 167. Zakona o prostornom uređenju („Narodne novine“ br. 153/13, 65/17, 114/18, 39/19 i 98/19) te člankom 75. Zakona o komunalnom gospodarstvu („Narodne novine“ br. 68/18, 110/18, 32/20)</w:t>
      </w:r>
      <w:r>
        <w:rPr>
          <w:rFonts w:ascii="Times New Roman" w:hAnsi="Times New Roman"/>
          <w:sz w:val="24"/>
          <w:szCs w:val="24"/>
        </w:rPr>
        <w:t xml:space="preserve"> čine pravni temelj za donošenje ovog akta.</w:t>
      </w:r>
    </w:p>
    <w:p w:rsidR="00C76EB4" w:rsidRPr="003421F1" w:rsidRDefault="00C76EB4" w:rsidP="007B5A3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6EB4" w:rsidRPr="003421F1" w:rsidRDefault="00C76EB4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F1">
        <w:rPr>
          <w:rFonts w:ascii="Times New Roman" w:hAnsi="Times New Roman"/>
          <w:b/>
          <w:sz w:val="24"/>
          <w:szCs w:val="24"/>
        </w:rPr>
        <w:t>OSNOVN</w:t>
      </w:r>
      <w:r w:rsidR="00DB5531" w:rsidRPr="003421F1">
        <w:rPr>
          <w:rFonts w:ascii="Times New Roman" w:hAnsi="Times New Roman"/>
          <w:b/>
          <w:sz w:val="24"/>
          <w:szCs w:val="24"/>
        </w:rPr>
        <w:t>A PITANJA KOJA SE UREĐUJU AKTOM</w:t>
      </w:r>
    </w:p>
    <w:p w:rsidR="00DB5531" w:rsidRPr="007B5A30" w:rsidRDefault="007B5A30" w:rsidP="007B5A3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6EB4" w:rsidRPr="003421F1">
        <w:rPr>
          <w:rFonts w:ascii="Times New Roman" w:hAnsi="Times New Roman"/>
          <w:sz w:val="24"/>
          <w:szCs w:val="24"/>
        </w:rPr>
        <w:t xml:space="preserve">Predlaže se donošenje </w:t>
      </w:r>
      <w:r w:rsidRPr="007B5A30">
        <w:rPr>
          <w:rFonts w:ascii="Times New Roman" w:hAnsi="Times New Roman"/>
          <w:sz w:val="24"/>
        </w:rPr>
        <w:t xml:space="preserve">Odluke </w:t>
      </w:r>
      <w:r w:rsidRPr="000E0702">
        <w:rPr>
          <w:rFonts w:ascii="Times New Roman" w:hAnsi="Times New Roman"/>
          <w:sz w:val="24"/>
        </w:rPr>
        <w:t>o načinu ugovaranja uređenja građevinskog zemljišta gradnjom ili financiranjem troškova gradnje komunalne infrastrukture</w:t>
      </w:r>
      <w:r w:rsidR="00DB5531" w:rsidRPr="003421F1">
        <w:rPr>
          <w:rFonts w:ascii="Times New Roman" w:hAnsi="Times New Roman"/>
          <w:sz w:val="24"/>
          <w:szCs w:val="24"/>
        </w:rPr>
        <w:t xml:space="preserve"> </w:t>
      </w:r>
      <w:r w:rsidR="00C76EB4" w:rsidRPr="003421F1">
        <w:rPr>
          <w:rFonts w:ascii="Times New Roman" w:hAnsi="Times New Roman"/>
          <w:sz w:val="24"/>
          <w:szCs w:val="24"/>
        </w:rPr>
        <w:t xml:space="preserve">kojom se </w:t>
      </w:r>
      <w:r w:rsidR="001A2265">
        <w:rPr>
          <w:rFonts w:ascii="Times New Roman" w:hAnsi="Times New Roman"/>
          <w:sz w:val="24"/>
          <w:szCs w:val="24"/>
        </w:rPr>
        <w:t xml:space="preserve">uređuju osnovni pojmovi uređenja građevinskog zemljišta, uvjeti, </w:t>
      </w:r>
      <w:r w:rsidR="001A2265" w:rsidRPr="00BD5CED">
        <w:rPr>
          <w:rFonts w:ascii="Times New Roman" w:hAnsi="Times New Roman"/>
          <w:sz w:val="24"/>
          <w:szCs w:val="24"/>
        </w:rPr>
        <w:t>postupak</w:t>
      </w:r>
      <w:r w:rsidR="001A2265">
        <w:rPr>
          <w:rFonts w:ascii="Times New Roman" w:hAnsi="Times New Roman"/>
          <w:sz w:val="24"/>
          <w:szCs w:val="24"/>
        </w:rPr>
        <w:t xml:space="preserve"> i način </w:t>
      </w:r>
      <w:r w:rsidR="001A2265" w:rsidRPr="00BD5CED">
        <w:rPr>
          <w:rFonts w:ascii="Times New Roman" w:hAnsi="Times New Roman"/>
          <w:sz w:val="24"/>
          <w:szCs w:val="24"/>
        </w:rPr>
        <w:t>zasnivanj</w:t>
      </w:r>
      <w:r w:rsidR="001A2265">
        <w:rPr>
          <w:rFonts w:ascii="Times New Roman" w:hAnsi="Times New Roman"/>
          <w:sz w:val="24"/>
          <w:szCs w:val="24"/>
        </w:rPr>
        <w:t>a ugovornog odnosa između Grada Pule-Pola i Investitora komunalne infrastrukture, odnosno Osiguravatelja sredstava čijem zemljištu ili građevini služi komunalna infrastruktura te njihova međusobna prava i obveze.</w:t>
      </w:r>
    </w:p>
    <w:p w:rsidR="00C76EB4" w:rsidRPr="003421F1" w:rsidRDefault="00C76EB4" w:rsidP="007B5A30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6EB4" w:rsidRPr="003421F1" w:rsidRDefault="00C76EB4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F1">
        <w:rPr>
          <w:rFonts w:ascii="Times New Roman" w:hAnsi="Times New Roman"/>
          <w:b/>
          <w:sz w:val="24"/>
          <w:szCs w:val="24"/>
        </w:rPr>
        <w:t>PRIK</w:t>
      </w:r>
      <w:r w:rsidR="00DB5531" w:rsidRPr="003421F1">
        <w:rPr>
          <w:rFonts w:ascii="Times New Roman" w:hAnsi="Times New Roman"/>
          <w:b/>
          <w:sz w:val="24"/>
          <w:szCs w:val="24"/>
        </w:rPr>
        <w:t>AZ STANJA KOJA SE UREĐUJU AKTOM</w:t>
      </w:r>
    </w:p>
    <w:p w:rsidR="003A7760" w:rsidRDefault="001A2265" w:rsidP="00A50EB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Zakonom</w:t>
      </w:r>
      <w:r w:rsidRPr="007B5A30">
        <w:rPr>
          <w:rFonts w:ascii="Times New Roman" w:hAnsi="Times New Roman"/>
          <w:sz w:val="24"/>
          <w:szCs w:val="24"/>
        </w:rPr>
        <w:t xml:space="preserve"> o prostornom uređenju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A30">
        <w:rPr>
          <w:rFonts w:ascii="Times New Roman" w:hAnsi="Times New Roman"/>
          <w:sz w:val="24"/>
          <w:szCs w:val="24"/>
        </w:rPr>
        <w:t>(„Narodne novine“ br. 153/13, 65/17, 114/18, 39/19 i 98/19)</w:t>
      </w:r>
      <w:r>
        <w:rPr>
          <w:rFonts w:ascii="Times New Roman" w:hAnsi="Times New Roman"/>
          <w:sz w:val="24"/>
          <w:szCs w:val="24"/>
        </w:rPr>
        <w:t xml:space="preserve"> omogućeno je ugovorno sudjelovanje </w:t>
      </w:r>
      <w:r w:rsidR="003A7760">
        <w:rPr>
          <w:rFonts w:ascii="Times New Roman" w:hAnsi="Times New Roman"/>
          <w:sz w:val="24"/>
          <w:szCs w:val="24"/>
        </w:rPr>
        <w:t>drugih</w:t>
      </w:r>
      <w:r>
        <w:rPr>
          <w:rFonts w:ascii="Times New Roman" w:hAnsi="Times New Roman"/>
          <w:sz w:val="24"/>
          <w:szCs w:val="24"/>
        </w:rPr>
        <w:t xml:space="preserve"> osoba</w:t>
      </w:r>
      <w:r w:rsidR="003A7760">
        <w:rPr>
          <w:rFonts w:ascii="Times New Roman" w:hAnsi="Times New Roman"/>
          <w:sz w:val="24"/>
          <w:szCs w:val="24"/>
        </w:rPr>
        <w:t>, osim jedinica lokalne samouprave ili trgovačkih društava koja obavljaju odgovarajuću komunalnu djelatnost,</w:t>
      </w:r>
      <w:r>
        <w:rPr>
          <w:rFonts w:ascii="Times New Roman" w:hAnsi="Times New Roman"/>
          <w:sz w:val="24"/>
          <w:szCs w:val="24"/>
        </w:rPr>
        <w:t xml:space="preserve"> u gradnji komunalne infrastrukture zaključenjem ugovora o gradnji komunalne infrastrukture (članak 165) odnosno zaključenjem ugovora o financiranju troškova gradnje komunalne infrastrukture (članak 167). </w:t>
      </w:r>
      <w:r w:rsidR="003A7760">
        <w:rPr>
          <w:rFonts w:ascii="Times New Roman" w:hAnsi="Times New Roman"/>
          <w:sz w:val="24"/>
          <w:szCs w:val="24"/>
        </w:rPr>
        <w:t xml:space="preserve"> </w:t>
      </w:r>
    </w:p>
    <w:p w:rsidR="00A50EBC" w:rsidRPr="003A7760" w:rsidRDefault="001A2265" w:rsidP="003A776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Obzirom da </w:t>
      </w:r>
      <w:r w:rsidR="00A50EBC">
        <w:rPr>
          <w:rFonts w:ascii="Times New Roman" w:hAnsi="Times New Roman"/>
          <w:sz w:val="24"/>
          <w:szCs w:val="24"/>
        </w:rPr>
        <w:t xml:space="preserve">Zakon propisuje samo načelne odredbe o uvjetima zaključenja navedenih ugovora, a riječ je o vrlo složenim ugovorima velike predmetne vrijednosti, </w:t>
      </w:r>
      <w:r w:rsidR="00802E60" w:rsidRPr="003421F1">
        <w:rPr>
          <w:rFonts w:ascii="Times New Roman" w:hAnsi="Times New Roman"/>
          <w:sz w:val="24"/>
          <w:szCs w:val="24"/>
        </w:rPr>
        <w:t xml:space="preserve">valjalo je pristupiti </w:t>
      </w:r>
      <w:r w:rsidR="00822B82" w:rsidRPr="003421F1">
        <w:rPr>
          <w:rFonts w:ascii="Times New Roman" w:hAnsi="Times New Roman"/>
          <w:sz w:val="24"/>
          <w:szCs w:val="24"/>
        </w:rPr>
        <w:t xml:space="preserve">izradi i donošenju </w:t>
      </w:r>
      <w:r w:rsidR="00A50EBC">
        <w:rPr>
          <w:rFonts w:ascii="Times New Roman" w:hAnsi="Times New Roman"/>
          <w:sz w:val="24"/>
          <w:szCs w:val="24"/>
        </w:rPr>
        <w:t>općeg akta kojim će se to pitanje podrobnije urediti.</w:t>
      </w:r>
    </w:p>
    <w:p w:rsidR="00A61BC9" w:rsidRDefault="00A50EBC" w:rsidP="003A776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5A30">
        <w:rPr>
          <w:rFonts w:ascii="Times New Roman" w:hAnsi="Times New Roman"/>
          <w:sz w:val="24"/>
        </w:rPr>
        <w:t>Odluk</w:t>
      </w:r>
      <w:r>
        <w:rPr>
          <w:rFonts w:ascii="Times New Roman" w:hAnsi="Times New Roman"/>
          <w:sz w:val="24"/>
        </w:rPr>
        <w:t>a</w:t>
      </w:r>
      <w:r w:rsidRPr="007B5A30">
        <w:rPr>
          <w:rFonts w:ascii="Times New Roman" w:hAnsi="Times New Roman"/>
          <w:sz w:val="24"/>
        </w:rPr>
        <w:t xml:space="preserve"> </w:t>
      </w:r>
      <w:r w:rsidRPr="000E0702">
        <w:rPr>
          <w:rFonts w:ascii="Times New Roman" w:hAnsi="Times New Roman"/>
          <w:sz w:val="24"/>
        </w:rPr>
        <w:t>o načinu ugovaranja uređenja građevinskog zemljišta gradnjom ili financiranjem troškova gradnje komunalne infrastrukture</w:t>
      </w:r>
      <w:r w:rsidR="00A61BC9">
        <w:rPr>
          <w:rFonts w:ascii="Times New Roman" w:hAnsi="Times New Roman"/>
          <w:sz w:val="24"/>
        </w:rPr>
        <w:t xml:space="preserve"> (dalje: Odluka)</w:t>
      </w:r>
      <w:r>
        <w:rPr>
          <w:rFonts w:ascii="Times New Roman" w:hAnsi="Times New Roman"/>
          <w:sz w:val="24"/>
        </w:rPr>
        <w:t xml:space="preserve"> koncipirana je na način da sadrži uvodne odredbe, definiranje troškova gradnje komunalne infrastrukture, postupak i način ugovaranja te razradu </w:t>
      </w:r>
      <w:r w:rsidR="00A61BC9">
        <w:rPr>
          <w:rFonts w:ascii="Times New Roman" w:hAnsi="Times New Roman"/>
          <w:sz w:val="24"/>
        </w:rPr>
        <w:t>vrsta</w:t>
      </w:r>
      <w:r>
        <w:rPr>
          <w:rFonts w:ascii="Times New Roman" w:hAnsi="Times New Roman"/>
          <w:sz w:val="24"/>
        </w:rPr>
        <w:t xml:space="preserve"> ugovora, kao i završne odredbe.</w:t>
      </w:r>
    </w:p>
    <w:p w:rsidR="004D3BEE" w:rsidRDefault="00A61BC9" w:rsidP="007B5A30">
      <w:pPr>
        <w:spacing w:after="12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U Uvodnim odredbama</w:t>
      </w:r>
      <w:r w:rsidR="00AE4126">
        <w:rPr>
          <w:rFonts w:ascii="Times New Roman" w:eastAsia="TimesNewRomanPSMT" w:hAnsi="Times New Roman"/>
          <w:sz w:val="24"/>
          <w:szCs w:val="24"/>
        </w:rPr>
        <w:t xml:space="preserve"> Odluke,</w:t>
      </w:r>
      <w:r w:rsidR="00AE4126" w:rsidRPr="00AE4126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4126" w:rsidRPr="00AE4126">
        <w:rPr>
          <w:rFonts w:ascii="Times New Roman" w:eastAsia="TimesNewRomanPSMT" w:hAnsi="Times New Roman"/>
          <w:b/>
          <w:sz w:val="24"/>
          <w:szCs w:val="24"/>
        </w:rPr>
        <w:t>u</w:t>
      </w:r>
      <w:r w:rsidR="00AE4126" w:rsidRPr="003421F1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AE4126" w:rsidRPr="003421F1">
        <w:rPr>
          <w:rFonts w:ascii="Times New Roman" w:eastAsia="TimesNewRomanPSMT" w:hAnsi="Times New Roman"/>
          <w:b/>
          <w:sz w:val="24"/>
          <w:szCs w:val="24"/>
        </w:rPr>
        <w:t>čl</w:t>
      </w:r>
      <w:proofErr w:type="spellEnd"/>
      <w:r w:rsidR="00AE4126" w:rsidRPr="003421F1">
        <w:rPr>
          <w:rFonts w:ascii="Times New Roman" w:eastAsia="TimesNewRomanPSMT" w:hAnsi="Times New Roman"/>
          <w:b/>
          <w:sz w:val="24"/>
          <w:szCs w:val="24"/>
        </w:rPr>
        <w:t>. 1</w:t>
      </w:r>
      <w:r w:rsidR="00AE4126">
        <w:rPr>
          <w:rFonts w:ascii="Times New Roman" w:eastAsia="TimesNewRomanPSMT" w:hAnsi="Times New Roman"/>
          <w:b/>
          <w:sz w:val="24"/>
          <w:szCs w:val="24"/>
        </w:rPr>
        <w:t>.</w:t>
      </w:r>
      <w:r w:rsidR="00AE4126" w:rsidRPr="003421F1">
        <w:rPr>
          <w:rFonts w:ascii="Times New Roman" w:eastAsia="TimesNewRomanPSMT" w:hAnsi="Times New Roman"/>
          <w:b/>
          <w:sz w:val="24"/>
          <w:szCs w:val="24"/>
        </w:rPr>
        <w:t xml:space="preserve"> do </w:t>
      </w:r>
      <w:proofErr w:type="spellStart"/>
      <w:r w:rsidR="00AE4126" w:rsidRPr="003421F1">
        <w:rPr>
          <w:rFonts w:ascii="Times New Roman" w:eastAsia="TimesNewRomanPSMT" w:hAnsi="Times New Roman"/>
          <w:b/>
          <w:sz w:val="24"/>
          <w:szCs w:val="24"/>
        </w:rPr>
        <w:t>čl</w:t>
      </w:r>
      <w:proofErr w:type="spellEnd"/>
      <w:r w:rsidR="00AE4126" w:rsidRPr="003421F1">
        <w:rPr>
          <w:rFonts w:ascii="Times New Roman" w:eastAsia="TimesNewRomanPSMT" w:hAnsi="Times New Roman"/>
          <w:b/>
          <w:sz w:val="24"/>
          <w:szCs w:val="24"/>
        </w:rPr>
        <w:t xml:space="preserve">. </w:t>
      </w:r>
      <w:r w:rsidR="00AE4126">
        <w:rPr>
          <w:rFonts w:ascii="Times New Roman" w:eastAsia="TimesNewRomanPSMT" w:hAnsi="Times New Roman"/>
          <w:b/>
          <w:sz w:val="24"/>
          <w:szCs w:val="24"/>
        </w:rPr>
        <w:t>6</w:t>
      </w:r>
      <w:r w:rsidR="00AE4126" w:rsidRPr="003421F1">
        <w:rPr>
          <w:rFonts w:ascii="Times New Roman" w:eastAsia="TimesNewRomanPSMT" w:hAnsi="Times New Roman"/>
          <w:b/>
          <w:sz w:val="24"/>
          <w:szCs w:val="24"/>
        </w:rPr>
        <w:t>.</w:t>
      </w:r>
      <w:r w:rsidR="00AE4126">
        <w:rPr>
          <w:rFonts w:ascii="Times New Roman" w:eastAsia="TimesNewRomanPSMT" w:hAnsi="Times New Roman"/>
          <w:b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 xml:space="preserve"> definirani su osnovni pojmovi uređenja građevinskog zemljišta</w:t>
      </w:r>
      <w:r w:rsidR="00AE4126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A61BC9">
        <w:rPr>
          <w:rFonts w:ascii="Times New Roman" w:eastAsia="TimesNewRomanPSMT" w:hAnsi="Times New Roman"/>
          <w:sz w:val="24"/>
          <w:szCs w:val="24"/>
        </w:rPr>
        <w:t>Između</w:t>
      </w:r>
      <w:r>
        <w:rPr>
          <w:rFonts w:ascii="Times New Roman" w:eastAsia="TimesNewRomanPSMT" w:hAnsi="Times New Roman"/>
          <w:sz w:val="24"/>
          <w:szCs w:val="24"/>
        </w:rPr>
        <w:t xml:space="preserve"> ostaloga, a radi lakšeg razumijevanja Odluke, ovdje valja istaknuti dva pojma – pojam Investitora i pojam Osiguravatelja sredstava.</w:t>
      </w:r>
    </w:p>
    <w:p w:rsidR="00A61BC9" w:rsidRDefault="00AE4126" w:rsidP="007B5A30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4.</w:t>
      </w:r>
      <w:r w:rsidR="00A61BC9">
        <w:rPr>
          <w:rFonts w:ascii="Times New Roman" w:hAnsi="Times New Roman"/>
          <w:sz w:val="24"/>
          <w:szCs w:val="24"/>
        </w:rPr>
        <w:t xml:space="preserve"> Odluke Investitor je osoba </w:t>
      </w:r>
      <w:r w:rsidR="00A61BC9">
        <w:rPr>
          <w:rFonts w:ascii="Times New Roman" w:hAnsi="Times New Roman"/>
          <w:color w:val="000000"/>
          <w:sz w:val="24"/>
          <w:szCs w:val="24"/>
        </w:rPr>
        <w:t>čijem zemljištu ili građevini služi infrastruktura</w:t>
      </w:r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r w:rsidR="00A61BC9">
        <w:rPr>
          <w:rFonts w:ascii="Times New Roman" w:hAnsi="Times New Roman"/>
          <w:sz w:val="24"/>
          <w:szCs w:val="24"/>
        </w:rPr>
        <w:t xml:space="preserve">koja se ugovorom </w:t>
      </w:r>
      <w:r w:rsidR="00A61BC9" w:rsidRPr="005A4ECF">
        <w:rPr>
          <w:rFonts w:ascii="Times New Roman" w:hAnsi="Times New Roman"/>
          <w:sz w:val="24"/>
          <w:szCs w:val="24"/>
        </w:rPr>
        <w:t>obvež</w:t>
      </w:r>
      <w:r w:rsidR="00A61BC9">
        <w:rPr>
          <w:rFonts w:ascii="Times New Roman" w:hAnsi="Times New Roman"/>
          <w:sz w:val="24"/>
          <w:szCs w:val="24"/>
        </w:rPr>
        <w:t>e</w:t>
      </w:r>
      <w:r w:rsidR="00A61BC9" w:rsidRPr="00E50540">
        <w:rPr>
          <w:rFonts w:ascii="Times New Roman" w:hAnsi="Times New Roman"/>
          <w:color w:val="000000" w:themeColor="text1"/>
          <w:sz w:val="24"/>
          <w:szCs w:val="24"/>
        </w:rPr>
        <w:t xml:space="preserve"> komunalnu</w:t>
      </w:r>
      <w:r w:rsidR="00A61B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1BC9" w:rsidRPr="00E50540">
        <w:rPr>
          <w:rFonts w:ascii="Times New Roman" w:hAnsi="Times New Roman"/>
          <w:color w:val="000000" w:themeColor="text1"/>
          <w:sz w:val="24"/>
          <w:szCs w:val="24"/>
        </w:rPr>
        <w:t>infrastrukturu planiranu prostornim planom izgraditi vlastitim sredstvima u određenom roku i istu predati u vlasništvo jedinice lokalne samouprave, odnosno osobe određene posebnim propisom</w:t>
      </w:r>
      <w:r>
        <w:rPr>
          <w:rFonts w:ascii="Times New Roman" w:hAnsi="Times New Roman"/>
          <w:color w:val="000000" w:themeColor="text1"/>
          <w:sz w:val="24"/>
          <w:szCs w:val="24"/>
        </w:rPr>
        <w:t>, sve u skladu s člankom 165. Zakona o prostornom uređenju.</w:t>
      </w:r>
    </w:p>
    <w:p w:rsidR="00AE4126" w:rsidRDefault="00AE4126" w:rsidP="007B5A3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Osiguravatelj sredstava za gradnju komunalne infrastrukture, sukladno članku 5. Odluke, može biti vlasnik </w:t>
      </w:r>
      <w:r w:rsidRPr="00903922">
        <w:rPr>
          <w:rFonts w:ascii="Times New Roman" w:hAnsi="Times New Roman"/>
          <w:sz w:val="24"/>
          <w:szCs w:val="24"/>
        </w:rPr>
        <w:t xml:space="preserve">zemljišta kojem to koristi, odnosno druga zainteresirana osoba koja s Gradom </w:t>
      </w:r>
      <w:r w:rsidRPr="00903922">
        <w:rPr>
          <w:rFonts w:ascii="Times New Roman" w:hAnsi="Times New Roman"/>
          <w:sz w:val="24"/>
          <w:szCs w:val="24"/>
        </w:rPr>
        <w:lastRenderedPageBreak/>
        <w:t>zaključi Ugovor o financiranju gradnje komunalne infrastrukture, kojim će snositi sve ili dio troškova potrebnih za gradnju komunalne infrastrukture</w:t>
      </w:r>
      <w:r>
        <w:rPr>
          <w:rFonts w:ascii="Times New Roman" w:hAnsi="Times New Roman"/>
          <w:sz w:val="24"/>
          <w:szCs w:val="24"/>
        </w:rPr>
        <w:t>, a sve u skladu s člankom 167 Zakona o prostornom uređenju.</w:t>
      </w:r>
    </w:p>
    <w:p w:rsidR="003A7760" w:rsidRPr="003A7760" w:rsidRDefault="00AE4126" w:rsidP="003A776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Troškovi gradnje komunalne infrastrukture sadržani su </w:t>
      </w:r>
      <w:r w:rsidRPr="00AE4126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126">
        <w:rPr>
          <w:rFonts w:ascii="Times New Roman" w:hAnsi="Times New Roman"/>
          <w:b/>
          <w:sz w:val="24"/>
          <w:szCs w:val="24"/>
        </w:rPr>
        <w:t>čl.</w:t>
      </w:r>
      <w:r>
        <w:rPr>
          <w:rFonts w:ascii="Times New Roman" w:hAnsi="Times New Roman"/>
          <w:b/>
          <w:sz w:val="24"/>
          <w:szCs w:val="24"/>
        </w:rPr>
        <w:t xml:space="preserve">7. do </w:t>
      </w:r>
      <w:proofErr w:type="spellStart"/>
      <w:r>
        <w:rPr>
          <w:rFonts w:ascii="Times New Roman" w:hAnsi="Times New Roman"/>
          <w:b/>
          <w:sz w:val="24"/>
          <w:szCs w:val="24"/>
        </w:rPr>
        <w:t>čl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AE412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3A7760">
        <w:rPr>
          <w:rFonts w:ascii="Times New Roman" w:hAnsi="Times New Roman"/>
          <w:sz w:val="24"/>
          <w:szCs w:val="24"/>
        </w:rPr>
        <w:t xml:space="preserve"> Odluke, koji se procjenjuju </w:t>
      </w:r>
      <w:r w:rsidR="003A7760" w:rsidRPr="0043645A">
        <w:rPr>
          <w:rFonts w:ascii="Times New Roman" w:hAnsi="Times New Roman"/>
          <w:sz w:val="24"/>
        </w:rPr>
        <w:t>prema načelu punog pokrića troškova građenja komunalne infrastrukture, a na temelju troškova građenja usporedivih građevina komunalne infrastrukture u godini koja prethodi planskom razdoblju i zabilježenog indeksa povećanja odnosno smanjenja troškova građenja.</w:t>
      </w:r>
    </w:p>
    <w:p w:rsidR="007E51DD" w:rsidRPr="006D791B" w:rsidRDefault="00AE4126" w:rsidP="00AE4126">
      <w:pPr>
        <w:spacing w:after="1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O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 xml:space="preserve">dredbama </w:t>
      </w:r>
      <w:proofErr w:type="spellStart"/>
      <w:r w:rsidR="006E5FFC" w:rsidRPr="003421F1">
        <w:rPr>
          <w:rFonts w:ascii="Times New Roman" w:eastAsia="TimesNewRomanPSMT" w:hAnsi="Times New Roman"/>
          <w:b/>
          <w:sz w:val="24"/>
          <w:szCs w:val="24"/>
        </w:rPr>
        <w:t>čl</w:t>
      </w:r>
      <w:proofErr w:type="spellEnd"/>
      <w:r w:rsidR="006E5FFC" w:rsidRPr="003421F1">
        <w:rPr>
          <w:rFonts w:ascii="Times New Roman" w:eastAsia="TimesNewRomanPSMT" w:hAnsi="Times New Roman"/>
          <w:b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b/>
          <w:sz w:val="24"/>
          <w:szCs w:val="24"/>
        </w:rPr>
        <w:t>9. do čl. 12</w:t>
      </w:r>
      <w:r w:rsidR="007E51DD" w:rsidRPr="003421F1">
        <w:rPr>
          <w:rFonts w:ascii="Times New Roman" w:eastAsia="TimesNewRomanPSMT" w:hAnsi="Times New Roman"/>
          <w:b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sz w:val="24"/>
          <w:szCs w:val="24"/>
        </w:rPr>
        <w:t>ove Odluke propisan je</w:t>
      </w:r>
      <w:r w:rsidR="007E51DD" w:rsidRPr="003421F1">
        <w:rPr>
          <w:rFonts w:ascii="Times New Roman" w:hAnsi="Times New Roman"/>
          <w:sz w:val="24"/>
          <w:szCs w:val="24"/>
        </w:rPr>
        <w:t xml:space="preserve"> postupak, odnosno način </w:t>
      </w:r>
      <w:r>
        <w:rPr>
          <w:rFonts w:ascii="Times New Roman" w:hAnsi="Times New Roman"/>
          <w:sz w:val="24"/>
          <w:szCs w:val="24"/>
        </w:rPr>
        <w:t>pokretanja postupka kroz predaju Pisma namjere i definiranje dokumentacije</w:t>
      </w:r>
      <w:r w:rsidR="007E51DD" w:rsidRPr="003421F1">
        <w:rPr>
          <w:rFonts w:ascii="Times New Roman" w:hAnsi="Times New Roman"/>
          <w:sz w:val="24"/>
          <w:szCs w:val="24"/>
        </w:rPr>
        <w:t xml:space="preserve"> koju valja priložiti uz </w:t>
      </w:r>
      <w:r>
        <w:rPr>
          <w:rFonts w:ascii="Times New Roman" w:hAnsi="Times New Roman"/>
          <w:sz w:val="24"/>
          <w:szCs w:val="24"/>
        </w:rPr>
        <w:t>Pismo namjere</w:t>
      </w:r>
      <w:r w:rsidR="007E51DD" w:rsidRPr="003421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postupak provjere</w:t>
      </w:r>
      <w:r w:rsidR="006D791B">
        <w:rPr>
          <w:rFonts w:ascii="Times New Roman" w:eastAsia="TimesNewRomanPSMT" w:hAnsi="Times New Roman"/>
          <w:sz w:val="24"/>
          <w:szCs w:val="24"/>
        </w:rPr>
        <w:t xml:space="preserve"> koji provodi nadležni upravni odjel po zaprimanju Pisma namjere kao i način odlučivanja po provedenom prethodnom postupku provjere i očitovanja zainteresirane osobe – Investitora ili Osiguravatelja sredstava.</w:t>
      </w:r>
    </w:p>
    <w:p w:rsidR="006D791B" w:rsidRDefault="006D791B" w:rsidP="006D791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 xml:space="preserve">obzirom da se </w:t>
      </w:r>
      <w:r>
        <w:rPr>
          <w:rFonts w:ascii="Times New Roman" w:eastAsia="TimesNewRomanPSMT" w:hAnsi="Times New Roman"/>
          <w:sz w:val="24"/>
          <w:szCs w:val="24"/>
        </w:rPr>
        <w:t>uređenje građevinskog zemljišta gradnjom ili financiranjem troškova gradnje komunalne infrastrukture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 xml:space="preserve"> zasniva ugovorom, a po provedenom </w:t>
      </w:r>
      <w:r>
        <w:rPr>
          <w:rFonts w:ascii="Times New Roman" w:eastAsia="TimesNewRomanPSMT" w:hAnsi="Times New Roman"/>
          <w:sz w:val="24"/>
          <w:szCs w:val="24"/>
        </w:rPr>
        <w:t>predviđenom postupku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 xml:space="preserve">, odredbama </w:t>
      </w:r>
      <w:proofErr w:type="spellStart"/>
      <w:r w:rsidR="00CC2800" w:rsidRPr="003421F1">
        <w:rPr>
          <w:rFonts w:ascii="Times New Roman" w:eastAsia="TimesNewRomanPSMT" w:hAnsi="Times New Roman"/>
          <w:b/>
          <w:sz w:val="24"/>
          <w:szCs w:val="24"/>
        </w:rPr>
        <w:t>čl</w:t>
      </w:r>
      <w:proofErr w:type="spellEnd"/>
      <w:r w:rsidR="00CC2800" w:rsidRPr="003421F1">
        <w:rPr>
          <w:rFonts w:ascii="Times New Roman" w:eastAsia="TimesNewRomanPSMT" w:hAnsi="Times New Roman"/>
          <w:b/>
          <w:sz w:val="24"/>
          <w:szCs w:val="24"/>
        </w:rPr>
        <w:t xml:space="preserve">. </w:t>
      </w:r>
      <w:r>
        <w:rPr>
          <w:rFonts w:ascii="Times New Roman" w:eastAsia="TimesNewRomanPSMT" w:hAnsi="Times New Roman"/>
          <w:b/>
          <w:sz w:val="24"/>
          <w:szCs w:val="24"/>
        </w:rPr>
        <w:t>13</w:t>
      </w:r>
      <w:r w:rsidR="007E51DD" w:rsidRPr="003421F1">
        <w:rPr>
          <w:rFonts w:ascii="Times New Roman" w:eastAsia="TimesNewRomanPSMT" w:hAnsi="Times New Roman"/>
          <w:b/>
          <w:sz w:val="24"/>
          <w:szCs w:val="24"/>
        </w:rPr>
        <w:t>. do č</w:t>
      </w:r>
      <w:r w:rsidR="00B56207" w:rsidRPr="003421F1">
        <w:rPr>
          <w:rFonts w:ascii="Times New Roman" w:eastAsia="TimesNewRomanPSMT" w:hAnsi="Times New Roman"/>
          <w:b/>
          <w:sz w:val="24"/>
          <w:szCs w:val="24"/>
        </w:rPr>
        <w:t xml:space="preserve">l. </w:t>
      </w:r>
      <w:r>
        <w:rPr>
          <w:rFonts w:ascii="Times New Roman" w:eastAsia="TimesNewRomanPSMT" w:hAnsi="Times New Roman"/>
          <w:b/>
          <w:sz w:val="24"/>
          <w:szCs w:val="24"/>
        </w:rPr>
        <w:t>16</w:t>
      </w:r>
      <w:r w:rsidR="007E51DD" w:rsidRPr="003421F1">
        <w:rPr>
          <w:rFonts w:ascii="Times New Roman" w:eastAsia="TimesNewRomanPSMT" w:hAnsi="Times New Roman"/>
          <w:b/>
          <w:sz w:val="24"/>
          <w:szCs w:val="24"/>
        </w:rPr>
        <w:t xml:space="preserve">. 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>određeno je što treba</w:t>
      </w:r>
      <w:r>
        <w:rPr>
          <w:rFonts w:ascii="Times New Roman" w:eastAsia="TimesNewRomanPSMT" w:hAnsi="Times New Roman"/>
          <w:sz w:val="24"/>
          <w:szCs w:val="24"/>
        </w:rPr>
        <w:t>ju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 xml:space="preserve"> sadržavati </w:t>
      </w:r>
      <w:r>
        <w:rPr>
          <w:rFonts w:ascii="Times New Roman" w:eastAsia="TimesNewRomanPSMT" w:hAnsi="Times New Roman"/>
          <w:sz w:val="24"/>
          <w:szCs w:val="24"/>
        </w:rPr>
        <w:t xml:space="preserve">predmetni 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>ugovor</w:t>
      </w:r>
      <w:r>
        <w:rPr>
          <w:rFonts w:ascii="Times New Roman" w:eastAsia="TimesNewRomanPSMT" w:hAnsi="Times New Roman"/>
          <w:sz w:val="24"/>
          <w:szCs w:val="24"/>
        </w:rPr>
        <w:t>i</w:t>
      </w:r>
      <w:r w:rsidR="007E51DD" w:rsidRPr="003421F1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dok se za sve ono što Odlukom i zakonskim odredbama nije uređeno, upućuje na to da će se isto definirati u samim ugovorima. Članci 13. i 14. odnose se na Ugovore o gradnji komunalne infrastrukture dok se članci 15. i 16. odnose na Ugovore o financiranju troškova gradnje komunalne infrastrukture.</w:t>
      </w:r>
    </w:p>
    <w:p w:rsidR="008730AE" w:rsidRPr="001F639F" w:rsidRDefault="008730AE" w:rsidP="008730AE">
      <w:pPr>
        <w:ind w:firstLine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Ugovor o gradnji komunalne infrastrukture sklapa se u pisanom obliku, između Grada Pule-Pola, s jedne strane, te vlasnika zemljišta ili druge zainteresirane osobe, kao Investitora komunalne infrastrukture, s druge strane, a ovisno o svom predmetu, člankom 13. propisano je što osobito sadrži dok se u članku 14. razrađuju međusobna prava i obveze ugovornih strana.</w:t>
      </w:r>
    </w:p>
    <w:p w:rsidR="008730AE" w:rsidRDefault="008730AE" w:rsidP="006D791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Ugovor o financiranju gradnje komunalne infrastrukture sklapa se također u pisanom obliku, između Grada Pule-Pola, s jedne strane, te vlasnika zemljišta ili druge zainteresirane osobe, kao Osiguravatelja sredstava, s druge strane, a ovisno o svom predmetu, člankom 15.</w:t>
      </w:r>
      <w:r w:rsidRPr="008730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propisano je što osobito sadrži dok se u članku 16. razrađuju međusobna prava i obveze ugovornih strana. </w:t>
      </w:r>
    </w:p>
    <w:p w:rsidR="008730AE" w:rsidRDefault="008730AE" w:rsidP="003162B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Za napomenuti je da</w:t>
      </w:r>
      <w:r w:rsidRPr="008730AE">
        <w:rPr>
          <w:rFonts w:ascii="Times New Roman" w:hAnsi="Times New Roman"/>
          <w:sz w:val="24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19"/>
          <w:shd w:val="clear" w:color="auto" w:fill="FFFFFF"/>
        </w:rPr>
        <w:t>o</w:t>
      </w:r>
      <w:r w:rsidRPr="00094A4F">
        <w:rPr>
          <w:rFonts w:ascii="Times New Roman" w:hAnsi="Times New Roman"/>
          <w:sz w:val="24"/>
          <w:szCs w:val="19"/>
          <w:shd w:val="clear" w:color="auto" w:fill="FFFFFF"/>
        </w:rPr>
        <w:t>soba</w:t>
      </w:r>
      <w:r>
        <w:rPr>
          <w:rFonts w:ascii="Times New Roman" w:hAnsi="Times New Roman"/>
          <w:sz w:val="24"/>
          <w:szCs w:val="19"/>
          <w:shd w:val="clear" w:color="auto" w:fill="FFFFFF"/>
        </w:rPr>
        <w:t xml:space="preserve"> (Osiguravatelj sredstava)</w:t>
      </w:r>
      <w:r w:rsidRPr="00094A4F">
        <w:rPr>
          <w:rFonts w:ascii="Times New Roman" w:hAnsi="Times New Roman"/>
          <w:sz w:val="24"/>
          <w:szCs w:val="19"/>
          <w:shd w:val="clear" w:color="auto" w:fill="FFFFFF"/>
        </w:rPr>
        <w:t xml:space="preserve"> koja s jedinicom lokalne samouprave zaključi Ugovor o financiranju uređenja građevinskog zemljišta u pogledu financiranja gradnje komunalne infrastrukture koji se prema posebnom zakonu financira iz komunalnog doprinosa ne plaća taj doprinos do iznosa troškova uređenja zemljišta kojeg plaća na temelju ugovora</w:t>
      </w:r>
      <w:r>
        <w:rPr>
          <w:rFonts w:ascii="Times New Roman" w:hAnsi="Times New Roman"/>
          <w:sz w:val="24"/>
          <w:szCs w:val="19"/>
          <w:shd w:val="clear" w:color="auto" w:fill="FFFFFF"/>
        </w:rPr>
        <w:t xml:space="preserve"> dok osoba (Investitor)</w:t>
      </w:r>
      <w:r w:rsidRPr="008730AE">
        <w:rPr>
          <w:rFonts w:ascii="Times New Roman" w:hAnsi="Times New Roman"/>
          <w:sz w:val="24"/>
          <w:szCs w:val="24"/>
        </w:rPr>
        <w:t xml:space="preserve"> </w:t>
      </w:r>
      <w:r w:rsidRPr="00EA77AA">
        <w:rPr>
          <w:rFonts w:ascii="Times New Roman" w:hAnsi="Times New Roman"/>
          <w:sz w:val="24"/>
          <w:szCs w:val="24"/>
        </w:rPr>
        <w:t>nema pravo na povrat plaćenih sredstava na temelju Ugovora o gradnji komunalne infrastrukture</w:t>
      </w:r>
      <w:r w:rsidR="003162B4">
        <w:rPr>
          <w:rFonts w:ascii="Times New Roman" w:hAnsi="Times New Roman"/>
          <w:sz w:val="24"/>
          <w:szCs w:val="24"/>
        </w:rPr>
        <w:t>.</w:t>
      </w:r>
    </w:p>
    <w:p w:rsidR="003162B4" w:rsidRDefault="003162B4" w:rsidP="003162B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konačnici komunalna infrastruktura, izgrađena na temelju gore navedenih ugovora, mora biti predana u vlasništvo Grada Pule, oslobođena svih tereta.</w:t>
      </w:r>
    </w:p>
    <w:p w:rsidR="009D35D9" w:rsidRPr="00580611" w:rsidRDefault="00580611" w:rsidP="007B5A3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D35D9" w:rsidRPr="003421F1">
        <w:rPr>
          <w:rFonts w:ascii="Times New Roman" w:hAnsi="Times New Roman"/>
          <w:sz w:val="24"/>
          <w:szCs w:val="24"/>
        </w:rPr>
        <w:t xml:space="preserve">avršne odredbe sadržane su </w:t>
      </w:r>
      <w:r w:rsidR="009D35D9" w:rsidRPr="00580611">
        <w:rPr>
          <w:rFonts w:ascii="Times New Roman" w:hAnsi="Times New Roman"/>
          <w:b/>
          <w:sz w:val="24"/>
          <w:szCs w:val="24"/>
        </w:rPr>
        <w:t>u</w:t>
      </w:r>
      <w:r w:rsidR="009D35D9" w:rsidRPr="003421F1">
        <w:rPr>
          <w:rFonts w:ascii="Times New Roman" w:hAnsi="Times New Roman"/>
          <w:sz w:val="24"/>
          <w:szCs w:val="24"/>
        </w:rPr>
        <w:t xml:space="preserve"> </w:t>
      </w:r>
      <w:r w:rsidR="009D35D9" w:rsidRPr="003421F1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 xml:space="preserve">17. do </w:t>
      </w:r>
      <w:proofErr w:type="spellStart"/>
      <w:r>
        <w:rPr>
          <w:rFonts w:ascii="Times New Roman" w:hAnsi="Times New Roman"/>
          <w:b/>
          <w:sz w:val="24"/>
          <w:szCs w:val="24"/>
        </w:rPr>
        <w:t>čl</w:t>
      </w:r>
      <w:proofErr w:type="spellEnd"/>
      <w:r>
        <w:rPr>
          <w:rFonts w:ascii="Times New Roman" w:hAnsi="Times New Roman"/>
          <w:b/>
          <w:sz w:val="24"/>
          <w:szCs w:val="24"/>
        </w:rPr>
        <w:t>. 21</w:t>
      </w:r>
      <w:r w:rsidR="009D35D9" w:rsidRPr="003421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Odluke,</w:t>
      </w:r>
      <w:r>
        <w:rPr>
          <w:rFonts w:ascii="Times New Roman" w:hAnsi="Times New Roman"/>
          <w:sz w:val="24"/>
          <w:szCs w:val="24"/>
        </w:rPr>
        <w:t xml:space="preserve"> a istima se definira završetak poslova po zaključenim predmetnim ugovorima, odnosno kada prestaju sve obveze ugovornih strana. Propisane su i posljedice do kojih može doći uslijed ne</w:t>
      </w:r>
      <w:r w:rsidR="003162B4">
        <w:rPr>
          <w:rFonts w:ascii="Times New Roman" w:hAnsi="Times New Roman"/>
          <w:sz w:val="24"/>
          <w:szCs w:val="24"/>
        </w:rPr>
        <w:t xml:space="preserve">potpune ili nikakve </w:t>
      </w:r>
      <w:r>
        <w:rPr>
          <w:rFonts w:ascii="Times New Roman" w:hAnsi="Times New Roman"/>
          <w:sz w:val="24"/>
          <w:szCs w:val="24"/>
        </w:rPr>
        <w:t xml:space="preserve">realizacije predmetnih ugovora te mogućnost jednostranog raskida istih. </w:t>
      </w:r>
    </w:p>
    <w:p w:rsidR="00580611" w:rsidRDefault="003A4C33" w:rsidP="00580611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421F1">
        <w:rPr>
          <w:rFonts w:ascii="Times New Roman" w:hAnsi="Times New Roman"/>
          <w:sz w:val="24"/>
          <w:szCs w:val="24"/>
        </w:rPr>
        <w:t>Slijedom navedenog, predlaže se vijećnicima donošenje ove Odluke.</w:t>
      </w:r>
    </w:p>
    <w:p w:rsidR="00580611" w:rsidRPr="003421F1" w:rsidRDefault="00580611" w:rsidP="007B5A3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419" w:rsidRPr="003421F1" w:rsidRDefault="00343419" w:rsidP="007B5A3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DD6" w:rsidRPr="003421F1" w:rsidRDefault="00921DD6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21F1">
        <w:rPr>
          <w:rFonts w:ascii="Times New Roman" w:hAnsi="Times New Roman"/>
          <w:b/>
          <w:sz w:val="24"/>
          <w:szCs w:val="24"/>
        </w:rPr>
        <w:lastRenderedPageBreak/>
        <w:t>PROCJENA POTREBNIH FINANCIJ</w:t>
      </w:r>
      <w:r w:rsidR="00580611">
        <w:rPr>
          <w:rFonts w:ascii="Times New Roman" w:hAnsi="Times New Roman"/>
          <w:b/>
          <w:sz w:val="24"/>
          <w:szCs w:val="24"/>
        </w:rPr>
        <w:t>SKIH SREDSTAVA ZA PROVEDBU AKTA</w:t>
      </w:r>
    </w:p>
    <w:p w:rsidR="003A4C33" w:rsidRDefault="00921DD6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3421F1">
        <w:rPr>
          <w:rFonts w:ascii="Times New Roman" w:hAnsi="Times New Roman"/>
          <w:sz w:val="24"/>
          <w:szCs w:val="24"/>
        </w:rPr>
        <w:t>Za provedbu akta nije potrebno osigurati financijska sredstva.</w:t>
      </w:r>
    </w:p>
    <w:p w:rsidR="00580611" w:rsidRDefault="00580611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611" w:rsidRPr="00580611" w:rsidRDefault="00580611" w:rsidP="00580611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580611">
        <w:rPr>
          <w:rFonts w:ascii="Times New Roman" w:hAnsi="Times New Roman"/>
          <w:b/>
          <w:sz w:val="24"/>
          <w:szCs w:val="24"/>
        </w:rPr>
        <w:t>SAVJETOVANJE SA ZAINTERESIRANOM JAVNOŠĆU</w:t>
      </w:r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580611" w:rsidRPr="00580611" w:rsidRDefault="00580611" w:rsidP="0058061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Na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temelju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odredbe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članka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66.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stavka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4. </w:t>
      </w:r>
      <w:proofErr w:type="spellStart"/>
      <w:proofErr w:type="gramStart"/>
      <w:r w:rsidRPr="00580611">
        <w:rPr>
          <w:rFonts w:ascii="Times New Roman" w:hAnsi="Times New Roman"/>
          <w:sz w:val="24"/>
          <w:szCs w:val="24"/>
          <w:lang w:val="it-IT"/>
        </w:rPr>
        <w:t>Zakona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o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pravu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na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pristup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informacijama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80611">
        <w:rPr>
          <w:rFonts w:ascii="Times New Roman" w:hAnsi="Times New Roman"/>
          <w:sz w:val="24"/>
          <w:szCs w:val="24"/>
        </w:rPr>
        <w:t>(„Narodne novine“ br</w:t>
      </w:r>
      <w:proofErr w:type="gramEnd"/>
      <w:r w:rsidRPr="00580611">
        <w:rPr>
          <w:rFonts w:ascii="Times New Roman" w:hAnsi="Times New Roman"/>
          <w:sz w:val="24"/>
          <w:szCs w:val="24"/>
        </w:rPr>
        <w:t xml:space="preserve">. 25/13 i 85/15)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za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ovu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Odluku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je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potrebno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provesti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prethodno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savjetovanje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sa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zainteresiranom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javnošću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u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trajanju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od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najmanje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 xml:space="preserve"> 30 </w:t>
      </w:r>
      <w:proofErr w:type="spellStart"/>
      <w:r w:rsidRPr="00580611">
        <w:rPr>
          <w:rFonts w:ascii="Times New Roman" w:hAnsi="Times New Roman"/>
          <w:sz w:val="24"/>
          <w:szCs w:val="24"/>
          <w:lang w:val="it-IT"/>
        </w:rPr>
        <w:t>dana</w:t>
      </w:r>
      <w:proofErr w:type="spellEnd"/>
      <w:r w:rsidRPr="00580611">
        <w:rPr>
          <w:rFonts w:ascii="Times New Roman" w:hAnsi="Times New Roman"/>
          <w:sz w:val="24"/>
          <w:szCs w:val="24"/>
          <w:lang w:val="it-IT"/>
        </w:rPr>
        <w:t>.</w:t>
      </w:r>
    </w:p>
    <w:p w:rsidR="00580611" w:rsidRPr="00580611" w:rsidRDefault="00580611" w:rsidP="00751CC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odredbom</w:t>
      </w:r>
      <w:r w:rsidRPr="00580611">
        <w:rPr>
          <w:rFonts w:ascii="Times New Roman" w:hAnsi="Times New Roman"/>
          <w:sz w:val="24"/>
          <w:szCs w:val="24"/>
        </w:rPr>
        <w:t xml:space="preserve"> članka 11. Zakona o pravu na pristup informacijama („Narodne novine“ br. 25/13 i 85/15) Grad Pula-Pola, pri donošenju Odluke, provodi  savjetovanje sa zainteresiranom javnošću s ciljem upoznavanja javnosti s Nacrtom prijedloga Odluke i pribavljanjem  mišljenja, primjedbi i prijedloga zainteresirane javnosti, kako bi isti, ukoliko  su zakonito i stručno utemeljeni, bilo prihvaćeni i u konačnosti ugrađeni u odredbe Odluke.</w:t>
      </w:r>
    </w:p>
    <w:p w:rsidR="00580611" w:rsidRDefault="00580611" w:rsidP="0075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0611">
        <w:rPr>
          <w:rFonts w:ascii="Times New Roman" w:hAnsi="Times New Roman"/>
          <w:b/>
          <w:sz w:val="24"/>
          <w:szCs w:val="24"/>
        </w:rPr>
        <w:t xml:space="preserve">Savjetovanje sa zainteresiranom javnošću započinje dana </w:t>
      </w:r>
      <w:r w:rsidR="00364C35">
        <w:rPr>
          <w:rFonts w:ascii="Times New Roman" w:hAnsi="Times New Roman"/>
          <w:b/>
          <w:sz w:val="24"/>
          <w:szCs w:val="24"/>
        </w:rPr>
        <w:t>10. svibnja</w:t>
      </w:r>
      <w:r w:rsidRPr="00580611">
        <w:rPr>
          <w:rFonts w:ascii="Times New Roman" w:hAnsi="Times New Roman"/>
          <w:b/>
          <w:sz w:val="24"/>
          <w:szCs w:val="24"/>
        </w:rPr>
        <w:t xml:space="preserve"> 2022. godine te završava zaključno s danom </w:t>
      </w:r>
      <w:r w:rsidR="00364C35">
        <w:rPr>
          <w:rFonts w:ascii="Times New Roman" w:hAnsi="Times New Roman"/>
          <w:b/>
          <w:sz w:val="24"/>
          <w:szCs w:val="24"/>
        </w:rPr>
        <w:t xml:space="preserve">10. lipnja </w:t>
      </w:r>
      <w:r w:rsidRPr="00580611">
        <w:rPr>
          <w:rFonts w:ascii="Times New Roman" w:hAnsi="Times New Roman"/>
          <w:b/>
          <w:sz w:val="24"/>
          <w:szCs w:val="24"/>
        </w:rPr>
        <w:t>2022. godine,</w:t>
      </w:r>
      <w:r w:rsidRPr="00580611">
        <w:rPr>
          <w:rFonts w:ascii="Times New Roman" w:hAnsi="Times New Roman"/>
          <w:sz w:val="24"/>
          <w:szCs w:val="24"/>
        </w:rPr>
        <w:t xml:space="preserve"> koji je ujedno i krajnji rok za dostavu mišljenja, primjedbi i prijedloga na Nacrt prijedloga Odluke.</w:t>
      </w:r>
    </w:p>
    <w:p w:rsidR="00751CCC" w:rsidRPr="00751CCC" w:rsidRDefault="00751CCC" w:rsidP="00751C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0611" w:rsidRPr="00580611" w:rsidRDefault="00580611" w:rsidP="00580611">
      <w:pPr>
        <w:ind w:right="-45"/>
        <w:jc w:val="center"/>
        <w:rPr>
          <w:rFonts w:ascii="Times New Roman" w:hAnsi="Times New Roman"/>
          <w:iCs/>
          <w:sz w:val="24"/>
          <w:szCs w:val="24"/>
        </w:rPr>
      </w:pPr>
      <w:r w:rsidRPr="00580611">
        <w:rPr>
          <w:rFonts w:ascii="Times New Roman" w:hAnsi="Times New Roman"/>
          <w:iCs/>
          <w:sz w:val="24"/>
          <w:szCs w:val="24"/>
        </w:rPr>
        <w:t xml:space="preserve">Adresa e-pošte na koju se šalju očitovanja zainteresirane javnosti na obrascu sudjelovanja javnosti:  </w:t>
      </w:r>
    </w:p>
    <w:p w:rsidR="00580611" w:rsidRPr="00580611" w:rsidRDefault="00580611" w:rsidP="00580611">
      <w:pPr>
        <w:ind w:right="-45"/>
        <w:jc w:val="center"/>
        <w:rPr>
          <w:rFonts w:ascii="Times New Roman" w:hAnsi="Times New Roman"/>
          <w:iCs/>
          <w:sz w:val="24"/>
          <w:szCs w:val="24"/>
        </w:rPr>
      </w:pPr>
    </w:p>
    <w:p w:rsidR="00580611" w:rsidRPr="00580611" w:rsidRDefault="00580611" w:rsidP="00580611">
      <w:pPr>
        <w:jc w:val="center"/>
        <w:rPr>
          <w:rFonts w:ascii="Times New Roman" w:hAnsi="Times New Roman"/>
          <w:b/>
          <w:sz w:val="24"/>
          <w:szCs w:val="24"/>
        </w:rPr>
      </w:pPr>
      <w:r w:rsidRPr="00580611">
        <w:rPr>
          <w:rFonts w:ascii="Times New Roman" w:hAnsi="Times New Roman"/>
          <w:b/>
          <w:bCs/>
          <w:sz w:val="24"/>
          <w:szCs w:val="24"/>
        </w:rPr>
        <w:t>odluka.</w:t>
      </w:r>
      <w:r w:rsidR="00751CCC">
        <w:rPr>
          <w:rFonts w:ascii="Times New Roman" w:hAnsi="Times New Roman"/>
          <w:b/>
          <w:bCs/>
          <w:sz w:val="24"/>
          <w:szCs w:val="24"/>
        </w:rPr>
        <w:t>uredjenjezemljista</w:t>
      </w:r>
      <w:r w:rsidRPr="00580611">
        <w:rPr>
          <w:rFonts w:ascii="Times New Roman" w:hAnsi="Times New Roman"/>
          <w:b/>
          <w:sz w:val="24"/>
          <w:szCs w:val="24"/>
        </w:rPr>
        <w:t>@pula.hr</w:t>
      </w:r>
    </w:p>
    <w:p w:rsidR="00580611" w:rsidRDefault="00580611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611" w:rsidRPr="003421F1" w:rsidRDefault="00580611" w:rsidP="007B5A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DD6" w:rsidRPr="003421F1" w:rsidRDefault="00676FE0" w:rsidP="007B5A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21F1">
        <w:rPr>
          <w:rFonts w:ascii="Times New Roman" w:hAnsi="Times New Roman"/>
          <w:sz w:val="24"/>
          <w:szCs w:val="24"/>
        </w:rPr>
        <w:t xml:space="preserve">                  </w:t>
      </w:r>
    </w:p>
    <w:p w:rsidR="003A4C33" w:rsidRPr="003421F1" w:rsidRDefault="003A4C33" w:rsidP="007B5A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9B1" w:rsidRPr="003421F1" w:rsidRDefault="008049B1" w:rsidP="007B5A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21DD6" w:rsidRPr="003421F1" w:rsidRDefault="00580611" w:rsidP="00580611">
      <w:pPr>
        <w:autoSpaceDE w:val="0"/>
        <w:autoSpaceDN w:val="0"/>
        <w:adjustRightInd w:val="0"/>
        <w:spacing w:after="0"/>
        <w:ind w:firstLine="48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PROČELNIK</w:t>
      </w:r>
    </w:p>
    <w:p w:rsidR="00921DD6" w:rsidRPr="003421F1" w:rsidRDefault="00580611" w:rsidP="007B5A30">
      <w:pPr>
        <w:autoSpaceDE w:val="0"/>
        <w:autoSpaceDN w:val="0"/>
        <w:adjustRightInd w:val="0"/>
        <w:spacing w:after="0"/>
        <w:ind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/>
          <w:b/>
          <w:sz w:val="24"/>
          <w:szCs w:val="24"/>
        </w:rPr>
        <w:t>Stemberger</w:t>
      </w:r>
      <w:proofErr w:type="spellEnd"/>
      <w:r w:rsidR="00921DD6" w:rsidRPr="003421F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dipl.ing.geod.,</w:t>
      </w:r>
      <w:r w:rsidR="00921DD6" w:rsidRPr="003421F1">
        <w:rPr>
          <w:rFonts w:ascii="Times New Roman" w:hAnsi="Times New Roman"/>
          <w:b/>
          <w:sz w:val="24"/>
          <w:szCs w:val="24"/>
        </w:rPr>
        <w:t xml:space="preserve"> v.r.</w:t>
      </w:r>
    </w:p>
    <w:sectPr w:rsidR="00921DD6" w:rsidRPr="003421F1" w:rsidSect="008049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5BB"/>
    <w:multiLevelType w:val="hybridMultilevel"/>
    <w:tmpl w:val="07DE2200"/>
    <w:lvl w:ilvl="0" w:tplc="185E20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126474"/>
    <w:multiLevelType w:val="hybridMultilevel"/>
    <w:tmpl w:val="C2326E3E"/>
    <w:lvl w:ilvl="0" w:tplc="30E4F5AE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066A466C"/>
    <w:multiLevelType w:val="hybridMultilevel"/>
    <w:tmpl w:val="4512483C"/>
    <w:lvl w:ilvl="0" w:tplc="41CA5F52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22F47"/>
    <w:multiLevelType w:val="hybridMultilevel"/>
    <w:tmpl w:val="36F4B8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BA2F92"/>
    <w:multiLevelType w:val="hybridMultilevel"/>
    <w:tmpl w:val="6F18493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1812"/>
    <w:multiLevelType w:val="hybridMultilevel"/>
    <w:tmpl w:val="332A4F1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5547D6A"/>
    <w:multiLevelType w:val="hybridMultilevel"/>
    <w:tmpl w:val="6A441140"/>
    <w:lvl w:ilvl="0" w:tplc="C1CA13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295E61"/>
    <w:multiLevelType w:val="hybridMultilevel"/>
    <w:tmpl w:val="D1C65266"/>
    <w:lvl w:ilvl="0" w:tplc="65748418">
      <w:start w:val="3"/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>
    <w:nsid w:val="44CF6A2E"/>
    <w:multiLevelType w:val="hybridMultilevel"/>
    <w:tmpl w:val="523E6E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A2CD8"/>
    <w:multiLevelType w:val="hybridMultilevel"/>
    <w:tmpl w:val="42BA506A"/>
    <w:lvl w:ilvl="0" w:tplc="865CFAE6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BD5EA5"/>
    <w:multiLevelType w:val="hybridMultilevel"/>
    <w:tmpl w:val="9FBC68D0"/>
    <w:lvl w:ilvl="0" w:tplc="86DAC5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01EC49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AE1EA9"/>
    <w:multiLevelType w:val="hybridMultilevel"/>
    <w:tmpl w:val="8B5AA3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C1533"/>
    <w:multiLevelType w:val="hybridMultilevel"/>
    <w:tmpl w:val="0456C1CE"/>
    <w:lvl w:ilvl="0" w:tplc="9EDE1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4BC9"/>
    <w:multiLevelType w:val="hybridMultilevel"/>
    <w:tmpl w:val="2CAE58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35B3E"/>
    <w:multiLevelType w:val="hybridMultilevel"/>
    <w:tmpl w:val="44084222"/>
    <w:lvl w:ilvl="0" w:tplc="F67222FA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322797"/>
    <w:multiLevelType w:val="hybridMultilevel"/>
    <w:tmpl w:val="53AE8D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D550D"/>
    <w:multiLevelType w:val="hybridMultilevel"/>
    <w:tmpl w:val="E60CEBC4"/>
    <w:lvl w:ilvl="0" w:tplc="47804C50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BF2"/>
    <w:rsid w:val="00010BBC"/>
    <w:rsid w:val="00014C25"/>
    <w:rsid w:val="000224EC"/>
    <w:rsid w:val="00052C2F"/>
    <w:rsid w:val="00063668"/>
    <w:rsid w:val="00076E38"/>
    <w:rsid w:val="000B6B5C"/>
    <w:rsid w:val="000D5BBB"/>
    <w:rsid w:val="000F6FE9"/>
    <w:rsid w:val="00102E6C"/>
    <w:rsid w:val="00104CFA"/>
    <w:rsid w:val="00137EDF"/>
    <w:rsid w:val="00152E88"/>
    <w:rsid w:val="0016567F"/>
    <w:rsid w:val="001678E5"/>
    <w:rsid w:val="001708D9"/>
    <w:rsid w:val="00176A27"/>
    <w:rsid w:val="001817A5"/>
    <w:rsid w:val="001A2265"/>
    <w:rsid w:val="001A3AD6"/>
    <w:rsid w:val="001F17E0"/>
    <w:rsid w:val="00200C13"/>
    <w:rsid w:val="00212F49"/>
    <w:rsid w:val="00217139"/>
    <w:rsid w:val="00221A9B"/>
    <w:rsid w:val="002236C8"/>
    <w:rsid w:val="00227BEB"/>
    <w:rsid w:val="00232A53"/>
    <w:rsid w:val="0024587D"/>
    <w:rsid w:val="00247EE5"/>
    <w:rsid w:val="0025158B"/>
    <w:rsid w:val="0025563C"/>
    <w:rsid w:val="00273A62"/>
    <w:rsid w:val="00276B27"/>
    <w:rsid w:val="002A7608"/>
    <w:rsid w:val="002B7A4A"/>
    <w:rsid w:val="002C4588"/>
    <w:rsid w:val="002E69C3"/>
    <w:rsid w:val="00312656"/>
    <w:rsid w:val="003162B4"/>
    <w:rsid w:val="00326C16"/>
    <w:rsid w:val="00334095"/>
    <w:rsid w:val="003416F5"/>
    <w:rsid w:val="003421F1"/>
    <w:rsid w:val="00343419"/>
    <w:rsid w:val="00363285"/>
    <w:rsid w:val="00364C35"/>
    <w:rsid w:val="00366B0A"/>
    <w:rsid w:val="003848B0"/>
    <w:rsid w:val="00397642"/>
    <w:rsid w:val="003A4C33"/>
    <w:rsid w:val="003A5B5C"/>
    <w:rsid w:val="003A7760"/>
    <w:rsid w:val="003C2A38"/>
    <w:rsid w:val="00425114"/>
    <w:rsid w:val="00444995"/>
    <w:rsid w:val="00474917"/>
    <w:rsid w:val="0047686A"/>
    <w:rsid w:val="00477BE1"/>
    <w:rsid w:val="004A41BE"/>
    <w:rsid w:val="004B466F"/>
    <w:rsid w:val="004D3BEE"/>
    <w:rsid w:val="004D7FE0"/>
    <w:rsid w:val="005141A8"/>
    <w:rsid w:val="00527FD1"/>
    <w:rsid w:val="00530F9E"/>
    <w:rsid w:val="00553B02"/>
    <w:rsid w:val="005640D6"/>
    <w:rsid w:val="00580611"/>
    <w:rsid w:val="00582BAD"/>
    <w:rsid w:val="00582FF3"/>
    <w:rsid w:val="005A0C56"/>
    <w:rsid w:val="005A2FA1"/>
    <w:rsid w:val="005B3AD2"/>
    <w:rsid w:val="005D2764"/>
    <w:rsid w:val="00647E9A"/>
    <w:rsid w:val="00676FE0"/>
    <w:rsid w:val="006D0C8C"/>
    <w:rsid w:val="006D791B"/>
    <w:rsid w:val="006E5FFC"/>
    <w:rsid w:val="00711CF2"/>
    <w:rsid w:val="00711DBE"/>
    <w:rsid w:val="00717CFF"/>
    <w:rsid w:val="00723385"/>
    <w:rsid w:val="00723E78"/>
    <w:rsid w:val="0073560F"/>
    <w:rsid w:val="00745905"/>
    <w:rsid w:val="00746BF2"/>
    <w:rsid w:val="00751CCC"/>
    <w:rsid w:val="007536D7"/>
    <w:rsid w:val="00763FFF"/>
    <w:rsid w:val="007651A2"/>
    <w:rsid w:val="00766241"/>
    <w:rsid w:val="00774BD5"/>
    <w:rsid w:val="00790705"/>
    <w:rsid w:val="007977D5"/>
    <w:rsid w:val="007A639E"/>
    <w:rsid w:val="007A70E5"/>
    <w:rsid w:val="007B44A6"/>
    <w:rsid w:val="007B5A30"/>
    <w:rsid w:val="007C33D6"/>
    <w:rsid w:val="007D63CC"/>
    <w:rsid w:val="007E2168"/>
    <w:rsid w:val="007E51DD"/>
    <w:rsid w:val="00802E60"/>
    <w:rsid w:val="008049B1"/>
    <w:rsid w:val="00806A6A"/>
    <w:rsid w:val="00814669"/>
    <w:rsid w:val="00822880"/>
    <w:rsid w:val="00822B82"/>
    <w:rsid w:val="00835702"/>
    <w:rsid w:val="00853B8E"/>
    <w:rsid w:val="00856CA0"/>
    <w:rsid w:val="00856E6F"/>
    <w:rsid w:val="00861FF8"/>
    <w:rsid w:val="008722D3"/>
    <w:rsid w:val="008730AE"/>
    <w:rsid w:val="00881C45"/>
    <w:rsid w:val="008A4E70"/>
    <w:rsid w:val="008B261F"/>
    <w:rsid w:val="008F375D"/>
    <w:rsid w:val="00921DD6"/>
    <w:rsid w:val="00923F21"/>
    <w:rsid w:val="00926B42"/>
    <w:rsid w:val="00933561"/>
    <w:rsid w:val="0093387C"/>
    <w:rsid w:val="00952C8F"/>
    <w:rsid w:val="009A61FD"/>
    <w:rsid w:val="009C2D3C"/>
    <w:rsid w:val="009C5215"/>
    <w:rsid w:val="009D35D9"/>
    <w:rsid w:val="009D762C"/>
    <w:rsid w:val="00A04BF2"/>
    <w:rsid w:val="00A105A4"/>
    <w:rsid w:val="00A13FCC"/>
    <w:rsid w:val="00A17212"/>
    <w:rsid w:val="00A20174"/>
    <w:rsid w:val="00A266FE"/>
    <w:rsid w:val="00A268C7"/>
    <w:rsid w:val="00A42FC7"/>
    <w:rsid w:val="00A50EBC"/>
    <w:rsid w:val="00A61BC9"/>
    <w:rsid w:val="00A6597C"/>
    <w:rsid w:val="00A73CE8"/>
    <w:rsid w:val="00A81929"/>
    <w:rsid w:val="00A834C0"/>
    <w:rsid w:val="00A926B2"/>
    <w:rsid w:val="00AC5E8F"/>
    <w:rsid w:val="00AD2568"/>
    <w:rsid w:val="00AE1954"/>
    <w:rsid w:val="00AE4126"/>
    <w:rsid w:val="00AE6969"/>
    <w:rsid w:val="00AF72D0"/>
    <w:rsid w:val="00B17CD9"/>
    <w:rsid w:val="00B31E44"/>
    <w:rsid w:val="00B56207"/>
    <w:rsid w:val="00B60B70"/>
    <w:rsid w:val="00B63538"/>
    <w:rsid w:val="00BB1CAD"/>
    <w:rsid w:val="00BB5252"/>
    <w:rsid w:val="00BC4A9A"/>
    <w:rsid w:val="00BC7490"/>
    <w:rsid w:val="00BF3169"/>
    <w:rsid w:val="00BF3C23"/>
    <w:rsid w:val="00C0752E"/>
    <w:rsid w:val="00C24CB8"/>
    <w:rsid w:val="00C25BFF"/>
    <w:rsid w:val="00C43653"/>
    <w:rsid w:val="00C66FAE"/>
    <w:rsid w:val="00C76EB4"/>
    <w:rsid w:val="00CB399D"/>
    <w:rsid w:val="00CC2800"/>
    <w:rsid w:val="00CD33A2"/>
    <w:rsid w:val="00D042A9"/>
    <w:rsid w:val="00D06946"/>
    <w:rsid w:val="00D10C10"/>
    <w:rsid w:val="00D2734C"/>
    <w:rsid w:val="00D2760D"/>
    <w:rsid w:val="00DA62DB"/>
    <w:rsid w:val="00DB5531"/>
    <w:rsid w:val="00DD1151"/>
    <w:rsid w:val="00DF044A"/>
    <w:rsid w:val="00DF5785"/>
    <w:rsid w:val="00E02906"/>
    <w:rsid w:val="00E03904"/>
    <w:rsid w:val="00E16E8C"/>
    <w:rsid w:val="00E2569A"/>
    <w:rsid w:val="00E4268D"/>
    <w:rsid w:val="00E47CA7"/>
    <w:rsid w:val="00E53BBA"/>
    <w:rsid w:val="00E90F3F"/>
    <w:rsid w:val="00EA2AF8"/>
    <w:rsid w:val="00EF145E"/>
    <w:rsid w:val="00EF78BF"/>
    <w:rsid w:val="00F205CF"/>
    <w:rsid w:val="00F22EA7"/>
    <w:rsid w:val="00F33519"/>
    <w:rsid w:val="00F430A9"/>
    <w:rsid w:val="00F67FDC"/>
    <w:rsid w:val="00F73C8F"/>
    <w:rsid w:val="00F91899"/>
    <w:rsid w:val="00F95DBC"/>
    <w:rsid w:val="00FD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F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3A5B5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3A5B5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B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7686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6B42"/>
  </w:style>
  <w:style w:type="character" w:styleId="Hyperlink">
    <w:name w:val="Hyperlink"/>
    <w:basedOn w:val="DefaultParagraphFont"/>
    <w:unhideWhenUsed/>
    <w:rsid w:val="00926B42"/>
    <w:rPr>
      <w:color w:val="0000FF"/>
      <w:u w:val="single"/>
    </w:rPr>
  </w:style>
  <w:style w:type="paragraph" w:customStyle="1" w:styleId="tb-na16">
    <w:name w:val="tb-na16"/>
    <w:basedOn w:val="Normal"/>
    <w:rsid w:val="00181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-12-9-fett-s">
    <w:name w:val="t-12-9-fett-s"/>
    <w:basedOn w:val="Normal"/>
    <w:rsid w:val="00181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A5B5C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A5B5C"/>
    <w:rPr>
      <w:rFonts w:ascii="Cambria" w:eastAsia="Times New Roman" w:hAnsi="Cambria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F67FDC"/>
    <w:pPr>
      <w:spacing w:after="0" w:line="240" w:lineRule="auto"/>
      <w:ind w:left="284"/>
      <w:jc w:val="both"/>
    </w:pPr>
    <w:rPr>
      <w:rFonts w:ascii="Times New Roman" w:hAnsi="Times New Roman"/>
      <w:color w:val="000000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67FDC"/>
    <w:rPr>
      <w:rFonts w:ascii="Times New Roman" w:eastAsia="Times New Roman" w:hAnsi="Times New Roman"/>
      <w:color w:val="000000"/>
      <w:lang w:val="en-AU"/>
    </w:rPr>
  </w:style>
  <w:style w:type="paragraph" w:styleId="NormalWeb">
    <w:name w:val="Normal (Web)"/>
    <w:basedOn w:val="Normal"/>
    <w:uiPriority w:val="99"/>
    <w:unhideWhenUsed/>
    <w:rsid w:val="00366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</dc:creator>
  <cp:lastModifiedBy>skljajic</cp:lastModifiedBy>
  <cp:revision>4</cp:revision>
  <cp:lastPrinted>2019-02-11T12:54:00Z</cp:lastPrinted>
  <dcterms:created xsi:type="dcterms:W3CDTF">2022-04-04T11:09:00Z</dcterms:created>
  <dcterms:modified xsi:type="dcterms:W3CDTF">2022-05-10T11:56:00Z</dcterms:modified>
</cp:coreProperties>
</file>