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24" w:rsidRPr="0060531D" w:rsidRDefault="00492F24" w:rsidP="00492F24">
      <w:pPr>
        <w:pStyle w:val="Caption"/>
        <w:jc w:val="center"/>
        <w:rPr>
          <w:rFonts w:ascii="Arial Narrow" w:hAnsi="Arial Narrow"/>
          <w:noProof/>
          <w:sz w:val="24"/>
          <w:szCs w:val="24"/>
        </w:rPr>
      </w:pPr>
      <w:bookmarkStart w:id="0" w:name="_Toc468978617"/>
      <w:r w:rsidRPr="0060531D">
        <w:rPr>
          <w:rFonts w:ascii="Arial Narrow" w:hAnsi="Arial Narrow"/>
          <w:noProof/>
          <w:sz w:val="24"/>
          <w:szCs w:val="24"/>
        </w:rPr>
        <w:t>Obrazac Izvješća o savjetovanju s javnošću</w:t>
      </w:r>
      <w:bookmarkEnd w:id="0"/>
    </w:p>
    <w:p w:rsidR="00492F24" w:rsidRPr="0060531D" w:rsidRDefault="00492F24" w:rsidP="00492F24">
      <w:pPr>
        <w:rPr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5799"/>
      </w:tblGrid>
      <w:tr w:rsidR="00492F24" w:rsidRPr="0060531D" w:rsidTr="00CF4CA1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492F24" w:rsidRPr="0060531D" w:rsidRDefault="00492F24" w:rsidP="00CF4CA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492F24" w:rsidRPr="0060531D" w:rsidRDefault="00492F24" w:rsidP="00CF4CA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IZVJEŠĆE O SAVJETOVANJU S JAVNOŠĆU U POSTUPKU DONOŠENJA </w:t>
            </w:r>
          </w:p>
          <w:p w:rsidR="00492F24" w:rsidRPr="0060531D" w:rsidRDefault="00492F24" w:rsidP="006756AD">
            <w:pPr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ODLUKE O</w:t>
            </w:r>
            <w:r w:rsidR="006756A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 KOMUNALNOM REDU</w:t>
            </w:r>
          </w:p>
          <w:p w:rsidR="00492F24" w:rsidRPr="0060531D" w:rsidRDefault="00492F24" w:rsidP="00CF4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Nositelj izrade izvješća: Upravni odjel za prostorno uređenje, komunalni sustav i imovinu</w:t>
            </w:r>
          </w:p>
          <w:p w:rsidR="00492F24" w:rsidRPr="0060531D" w:rsidRDefault="00492F24" w:rsidP="00CF4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Pula, </w:t>
            </w:r>
            <w:r w:rsidR="00761869" w:rsidRPr="00372DF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1</w:t>
            </w:r>
            <w:r w:rsidR="00372DF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6</w:t>
            </w:r>
            <w:r w:rsidRPr="00372DF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. srpnja 2019. godine</w:t>
            </w:r>
          </w:p>
          <w:p w:rsidR="00492F24" w:rsidRPr="0060531D" w:rsidRDefault="00492F24" w:rsidP="00CF4CA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92F24" w:rsidRPr="0060531D" w:rsidTr="00CF4CA1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</w:pPr>
          </w:p>
          <w:p w:rsidR="00492F24" w:rsidRPr="0060531D" w:rsidRDefault="00492F24" w:rsidP="00CF4CA1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</w:pPr>
            <w:r w:rsidRPr="0060531D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 xml:space="preserve">Nacrt prijedloga Odluke o </w:t>
            </w:r>
            <w:r w:rsidR="002F3DE1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komunalnom redu</w:t>
            </w:r>
          </w:p>
          <w:p w:rsidR="00492F24" w:rsidRPr="0060531D" w:rsidRDefault="00492F24" w:rsidP="00CF4CA1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</w:pPr>
          </w:p>
        </w:tc>
      </w:tr>
      <w:tr w:rsidR="00492F24" w:rsidRPr="0060531D" w:rsidTr="00CF4CA1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</w:pPr>
            <w:r w:rsidRPr="0060531D">
              <w:rPr>
                <w:noProof/>
              </w:rPr>
              <w:t xml:space="preserve"> </w:t>
            </w:r>
            <w:r w:rsidRPr="0060531D">
              <w:rPr>
                <w:rFonts w:ascii="Arial Narrow" w:hAnsi="Arial Narrow"/>
                <w:noProof/>
                <w:sz w:val="20"/>
                <w:szCs w:val="20"/>
              </w:rPr>
              <w:t>Upravni odjel za prostorno uređenje, komunalni sustav i imovinu</w:t>
            </w:r>
          </w:p>
        </w:tc>
      </w:tr>
      <w:tr w:rsidR="00492F24" w:rsidRPr="0060531D" w:rsidTr="00CF4CA1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92F24" w:rsidRPr="008B3E7F" w:rsidRDefault="00492F24" w:rsidP="008B3E7F">
            <w:pPr>
              <w:spacing w:after="120" w:line="240" w:lineRule="auto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8B3E7F">
              <w:rPr>
                <w:rFonts w:ascii="Arial Narrow" w:hAnsi="Arial Narrow"/>
                <w:noProof/>
                <w:sz w:val="20"/>
                <w:szCs w:val="20"/>
              </w:rPr>
              <w:t xml:space="preserve">Uključivanje javnosti u donošenju </w:t>
            </w:r>
            <w:r w:rsidR="002F3DE1" w:rsidRPr="008B3E7F">
              <w:rPr>
                <w:rFonts w:ascii="Arial Narrow" w:hAnsi="Arial Narrow"/>
                <w:noProof/>
                <w:sz w:val="20"/>
                <w:szCs w:val="20"/>
              </w:rPr>
              <w:t xml:space="preserve">Odluke </w:t>
            </w:r>
            <w:r w:rsidRPr="008B3E7F">
              <w:rPr>
                <w:rFonts w:ascii="Arial Narrow" w:hAnsi="Arial Narrow"/>
                <w:noProof/>
                <w:sz w:val="20"/>
                <w:szCs w:val="20"/>
              </w:rPr>
              <w:t xml:space="preserve">radi što </w:t>
            </w:r>
            <w:r w:rsidR="002F3DE1" w:rsidRPr="008B3E7F">
              <w:rPr>
                <w:rFonts w:ascii="Arial Narrow" w:hAnsi="Arial Narrow"/>
                <w:noProof/>
                <w:sz w:val="20"/>
                <w:szCs w:val="20"/>
              </w:rPr>
              <w:t xml:space="preserve">kvalitetnijeg reguliranja </w:t>
            </w:r>
            <w:r w:rsidR="008B3E7F">
              <w:rPr>
                <w:rFonts w:ascii="Arial Narrow" w:hAnsi="Arial Narrow"/>
                <w:noProof/>
                <w:sz w:val="20"/>
                <w:szCs w:val="20"/>
              </w:rPr>
              <w:t xml:space="preserve">komunalnog reda te mjera </w:t>
            </w:r>
            <w:r w:rsidR="002F3DE1" w:rsidRPr="008B3E7F">
              <w:rPr>
                <w:rFonts w:ascii="Arial Narrow" w:hAnsi="Arial Narrow"/>
                <w:noProof/>
                <w:sz w:val="20"/>
                <w:szCs w:val="20"/>
              </w:rPr>
              <w:t>za njegovo provođenje na području grada Pule-Pola</w:t>
            </w:r>
          </w:p>
        </w:tc>
      </w:tr>
      <w:tr w:rsidR="00492F24" w:rsidRPr="0060531D" w:rsidTr="00CF4CA1">
        <w:trPr>
          <w:trHeight w:val="525"/>
        </w:trPr>
        <w:tc>
          <w:tcPr>
            <w:tcW w:w="348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Objava dokumenata za savjetovanje </w:t>
            </w: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Razdoblje provedbe savjetovanja </w:t>
            </w:r>
          </w:p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9F2421" w:rsidP="00CF4CA1">
            <w:pPr>
              <w:spacing w:after="120" w:line="240" w:lineRule="auto"/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</w:pPr>
            <w:hyperlink r:id="rId6" w:history="1">
              <w:r w:rsidR="008B3E7F">
                <w:rPr>
                  <w:rStyle w:val="Hyperlink"/>
                </w:rPr>
                <w:t>http://www.pula.hr/hr/eusluge/ekonzultacije/ekonzultacije-u-tijeku/25/nacrt-prijedloga-odluke-o-komunalnom-redu/</w:t>
              </w:r>
            </w:hyperlink>
          </w:p>
        </w:tc>
      </w:tr>
      <w:tr w:rsidR="00492F24" w:rsidRPr="0060531D" w:rsidTr="00CF4CA1">
        <w:trPr>
          <w:trHeight w:val="1499"/>
        </w:trPr>
        <w:tc>
          <w:tcPr>
            <w:tcW w:w="348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8B3E7F">
            <w:pPr>
              <w:spacing w:after="120" w:line="240" w:lineRule="auto"/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Internetsko savjetovanje s javnošću provedeno je u razdoblju od 1</w:t>
            </w:r>
            <w:r w:rsidR="008B3E7F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2</w:t>
            </w:r>
            <w:r w:rsidRPr="0060531D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. lipnja 2019. godine do 1</w:t>
            </w:r>
            <w:r w:rsidR="008B3E7F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2</w:t>
            </w:r>
            <w:r w:rsidRPr="0060531D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. srpnja 2019. godine </w:t>
            </w:r>
          </w:p>
        </w:tc>
      </w:tr>
      <w:tr w:rsidR="00492F24" w:rsidRPr="0060531D" w:rsidTr="00CF4CA1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8B3E7F" w:rsidRDefault="00492F24" w:rsidP="008B3E7F">
            <w:pPr>
              <w:spacing w:after="120" w:line="240" w:lineRule="auto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8B3E7F">
              <w:rPr>
                <w:rFonts w:ascii="Arial Narrow" w:hAnsi="Arial Narrow"/>
                <w:noProof/>
                <w:sz w:val="20"/>
                <w:szCs w:val="20"/>
              </w:rPr>
              <w:t>Sadržano u Prilogu br. 1</w:t>
            </w:r>
          </w:p>
        </w:tc>
      </w:tr>
      <w:tr w:rsidR="00492F24" w:rsidRPr="0060531D" w:rsidTr="00CF4CA1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92F24" w:rsidRPr="0060531D" w:rsidRDefault="00492F24" w:rsidP="00CF4CA1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Troškovi provedenog savjetovanja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92F24" w:rsidRPr="0060531D" w:rsidRDefault="00492F24" w:rsidP="00CF4CA1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:rsidR="00580287" w:rsidRPr="0060531D" w:rsidRDefault="00492F24" w:rsidP="00A5648D">
      <w:pPr>
        <w:rPr>
          <w:noProof/>
        </w:rPr>
        <w:sectPr w:rsidR="00580287" w:rsidRPr="0060531D" w:rsidSect="00A564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531D">
        <w:rPr>
          <w:noProof/>
        </w:rPr>
        <w:br w:type="page"/>
      </w:r>
    </w:p>
    <w:p w:rsidR="00580287" w:rsidRPr="00761869" w:rsidRDefault="00580287" w:rsidP="00FC3F5D">
      <w:pPr>
        <w:spacing w:after="120" w:line="240" w:lineRule="auto"/>
        <w:rPr>
          <w:rFonts w:ascii="Arial Narrow" w:hAnsi="Arial Narrow" w:cs="Arial"/>
          <w:b/>
          <w:noProof/>
          <w:sz w:val="24"/>
          <w:szCs w:val="24"/>
          <w:shd w:val="clear" w:color="auto" w:fill="FFFFFF"/>
        </w:rPr>
      </w:pPr>
      <w:r w:rsidRPr="00761869">
        <w:rPr>
          <w:rFonts w:ascii="Arial Narrow" w:hAnsi="Arial Narrow" w:cs="Arial"/>
          <w:b/>
          <w:noProof/>
          <w:sz w:val="24"/>
          <w:szCs w:val="24"/>
          <w:shd w:val="clear" w:color="auto" w:fill="FFFFFF"/>
        </w:rPr>
        <w:lastRenderedPageBreak/>
        <w:t xml:space="preserve">Prilog 1. </w:t>
      </w:r>
      <w:r w:rsidR="00846153" w:rsidRPr="00761869">
        <w:rPr>
          <w:rFonts w:ascii="Arial Narrow" w:hAnsi="Arial Narrow" w:cs="Arial"/>
          <w:b/>
          <w:noProof/>
          <w:sz w:val="24"/>
          <w:szCs w:val="24"/>
          <w:shd w:val="clear" w:color="auto" w:fill="FFFFFF"/>
        </w:rPr>
        <w:t xml:space="preserve"> </w:t>
      </w:r>
      <w:r w:rsidRPr="00761869">
        <w:rPr>
          <w:rFonts w:ascii="Arial Narrow" w:hAnsi="Arial Narrow" w:cs="Arial"/>
          <w:b/>
          <w:noProof/>
          <w:sz w:val="24"/>
          <w:szCs w:val="24"/>
          <w:shd w:val="clear" w:color="auto" w:fill="FFFFFF"/>
        </w:rPr>
        <w:t>Pregled prihvaćenih i neprihvaćenih primjedbi</w:t>
      </w:r>
    </w:p>
    <w:p w:rsidR="00761869" w:rsidRPr="00FC3F5D" w:rsidRDefault="00761869" w:rsidP="00FC3F5D">
      <w:pPr>
        <w:spacing w:after="120" w:line="240" w:lineRule="auto"/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</w:pPr>
    </w:p>
    <w:tbl>
      <w:tblPr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3"/>
        <w:gridCol w:w="1887"/>
        <w:gridCol w:w="7654"/>
        <w:gridCol w:w="4536"/>
      </w:tblGrid>
      <w:tr w:rsidR="00580287" w:rsidRPr="00761869" w:rsidTr="00FC3F5D">
        <w:tc>
          <w:tcPr>
            <w:tcW w:w="773" w:type="dxa"/>
            <w:vAlign w:val="center"/>
          </w:tcPr>
          <w:p w:rsidR="00580287" w:rsidRPr="00761869" w:rsidRDefault="00580287" w:rsidP="00FC3F5D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Redni broj</w:t>
            </w:r>
          </w:p>
        </w:tc>
        <w:tc>
          <w:tcPr>
            <w:tcW w:w="1887" w:type="dxa"/>
            <w:vAlign w:val="center"/>
          </w:tcPr>
          <w:p w:rsidR="00580287" w:rsidRPr="00761869" w:rsidRDefault="00580287" w:rsidP="00FC3F5D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Sudionik savjetovanja (ime i prezime pojedinca, naziv organizacije)</w:t>
            </w:r>
          </w:p>
        </w:tc>
        <w:tc>
          <w:tcPr>
            <w:tcW w:w="7654" w:type="dxa"/>
            <w:vAlign w:val="center"/>
          </w:tcPr>
          <w:p w:rsidR="00580287" w:rsidRPr="00761869" w:rsidRDefault="00580287" w:rsidP="00FC3F5D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Tekst zaprimljenog prijedloga ili mišljenja</w:t>
            </w:r>
          </w:p>
        </w:tc>
        <w:tc>
          <w:tcPr>
            <w:tcW w:w="4536" w:type="dxa"/>
            <w:vAlign w:val="center"/>
          </w:tcPr>
          <w:p w:rsidR="00580287" w:rsidRPr="00761869" w:rsidRDefault="00580287" w:rsidP="00FC3F5D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Status prijedloga ili mišljenja (prihvaćanje/neprihvaćanje s  obrazloženjem)</w:t>
            </w:r>
          </w:p>
        </w:tc>
      </w:tr>
      <w:tr w:rsidR="00580287" w:rsidRPr="00761869" w:rsidTr="00DF1922">
        <w:trPr>
          <w:trHeight w:val="567"/>
        </w:trPr>
        <w:tc>
          <w:tcPr>
            <w:tcW w:w="773" w:type="dxa"/>
            <w:vAlign w:val="center"/>
          </w:tcPr>
          <w:p w:rsidR="00580287" w:rsidRPr="00761869" w:rsidRDefault="00925FA3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87" w:type="dxa"/>
            <w:vAlign w:val="center"/>
          </w:tcPr>
          <w:p w:rsidR="00580287" w:rsidRPr="00761869" w:rsidRDefault="00DF1922" w:rsidP="00DF1922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MINISTARSTVO KULTURE</w:t>
            </w:r>
          </w:p>
          <w:p w:rsidR="00DF1922" w:rsidRPr="00761869" w:rsidRDefault="00DF1922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Uprava za zaštitu kulturne baštine</w:t>
            </w:r>
          </w:p>
        </w:tc>
        <w:tc>
          <w:tcPr>
            <w:tcW w:w="7654" w:type="dxa"/>
            <w:vAlign w:val="center"/>
          </w:tcPr>
          <w:p w:rsidR="00580287" w:rsidRPr="00761869" w:rsidRDefault="00BB4D32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U konzervatorske smjernice koje se ugrađuju u Odluku o komunalnom redu uvjetuje se ugraditi slijedeće:</w:t>
            </w:r>
          </w:p>
          <w:p w:rsidR="00DF1922" w:rsidRPr="00761869" w:rsidRDefault="00DF1922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</w:p>
          <w:p w:rsidR="00DF1922" w:rsidRPr="00761869" w:rsidRDefault="00DF1922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</w:p>
          <w:p w:rsidR="00BB4D32" w:rsidRPr="00761869" w:rsidRDefault="00BB4D32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bankomat i tehnika njegove ugradnje ne smiju oštetiti kulturno dobro i njegove dijelove</w:t>
            </w:r>
          </w:p>
          <w:p w:rsidR="00BB4D32" w:rsidRPr="00761869" w:rsidRDefault="00BB4D32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mjesto i način ugradnje ovise o a</w:t>
            </w:r>
            <w:r w:rsidR="00B11281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r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hitektonskim, stilskim i funkcional</w:t>
            </w:r>
            <w:r w:rsidR="000C62EA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nim obilježjima zgrade koja ne smiju biti ugrožena</w:t>
            </w:r>
          </w:p>
          <w:p w:rsidR="000C62EA" w:rsidRPr="00761869" w:rsidRDefault="000C62EA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na mjestima gdje je postava uređaja prihvatljiva, zahtijeva se vizualna neutralnost postave – vidljiv može biti samo operativni dio bankomata (ekran i tipkovnica)</w:t>
            </w:r>
          </w:p>
          <w:p w:rsidR="000C62EA" w:rsidRPr="00761869" w:rsidRDefault="000C62EA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ugradnja bankomata nije prihvatljiva na zidanim dijelovima pročelja, izvan ostakljenih dijelova građevinskih otvora te nesmije zadirati u povijesnu građevnu strukturu, odnosno arhitektonsko oblikovane elemente (kameni okviri, povijesna stolarija i sl.)</w:t>
            </w:r>
          </w:p>
          <w:p w:rsidR="000C62EA" w:rsidRPr="00761869" w:rsidRDefault="000C62EA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nije prihvatljivo postavljanje bankomata na pojedinačno zaštićenim kulturnim dobrima, osim na građevinama koje su izvorno projektirane za bankarske institucije</w:t>
            </w:r>
          </w:p>
          <w:p w:rsidR="000C62EA" w:rsidRPr="00761869" w:rsidRDefault="000C62EA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ugradnja bankomata nije prihvatl</w:t>
            </w:r>
            <w:r w:rsidR="001B1630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jiva unutar stilski oblikovanih izloga (kao npr. Izlozi s drvenim profanacijama ili dekorativnim detaljima, posebnim vrstama ostakljenja i sl.)</w:t>
            </w:r>
          </w:p>
          <w:p w:rsidR="001B1630" w:rsidRPr="00761869" w:rsidRDefault="001B1630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nije prihvatljivo postavljanje dodatnih reklama, svjetlosnih uređaja, kao ni dodatnog osvjetljenja bankomata</w:t>
            </w:r>
          </w:p>
          <w:p w:rsidR="001B1630" w:rsidRPr="00761869" w:rsidRDefault="001B1630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nije prihvatljivo postavljanje više bankomata u jednom građevinskom otvoru</w:t>
            </w:r>
          </w:p>
          <w:p w:rsidR="001B1630" w:rsidRPr="00761869" w:rsidRDefault="001B1630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lastRenderedPageBreak/>
              <w:t>postavljanje više bankomata nije moguće na povijesnim pročeljima već unutar jednog poslovnog prostora koji će se tretirati kao zajednički poslovni prostor za smještaj nekoliko bankomata različitih tvrtki</w:t>
            </w:r>
          </w:p>
          <w:p w:rsidR="00BB4D32" w:rsidRPr="00761869" w:rsidRDefault="001B1630" w:rsidP="00DF192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ne dozvoljava se postava samostojećih bankomata na javnim prostorima, uličnim koridorima, zelenim površinama, povijesnim gradskim parkovima unutar kulturno povijesnih zaštićenih cjelina</w:t>
            </w:r>
          </w:p>
        </w:tc>
        <w:tc>
          <w:tcPr>
            <w:tcW w:w="4536" w:type="dxa"/>
            <w:vAlign w:val="center"/>
          </w:tcPr>
          <w:p w:rsidR="00580287" w:rsidRPr="00761869" w:rsidRDefault="00847AF8" w:rsidP="00DF1922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lastRenderedPageBreak/>
              <w:t>Prihvaća se djelomično</w:t>
            </w:r>
          </w:p>
          <w:p w:rsidR="00847AF8" w:rsidRPr="00761869" w:rsidRDefault="00847AF8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Obzirom na važnost zaštite i očuvanja </w:t>
            </w:r>
            <w:r w:rsidR="007D7F2E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vrijednih 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građevina i prostora graditeljske baštine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,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ne samo u zaštićenoj kulturno povijesnoj cjelini već i na cjelokupnom području Grada Pule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,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Prijedlogom Odluke o komunalnom redu 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za</w:t>
            </w:r>
            <w:r w:rsidR="007D7F2E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zahvate koji su od utjecaja na te građevine i prostore 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već je utvrđena </w:t>
            </w:r>
            <w:r w:rsidR="007D7F2E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obveza sudjelovanja gradskog upravnog tijela nadležnog za poslove graditeljskog naslijeđa kao i n</w:t>
            </w:r>
            <w:r w:rsidR="0081235C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adležnog Konzervatorskog odjela u sklopu kojega će se utvrđivati mogućnost kao i uvjeti realizacije pojedinih zahvata.</w:t>
            </w:r>
          </w:p>
          <w:p w:rsidR="00D03948" w:rsidRPr="00761869" w:rsidRDefault="0081235C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Slijedom navedenog, a obzirom da je postava bankomata samo jedna od niza aktivnosti kojima se utječe na sveukupni izgled grada te posebno vrijedne građevine i prostore graditeljske baštine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ne procjenjuje se oportunim detaljno propisivanje navedenih uvjeta samo za te predmete no navedene će smjernice svakako činiti temelj za sudjelovanje nadležnih tijela u postupcima koje je potrebno provesti.</w:t>
            </w:r>
          </w:p>
          <w:p w:rsidR="007D7F2E" w:rsidRPr="00761869" w:rsidRDefault="0081235C" w:rsidP="00811BEF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Kako bi se,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811BEF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ipak</w:t>
            </w:r>
            <w:r w:rsidR="00D03948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, 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jasnije artikulirala važnost 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lastRenderedPageBreak/>
              <w:t xml:space="preserve">provedbe navedenog postupka, obveza sudjelovanja nadležnih tijela </w:t>
            </w:r>
            <w:r w:rsidR="00811BEF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te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pobliže definirale građevine i prostori od važnosti za zaštitu graditeljske baštine, po potrebi će se doraditi odredbe relevantnih članaka.</w:t>
            </w:r>
          </w:p>
        </w:tc>
      </w:tr>
      <w:tr w:rsidR="00925FA3" w:rsidRPr="00761869" w:rsidTr="00DF1922">
        <w:trPr>
          <w:trHeight w:val="567"/>
        </w:trPr>
        <w:tc>
          <w:tcPr>
            <w:tcW w:w="773" w:type="dxa"/>
            <w:shd w:val="clear" w:color="auto" w:fill="auto"/>
            <w:vAlign w:val="center"/>
          </w:tcPr>
          <w:p w:rsidR="00925FA3" w:rsidRPr="00761869" w:rsidRDefault="003F6D89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925FA3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25FA3" w:rsidRPr="00761869" w:rsidRDefault="00925FA3" w:rsidP="00DF1922">
            <w:pPr>
              <w:spacing w:after="120" w:line="240" w:lineRule="auto"/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b/>
                <w:noProof/>
                <w:sz w:val="24"/>
                <w:szCs w:val="24"/>
                <w:shd w:val="clear" w:color="auto" w:fill="FFFFFF"/>
              </w:rPr>
              <w:t>Vijeće Mjesnog odbora Stari Grad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25FA3" w:rsidRPr="00761869" w:rsidRDefault="00925FA3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Predlaže se u Odluku o komunalnom redu ugraditi odredbu kojom bi se u pješačkoj zoni unutar starogradske jezgre uvela zabrana</w:t>
            </w:r>
            <w:r w:rsidR="00811BEF"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osobama hodati neodjeven, djelomično odjeven bez gornjeg ili donjeg dijela odjeće, u kupaćem ili dijelu kupaćeg kostima.</w:t>
            </w:r>
          </w:p>
          <w:p w:rsidR="00925FA3" w:rsidRPr="00761869" w:rsidRDefault="00925FA3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Kao minimum odjevenosti smatrale bi se kratke hlače ili suknja na donjem dijelu te košulja ili majica sa ili bez naramenica na gornjem dijelu.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5FA3" w:rsidRPr="00761869" w:rsidRDefault="00925FA3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Ne prihvaća se.</w:t>
            </w:r>
          </w:p>
          <w:p w:rsidR="00761869" w:rsidRPr="00761869" w:rsidRDefault="00761869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Na području grada Pule-Pola predmetno nije prepoznato kao učestala pojava koja bi predstavljala temelj za uvođenje tako decidirane odredbe.</w:t>
            </w:r>
          </w:p>
          <w:p w:rsidR="00925FA3" w:rsidRPr="00761869" w:rsidRDefault="00761869" w:rsidP="00DF1922">
            <w:pPr>
              <w:spacing w:after="120" w:line="240" w:lineRule="auto"/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</w:pPr>
            <w:r w:rsidRPr="00761869">
              <w:rPr>
                <w:rFonts w:ascii="Arial Narrow" w:hAnsi="Arial Narrow" w:cs="Arial"/>
                <w:noProof/>
                <w:sz w:val="24"/>
                <w:szCs w:val="24"/>
                <w:shd w:val="clear" w:color="auto" w:fill="FFFFFF"/>
              </w:rPr>
              <w:t>Slijedom navedenog u ovom se trenutku isto ne procjenjuje prihvatljivim.</w:t>
            </w:r>
          </w:p>
        </w:tc>
      </w:tr>
    </w:tbl>
    <w:p w:rsidR="00580287" w:rsidRPr="0060531D" w:rsidRDefault="00580287" w:rsidP="0058028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sectPr w:rsidR="00580287" w:rsidRPr="0060531D" w:rsidSect="005802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21D8"/>
    <w:multiLevelType w:val="hybridMultilevel"/>
    <w:tmpl w:val="24C60A48"/>
    <w:lvl w:ilvl="0" w:tplc="1DD03DFA">
      <w:start w:val="3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05131"/>
    <w:multiLevelType w:val="hybridMultilevel"/>
    <w:tmpl w:val="AC00F434"/>
    <w:lvl w:ilvl="0" w:tplc="4672E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D4B77"/>
    <w:multiLevelType w:val="hybridMultilevel"/>
    <w:tmpl w:val="B2A888EE"/>
    <w:lvl w:ilvl="0" w:tplc="A2DE8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16835"/>
    <w:rsid w:val="000304A0"/>
    <w:rsid w:val="00033FD5"/>
    <w:rsid w:val="00053D88"/>
    <w:rsid w:val="000C54FF"/>
    <w:rsid w:val="000C62EA"/>
    <w:rsid w:val="000F6E63"/>
    <w:rsid w:val="00104916"/>
    <w:rsid w:val="00111319"/>
    <w:rsid w:val="00113D8C"/>
    <w:rsid w:val="001143A3"/>
    <w:rsid w:val="001306FA"/>
    <w:rsid w:val="001669FD"/>
    <w:rsid w:val="00167E11"/>
    <w:rsid w:val="001907B5"/>
    <w:rsid w:val="001B1630"/>
    <w:rsid w:val="001B42F8"/>
    <w:rsid w:val="001C5FFD"/>
    <w:rsid w:val="001D5084"/>
    <w:rsid w:val="001D78DF"/>
    <w:rsid w:val="001E4F97"/>
    <w:rsid w:val="00214EE3"/>
    <w:rsid w:val="00220A63"/>
    <w:rsid w:val="00226BC4"/>
    <w:rsid w:val="00236E8E"/>
    <w:rsid w:val="00240B06"/>
    <w:rsid w:val="00250099"/>
    <w:rsid w:val="00254AC6"/>
    <w:rsid w:val="00286D07"/>
    <w:rsid w:val="002906BA"/>
    <w:rsid w:val="002A58FD"/>
    <w:rsid w:val="002F3DE1"/>
    <w:rsid w:val="003004D8"/>
    <w:rsid w:val="003154CF"/>
    <w:rsid w:val="0035546B"/>
    <w:rsid w:val="00372DFD"/>
    <w:rsid w:val="0038764B"/>
    <w:rsid w:val="00396FD3"/>
    <w:rsid w:val="003B110C"/>
    <w:rsid w:val="003C3A00"/>
    <w:rsid w:val="003D7555"/>
    <w:rsid w:val="003F3FB4"/>
    <w:rsid w:val="003F6D89"/>
    <w:rsid w:val="00404963"/>
    <w:rsid w:val="00410043"/>
    <w:rsid w:val="00413853"/>
    <w:rsid w:val="004265EC"/>
    <w:rsid w:val="00431992"/>
    <w:rsid w:val="004325FC"/>
    <w:rsid w:val="00445B0C"/>
    <w:rsid w:val="004542EF"/>
    <w:rsid w:val="00465073"/>
    <w:rsid w:val="00465BE0"/>
    <w:rsid w:val="0047086C"/>
    <w:rsid w:val="004815AF"/>
    <w:rsid w:val="00490725"/>
    <w:rsid w:val="00492F24"/>
    <w:rsid w:val="004A1573"/>
    <w:rsid w:val="004D3B82"/>
    <w:rsid w:val="00502B50"/>
    <w:rsid w:val="00504138"/>
    <w:rsid w:val="00504DDF"/>
    <w:rsid w:val="005169BA"/>
    <w:rsid w:val="005412DA"/>
    <w:rsid w:val="00551580"/>
    <w:rsid w:val="0055615D"/>
    <w:rsid w:val="00580287"/>
    <w:rsid w:val="005850BB"/>
    <w:rsid w:val="00587C9C"/>
    <w:rsid w:val="005B0986"/>
    <w:rsid w:val="005B18C2"/>
    <w:rsid w:val="005B4415"/>
    <w:rsid w:val="005D3E06"/>
    <w:rsid w:val="0060531D"/>
    <w:rsid w:val="00622911"/>
    <w:rsid w:val="006241CF"/>
    <w:rsid w:val="006756AD"/>
    <w:rsid w:val="006A0C1A"/>
    <w:rsid w:val="006C3B12"/>
    <w:rsid w:val="006D5829"/>
    <w:rsid w:val="00710D22"/>
    <w:rsid w:val="0072489B"/>
    <w:rsid w:val="00726231"/>
    <w:rsid w:val="00735514"/>
    <w:rsid w:val="00735675"/>
    <w:rsid w:val="00761869"/>
    <w:rsid w:val="00763932"/>
    <w:rsid w:val="007A1C7C"/>
    <w:rsid w:val="007A36DB"/>
    <w:rsid w:val="007D377F"/>
    <w:rsid w:val="007D7F2E"/>
    <w:rsid w:val="00805D93"/>
    <w:rsid w:val="00811BEF"/>
    <w:rsid w:val="0081235C"/>
    <w:rsid w:val="00831CE9"/>
    <w:rsid w:val="008333DA"/>
    <w:rsid w:val="008347D9"/>
    <w:rsid w:val="00843EBF"/>
    <w:rsid w:val="00846153"/>
    <w:rsid w:val="00847AF8"/>
    <w:rsid w:val="008518CC"/>
    <w:rsid w:val="00861A01"/>
    <w:rsid w:val="008817D2"/>
    <w:rsid w:val="008B270A"/>
    <w:rsid w:val="008B3E7F"/>
    <w:rsid w:val="008B7203"/>
    <w:rsid w:val="008C17A7"/>
    <w:rsid w:val="009025CA"/>
    <w:rsid w:val="00914549"/>
    <w:rsid w:val="00925FA3"/>
    <w:rsid w:val="00935AEB"/>
    <w:rsid w:val="00940C29"/>
    <w:rsid w:val="009521C5"/>
    <w:rsid w:val="0098431A"/>
    <w:rsid w:val="00990135"/>
    <w:rsid w:val="009A3ED9"/>
    <w:rsid w:val="009B63C2"/>
    <w:rsid w:val="009C3F8D"/>
    <w:rsid w:val="009D7AE4"/>
    <w:rsid w:val="009E34D1"/>
    <w:rsid w:val="009E50F6"/>
    <w:rsid w:val="009F2421"/>
    <w:rsid w:val="009F4259"/>
    <w:rsid w:val="00A24B9E"/>
    <w:rsid w:val="00A33CA1"/>
    <w:rsid w:val="00A3647C"/>
    <w:rsid w:val="00A44D5B"/>
    <w:rsid w:val="00A45884"/>
    <w:rsid w:val="00A5437C"/>
    <w:rsid w:val="00A5648D"/>
    <w:rsid w:val="00A6242F"/>
    <w:rsid w:val="00A723B6"/>
    <w:rsid w:val="00B11281"/>
    <w:rsid w:val="00B14C3E"/>
    <w:rsid w:val="00B55AE3"/>
    <w:rsid w:val="00B57A97"/>
    <w:rsid w:val="00B72AE5"/>
    <w:rsid w:val="00B75BAF"/>
    <w:rsid w:val="00B93FEC"/>
    <w:rsid w:val="00BB1294"/>
    <w:rsid w:val="00BB4D32"/>
    <w:rsid w:val="00BB6B35"/>
    <w:rsid w:val="00BC2947"/>
    <w:rsid w:val="00BD0035"/>
    <w:rsid w:val="00BE365E"/>
    <w:rsid w:val="00C14C9A"/>
    <w:rsid w:val="00C236F8"/>
    <w:rsid w:val="00C47331"/>
    <w:rsid w:val="00C52159"/>
    <w:rsid w:val="00C55D02"/>
    <w:rsid w:val="00C66D8A"/>
    <w:rsid w:val="00C763F1"/>
    <w:rsid w:val="00C80777"/>
    <w:rsid w:val="00C969E6"/>
    <w:rsid w:val="00CE5301"/>
    <w:rsid w:val="00CE5B1D"/>
    <w:rsid w:val="00D02383"/>
    <w:rsid w:val="00D03948"/>
    <w:rsid w:val="00D129F4"/>
    <w:rsid w:val="00D427D8"/>
    <w:rsid w:val="00D549BA"/>
    <w:rsid w:val="00D7358D"/>
    <w:rsid w:val="00D878C5"/>
    <w:rsid w:val="00D9463B"/>
    <w:rsid w:val="00D9632A"/>
    <w:rsid w:val="00DE2F7D"/>
    <w:rsid w:val="00DF1922"/>
    <w:rsid w:val="00E06FB2"/>
    <w:rsid w:val="00E21A98"/>
    <w:rsid w:val="00E24E89"/>
    <w:rsid w:val="00E41ABA"/>
    <w:rsid w:val="00E45D58"/>
    <w:rsid w:val="00E61656"/>
    <w:rsid w:val="00E64782"/>
    <w:rsid w:val="00E738EC"/>
    <w:rsid w:val="00E754FF"/>
    <w:rsid w:val="00EA5100"/>
    <w:rsid w:val="00EB1AC3"/>
    <w:rsid w:val="00EB7D77"/>
    <w:rsid w:val="00EC347B"/>
    <w:rsid w:val="00EC566D"/>
    <w:rsid w:val="00EC5881"/>
    <w:rsid w:val="00EF4FE8"/>
    <w:rsid w:val="00F00BCB"/>
    <w:rsid w:val="00F01E57"/>
    <w:rsid w:val="00F266A5"/>
    <w:rsid w:val="00F27C8D"/>
    <w:rsid w:val="00F3303B"/>
    <w:rsid w:val="00F603C9"/>
    <w:rsid w:val="00F735B0"/>
    <w:rsid w:val="00F736E8"/>
    <w:rsid w:val="00F742DA"/>
    <w:rsid w:val="00F9603E"/>
    <w:rsid w:val="00FC3F5D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B4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hr/eusluge/ekonzultacije/ekonzultacije-u-tijeku/25/nacrt-prijedloga-odluke-o-komunalnom-r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8CE65-BDBB-4AC0-B5F0-89188896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skljajic</cp:lastModifiedBy>
  <cp:revision>2</cp:revision>
  <cp:lastPrinted>2019-07-12T06:34:00Z</cp:lastPrinted>
  <dcterms:created xsi:type="dcterms:W3CDTF">2019-07-26T10:41:00Z</dcterms:created>
  <dcterms:modified xsi:type="dcterms:W3CDTF">2019-07-26T10:41:00Z</dcterms:modified>
</cp:coreProperties>
</file>