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9FBC" w14:textId="77777777" w:rsidR="00A03B9E" w:rsidRPr="00A03B9E" w:rsidRDefault="00A03B9E" w:rsidP="00A03B9E">
      <w:pPr>
        <w:jc w:val="both"/>
        <w:rPr>
          <w:rFonts w:ascii="Times New Roman" w:hAnsi="Times New Roman" w:cs="Times New Roman"/>
          <w:sz w:val="24"/>
          <w:szCs w:val="24"/>
        </w:rPr>
      </w:pPr>
      <w:r w:rsidRPr="00A03B9E">
        <w:rPr>
          <w:rFonts w:ascii="Times New Roman" w:hAnsi="Times New Roman" w:cs="Times New Roman"/>
          <w:sz w:val="24"/>
          <w:szCs w:val="24"/>
        </w:rPr>
        <w:t>Sulla base della Delibera sull'indizione de</w:t>
      </w:r>
      <w:r>
        <w:rPr>
          <w:rFonts w:ascii="Times New Roman" w:hAnsi="Times New Roman" w:cs="Times New Roman"/>
          <w:sz w:val="24"/>
          <w:szCs w:val="24"/>
        </w:rPr>
        <w:t xml:space="preserve">ll’Invito </w:t>
      </w:r>
      <w:r w:rsidR="004D15BD">
        <w:rPr>
          <w:rFonts w:ascii="Times New Roman" w:hAnsi="Times New Roman" w:cs="Times New Roman"/>
          <w:sz w:val="24"/>
          <w:szCs w:val="24"/>
        </w:rPr>
        <w:t>pubblico</w:t>
      </w:r>
      <w:r w:rsidRPr="00A03B9E">
        <w:rPr>
          <w:rFonts w:ascii="Times New Roman" w:hAnsi="Times New Roman" w:cs="Times New Roman"/>
          <w:sz w:val="24"/>
          <w:szCs w:val="24"/>
        </w:rPr>
        <w:t xml:space="preserve"> e sulle modalità di distribuzione dei fondi disponibili dal Bilancio della Città di Pula-Pola per l'anno 2026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B9E">
        <w:rPr>
          <w:rFonts w:ascii="Times New Roman" w:hAnsi="Times New Roman" w:cs="Times New Roman"/>
          <w:sz w:val="24"/>
          <w:szCs w:val="24"/>
        </w:rPr>
        <w:t xml:space="preserve"> destinati al finanziamento di programmi e progetti nell'ambito dell'assistenza sociale, della sanità e della veterinaria di interesse generale, attuati da associazioni e altre organizzazioni senza scopo di lucro </w:t>
      </w:r>
      <w:r>
        <w:rPr>
          <w:rFonts w:ascii="Times New Roman" w:hAnsi="Times New Roman" w:cs="Times New Roman"/>
          <w:sz w:val="24"/>
          <w:szCs w:val="24"/>
        </w:rPr>
        <w:t>sul</w:t>
      </w:r>
      <w:r w:rsidRPr="00A03B9E">
        <w:rPr>
          <w:rFonts w:ascii="Times New Roman" w:hAnsi="Times New Roman" w:cs="Times New Roman"/>
          <w:sz w:val="24"/>
          <w:szCs w:val="24"/>
        </w:rPr>
        <w:t xml:space="preserve"> territorio della Città di Pula-Pola, la Città di Pula-Pola indice il 15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03B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03B9E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l’</w:t>
      </w:r>
    </w:p>
    <w:p w14:paraId="239BA193" w14:textId="77777777" w:rsidR="00A03B9E" w:rsidRDefault="00A03B9E" w:rsidP="006C22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259AC" w14:textId="77777777" w:rsidR="006C22CD" w:rsidRPr="006C22CD" w:rsidRDefault="006C22CD" w:rsidP="006C22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2CD">
        <w:rPr>
          <w:rFonts w:ascii="Times New Roman" w:hAnsi="Times New Roman" w:cs="Times New Roman"/>
          <w:b/>
          <w:bCs/>
          <w:sz w:val="24"/>
          <w:szCs w:val="24"/>
        </w:rPr>
        <w:t xml:space="preserve">INVITO </w:t>
      </w:r>
      <w:r w:rsidR="004D15BD">
        <w:rPr>
          <w:rFonts w:ascii="Times New Roman" w:hAnsi="Times New Roman" w:cs="Times New Roman"/>
          <w:b/>
          <w:bCs/>
          <w:sz w:val="24"/>
          <w:szCs w:val="24"/>
        </w:rPr>
        <w:t>PUBBLICO</w:t>
      </w:r>
    </w:p>
    <w:p w14:paraId="1D86EA16" w14:textId="77777777" w:rsidR="00734D8C" w:rsidRDefault="006C22CD" w:rsidP="006C22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2CD">
        <w:rPr>
          <w:rFonts w:ascii="Times New Roman" w:hAnsi="Times New Roman" w:cs="Times New Roman"/>
          <w:b/>
          <w:bCs/>
          <w:sz w:val="24"/>
          <w:szCs w:val="24"/>
        </w:rPr>
        <w:t>per il finanziamento di programmi e progetti nel campo dell'assistenza sociale, sanitaria e veterinaria di interesse</w:t>
      </w:r>
      <w:r w:rsidR="00A03B9E">
        <w:rPr>
          <w:rFonts w:ascii="Times New Roman" w:hAnsi="Times New Roman" w:cs="Times New Roman"/>
          <w:b/>
          <w:bCs/>
          <w:sz w:val="24"/>
          <w:szCs w:val="24"/>
        </w:rPr>
        <w:t xml:space="preserve"> generale</w:t>
      </w:r>
      <w:r w:rsidRPr="006C22CD">
        <w:rPr>
          <w:rFonts w:ascii="Times New Roman" w:hAnsi="Times New Roman" w:cs="Times New Roman"/>
          <w:b/>
          <w:bCs/>
          <w:sz w:val="24"/>
          <w:szCs w:val="24"/>
        </w:rPr>
        <w:t>, realizzati da associazioni e altre organizzazioni senza scopo di lucro nell'area della Città di P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C22CD">
        <w:rPr>
          <w:rFonts w:ascii="Times New Roman" w:hAnsi="Times New Roman" w:cs="Times New Roman"/>
          <w:b/>
          <w:bCs/>
          <w:sz w:val="24"/>
          <w:szCs w:val="24"/>
        </w:rPr>
        <w:t>la-Pola nel 2026</w:t>
      </w:r>
    </w:p>
    <w:p w14:paraId="5BCF1639" w14:textId="77777777" w:rsidR="00A03B9E" w:rsidRDefault="00A03B9E" w:rsidP="00A03B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46672" w14:textId="77777777" w:rsidR="00A03B9E" w:rsidRDefault="00A03B9E" w:rsidP="00A03B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B9E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22ADFCF" w14:textId="77777777" w:rsidR="00A03B9E" w:rsidRDefault="00A03B9E" w:rsidP="00A03B9E">
      <w:pPr>
        <w:jc w:val="both"/>
        <w:rPr>
          <w:rFonts w:ascii="Times New Roman" w:hAnsi="Times New Roman" w:cs="Times New Roman"/>
          <w:sz w:val="24"/>
          <w:szCs w:val="24"/>
        </w:rPr>
      </w:pPr>
      <w:r w:rsidRPr="00A03B9E">
        <w:rPr>
          <w:rFonts w:ascii="Times New Roman" w:hAnsi="Times New Roman" w:cs="Times New Roman"/>
          <w:sz w:val="24"/>
          <w:szCs w:val="24"/>
        </w:rPr>
        <w:t xml:space="preserve">La Città di </w:t>
      </w:r>
      <w:r>
        <w:rPr>
          <w:rFonts w:ascii="Times New Roman" w:hAnsi="Times New Roman" w:cs="Times New Roman"/>
          <w:sz w:val="24"/>
          <w:szCs w:val="24"/>
        </w:rPr>
        <w:t>Pula-</w:t>
      </w:r>
      <w:r w:rsidRPr="00A03B9E">
        <w:rPr>
          <w:rFonts w:ascii="Times New Roman" w:hAnsi="Times New Roman" w:cs="Times New Roman"/>
          <w:sz w:val="24"/>
          <w:szCs w:val="24"/>
        </w:rPr>
        <w:t xml:space="preserve">Pola invita le associazioni e le altre organizzazioni senza scopo di lucro, i cui programmi sono orientati al lavoro nei settori indicati nel presente </w:t>
      </w:r>
      <w:r>
        <w:rPr>
          <w:rFonts w:ascii="Times New Roman" w:hAnsi="Times New Roman" w:cs="Times New Roman"/>
          <w:sz w:val="24"/>
          <w:szCs w:val="24"/>
        </w:rPr>
        <w:t>Invito</w:t>
      </w:r>
      <w:r w:rsidRPr="00A03B9E">
        <w:rPr>
          <w:rFonts w:ascii="Times New Roman" w:hAnsi="Times New Roman" w:cs="Times New Roman"/>
          <w:sz w:val="24"/>
          <w:szCs w:val="24"/>
        </w:rPr>
        <w:t xml:space="preserve"> </w:t>
      </w:r>
      <w:r w:rsidR="004D15BD">
        <w:rPr>
          <w:rFonts w:ascii="Times New Roman" w:hAnsi="Times New Roman" w:cs="Times New Roman"/>
          <w:sz w:val="24"/>
          <w:szCs w:val="24"/>
        </w:rPr>
        <w:t>pubblico</w:t>
      </w:r>
      <w:r w:rsidRPr="00A03B9E">
        <w:rPr>
          <w:rFonts w:ascii="Times New Roman" w:hAnsi="Times New Roman" w:cs="Times New Roman"/>
          <w:sz w:val="24"/>
          <w:szCs w:val="24"/>
        </w:rPr>
        <w:t xml:space="preserve">, a presentare domanda di sostegno finanziario per programmi e progetti che contribuiscono allo sviluppo dei settori prioritari del presente </w:t>
      </w:r>
      <w:r>
        <w:rPr>
          <w:rFonts w:ascii="Times New Roman" w:hAnsi="Times New Roman" w:cs="Times New Roman"/>
          <w:sz w:val="24"/>
          <w:szCs w:val="24"/>
        </w:rPr>
        <w:t>Invito</w:t>
      </w:r>
      <w:r w:rsidRPr="00A03B9E">
        <w:rPr>
          <w:rFonts w:ascii="Times New Roman" w:hAnsi="Times New Roman" w:cs="Times New Roman"/>
          <w:sz w:val="24"/>
          <w:szCs w:val="24"/>
        </w:rPr>
        <w:t xml:space="preserve"> </w:t>
      </w:r>
      <w:r w:rsidR="004D15BD">
        <w:rPr>
          <w:rFonts w:ascii="Times New Roman" w:hAnsi="Times New Roman" w:cs="Times New Roman"/>
          <w:sz w:val="24"/>
          <w:szCs w:val="24"/>
        </w:rPr>
        <w:t>pubblico</w:t>
      </w:r>
      <w:r w:rsidRPr="00A03B9E">
        <w:rPr>
          <w:rFonts w:ascii="Times New Roman" w:hAnsi="Times New Roman" w:cs="Times New Roman"/>
          <w:sz w:val="24"/>
          <w:szCs w:val="24"/>
        </w:rPr>
        <w:t>.</w:t>
      </w:r>
    </w:p>
    <w:p w14:paraId="41D8CB1C" w14:textId="77777777" w:rsidR="004D15BD" w:rsidRDefault="004D15BD" w:rsidP="004D15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5BD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4F4D2E2" w14:textId="30584CAA" w:rsidR="004D15BD" w:rsidRPr="004D15BD" w:rsidRDefault="004D15BD" w:rsidP="004D15BD">
      <w:pPr>
        <w:jc w:val="both"/>
        <w:rPr>
          <w:rFonts w:ascii="Times New Roman" w:hAnsi="Times New Roman" w:cs="Times New Roman"/>
          <w:sz w:val="24"/>
          <w:szCs w:val="24"/>
        </w:rPr>
      </w:pPr>
      <w:r w:rsidRPr="004D15BD">
        <w:rPr>
          <w:rFonts w:ascii="Times New Roman" w:hAnsi="Times New Roman" w:cs="Times New Roman"/>
          <w:sz w:val="24"/>
          <w:szCs w:val="24"/>
        </w:rPr>
        <w:t xml:space="preserve">Le associazioni e le altre organizzazioni senza scopo di lucro, in conformità con il presente </w:t>
      </w:r>
      <w:r>
        <w:rPr>
          <w:rFonts w:ascii="Times New Roman" w:hAnsi="Times New Roman" w:cs="Times New Roman"/>
          <w:sz w:val="24"/>
          <w:szCs w:val="24"/>
        </w:rPr>
        <w:t>Invito</w:t>
      </w:r>
      <w:r w:rsidRPr="004D15BD">
        <w:rPr>
          <w:rFonts w:ascii="Times New Roman" w:hAnsi="Times New Roman" w:cs="Times New Roman"/>
          <w:sz w:val="24"/>
          <w:szCs w:val="24"/>
        </w:rPr>
        <w:t xml:space="preserve">, possono presentare programmi e progetti che contribuiscono allo sviluppo della Città di Pula-Pola, a condizione che i programmi e i progetti presentati siano in linea con il </w:t>
      </w:r>
      <w:r w:rsidR="00DD5D08">
        <w:rPr>
          <w:rFonts w:ascii="Times New Roman" w:hAnsi="Times New Roman" w:cs="Times New Roman"/>
          <w:sz w:val="24"/>
          <w:szCs w:val="24"/>
        </w:rPr>
        <w:t>P</w:t>
      </w:r>
      <w:r w:rsidRPr="004D15BD">
        <w:rPr>
          <w:rFonts w:ascii="Times New Roman" w:hAnsi="Times New Roman" w:cs="Times New Roman"/>
          <w:sz w:val="24"/>
          <w:szCs w:val="24"/>
        </w:rPr>
        <w:t xml:space="preserve">rogramma di </w:t>
      </w:r>
      <w:r w:rsidR="00DD5D08">
        <w:rPr>
          <w:rFonts w:ascii="Times New Roman" w:hAnsi="Times New Roman" w:cs="Times New Roman"/>
          <w:sz w:val="24"/>
          <w:szCs w:val="24"/>
        </w:rPr>
        <w:t xml:space="preserve">sviluppo </w:t>
      </w:r>
      <w:r w:rsidRPr="004D15BD">
        <w:rPr>
          <w:rFonts w:ascii="Times New Roman" w:hAnsi="Times New Roman" w:cs="Times New Roman"/>
          <w:sz w:val="24"/>
          <w:szCs w:val="24"/>
        </w:rPr>
        <w:t xml:space="preserve"> della Città per il periodo 202</w:t>
      </w:r>
      <w:r w:rsidR="00DD5D08">
        <w:rPr>
          <w:rFonts w:ascii="Times New Roman" w:hAnsi="Times New Roman" w:cs="Times New Roman"/>
          <w:sz w:val="24"/>
          <w:szCs w:val="24"/>
        </w:rPr>
        <w:t>0</w:t>
      </w:r>
      <w:r w:rsidRPr="004D15BD">
        <w:rPr>
          <w:rFonts w:ascii="Times New Roman" w:hAnsi="Times New Roman" w:cs="Times New Roman"/>
          <w:sz w:val="24"/>
          <w:szCs w:val="24"/>
        </w:rPr>
        <w:t>-20</w:t>
      </w:r>
      <w:r w:rsidR="00DD5D08">
        <w:rPr>
          <w:rFonts w:ascii="Times New Roman" w:hAnsi="Times New Roman" w:cs="Times New Roman"/>
          <w:sz w:val="24"/>
          <w:szCs w:val="24"/>
        </w:rPr>
        <w:t>30</w:t>
      </w:r>
      <w:r w:rsidRPr="004D15BD">
        <w:rPr>
          <w:rFonts w:ascii="Times New Roman" w:hAnsi="Times New Roman" w:cs="Times New Roman"/>
          <w:sz w:val="24"/>
          <w:szCs w:val="24"/>
        </w:rPr>
        <w:t xml:space="preserve">, Obiettivo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D15BD">
        <w:rPr>
          <w:rFonts w:ascii="Times New Roman" w:hAnsi="Times New Roman" w:cs="Times New Roman"/>
          <w:sz w:val="24"/>
          <w:szCs w:val="24"/>
        </w:rPr>
        <w:t>pecifico 1</w:t>
      </w:r>
      <w:r w:rsidR="00DD5D08">
        <w:rPr>
          <w:rFonts w:ascii="Times New Roman" w:hAnsi="Times New Roman" w:cs="Times New Roman"/>
          <w:sz w:val="24"/>
          <w:szCs w:val="24"/>
        </w:rPr>
        <w:t>.3</w:t>
      </w:r>
      <w:r w:rsidRPr="004D15BD">
        <w:rPr>
          <w:rFonts w:ascii="Times New Roman" w:hAnsi="Times New Roman" w:cs="Times New Roman"/>
          <w:sz w:val="24"/>
          <w:szCs w:val="24"/>
        </w:rPr>
        <w:t>: Città a misura d'uomo, e Misur</w:t>
      </w:r>
      <w:r w:rsidR="00DD5D08">
        <w:rPr>
          <w:rFonts w:ascii="Times New Roman" w:hAnsi="Times New Roman" w:cs="Times New Roman"/>
          <w:sz w:val="24"/>
          <w:szCs w:val="24"/>
        </w:rPr>
        <w:t>e ed attivita di Obiettivo specifico 1.3</w:t>
      </w:r>
      <w:r w:rsidRPr="004D15BD">
        <w:rPr>
          <w:rFonts w:ascii="Times New Roman" w:hAnsi="Times New Roman" w:cs="Times New Roman"/>
          <w:sz w:val="24"/>
          <w:szCs w:val="24"/>
        </w:rPr>
        <w:t>., ovvero, sostegno all'inclusione sociale, alla sanità e allo sviluppo generale della comunità nei seguenti settori:</w:t>
      </w:r>
    </w:p>
    <w:p w14:paraId="2F4AED30" w14:textId="77777777" w:rsidR="004D15BD" w:rsidRPr="004D15BD" w:rsidRDefault="004D15BD" w:rsidP="004D15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A100B" w14:textId="77777777" w:rsidR="004D15BD" w:rsidRPr="004D15BD" w:rsidRDefault="004D15BD" w:rsidP="004D15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5BD">
        <w:rPr>
          <w:rFonts w:ascii="Times New Roman" w:hAnsi="Times New Roman" w:cs="Times New Roman"/>
          <w:b/>
          <w:bCs/>
          <w:sz w:val="24"/>
          <w:szCs w:val="24"/>
        </w:rPr>
        <w:t>1. ASSISTENZA SOCIALE</w:t>
      </w:r>
    </w:p>
    <w:p w14:paraId="2DC66C62" w14:textId="275C4757" w:rsidR="004D15BD" w:rsidRPr="004D15BD" w:rsidRDefault="004D15BD" w:rsidP="004D15BD">
      <w:pPr>
        <w:jc w:val="both"/>
        <w:rPr>
          <w:rFonts w:ascii="Times New Roman" w:hAnsi="Times New Roman" w:cs="Times New Roman"/>
          <w:sz w:val="24"/>
          <w:szCs w:val="24"/>
        </w:rPr>
      </w:pPr>
      <w:r w:rsidRPr="004D15BD">
        <w:rPr>
          <w:rFonts w:ascii="Times New Roman" w:hAnsi="Times New Roman" w:cs="Times New Roman"/>
          <w:sz w:val="24"/>
          <w:szCs w:val="24"/>
        </w:rPr>
        <w:t xml:space="preserve">Programmi e progetti di associazioni e altre organizzazioni senza scopo di lucro in conformità con </w:t>
      </w:r>
      <w:r w:rsidR="00DD5D08">
        <w:rPr>
          <w:rFonts w:ascii="Times New Roman" w:hAnsi="Times New Roman" w:cs="Times New Roman"/>
          <w:sz w:val="24"/>
          <w:szCs w:val="24"/>
        </w:rPr>
        <w:t xml:space="preserve">il Programa di sviluppo della </w:t>
      </w:r>
      <w:r w:rsidR="00DD5D08" w:rsidRPr="004D15BD">
        <w:rPr>
          <w:rFonts w:ascii="Times New Roman" w:hAnsi="Times New Roman" w:cs="Times New Roman"/>
          <w:sz w:val="24"/>
          <w:szCs w:val="24"/>
        </w:rPr>
        <w:t>Città per il periodo 202</w:t>
      </w:r>
      <w:r w:rsidR="00DD5D08">
        <w:rPr>
          <w:rFonts w:ascii="Times New Roman" w:hAnsi="Times New Roman" w:cs="Times New Roman"/>
          <w:sz w:val="24"/>
          <w:szCs w:val="24"/>
        </w:rPr>
        <w:t>0</w:t>
      </w:r>
      <w:r w:rsidR="00DD5D08" w:rsidRPr="004D15BD">
        <w:rPr>
          <w:rFonts w:ascii="Times New Roman" w:hAnsi="Times New Roman" w:cs="Times New Roman"/>
          <w:sz w:val="24"/>
          <w:szCs w:val="24"/>
        </w:rPr>
        <w:t>-20</w:t>
      </w:r>
      <w:r w:rsidR="00DD5D08">
        <w:rPr>
          <w:rFonts w:ascii="Times New Roman" w:hAnsi="Times New Roman" w:cs="Times New Roman"/>
          <w:sz w:val="24"/>
          <w:szCs w:val="24"/>
        </w:rPr>
        <w:t>30</w:t>
      </w:r>
      <w:r w:rsidR="00DD5D08" w:rsidRPr="004D15BD">
        <w:rPr>
          <w:rFonts w:ascii="Times New Roman" w:hAnsi="Times New Roman" w:cs="Times New Roman"/>
          <w:sz w:val="24"/>
          <w:szCs w:val="24"/>
        </w:rPr>
        <w:t xml:space="preserve">, Obiettivo </w:t>
      </w:r>
      <w:r w:rsidR="00DD5D08">
        <w:rPr>
          <w:rFonts w:ascii="Times New Roman" w:hAnsi="Times New Roman" w:cs="Times New Roman"/>
          <w:sz w:val="24"/>
          <w:szCs w:val="24"/>
        </w:rPr>
        <w:t>s</w:t>
      </w:r>
      <w:r w:rsidR="00DD5D08" w:rsidRPr="004D15BD">
        <w:rPr>
          <w:rFonts w:ascii="Times New Roman" w:hAnsi="Times New Roman" w:cs="Times New Roman"/>
          <w:sz w:val="24"/>
          <w:szCs w:val="24"/>
        </w:rPr>
        <w:t>pecifico 1</w:t>
      </w:r>
      <w:r w:rsidR="00DD5D08">
        <w:rPr>
          <w:rFonts w:ascii="Times New Roman" w:hAnsi="Times New Roman" w:cs="Times New Roman"/>
          <w:sz w:val="24"/>
          <w:szCs w:val="24"/>
        </w:rPr>
        <w:t>.3</w:t>
      </w:r>
      <w:r w:rsidR="00DD5D08" w:rsidRPr="004D15BD">
        <w:rPr>
          <w:rFonts w:ascii="Times New Roman" w:hAnsi="Times New Roman" w:cs="Times New Roman"/>
          <w:sz w:val="24"/>
          <w:szCs w:val="24"/>
        </w:rPr>
        <w:t>: Città a misura d'uomo, e Misur</w:t>
      </w:r>
      <w:r w:rsidR="00DD5D08">
        <w:rPr>
          <w:rFonts w:ascii="Times New Roman" w:hAnsi="Times New Roman" w:cs="Times New Roman"/>
          <w:sz w:val="24"/>
          <w:szCs w:val="24"/>
        </w:rPr>
        <w:t>e ed attivita di Obiettivo specifico 1.3</w:t>
      </w:r>
      <w:r w:rsidR="00DD5D08" w:rsidRPr="004D15BD">
        <w:rPr>
          <w:rFonts w:ascii="Times New Roman" w:hAnsi="Times New Roman" w:cs="Times New Roman"/>
          <w:sz w:val="24"/>
          <w:szCs w:val="24"/>
        </w:rPr>
        <w:t>.,</w:t>
      </w:r>
      <w:r w:rsidRPr="004D15BD">
        <w:rPr>
          <w:rFonts w:ascii="Times New Roman" w:hAnsi="Times New Roman" w:cs="Times New Roman"/>
          <w:sz w:val="24"/>
          <w:szCs w:val="24"/>
        </w:rPr>
        <w:t xml:space="preserve"> che sono rivolti a persone con disabilità, bambini e giovani a rischio, anziani, persone in condizioni socioeconomiche svantaggiate e allo sviluppo e alla disponibilità di servizi sociali nella comunità.</w:t>
      </w:r>
    </w:p>
    <w:p w14:paraId="3038C524" w14:textId="77777777" w:rsidR="004D15BD" w:rsidRPr="004D15BD" w:rsidRDefault="004D15BD" w:rsidP="004D15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5BD">
        <w:rPr>
          <w:rFonts w:ascii="Times New Roman" w:hAnsi="Times New Roman" w:cs="Times New Roman"/>
          <w:b/>
          <w:bCs/>
          <w:sz w:val="24"/>
          <w:szCs w:val="24"/>
        </w:rPr>
        <w:t>Importo totale: 60.000,00 euro</w:t>
      </w:r>
    </w:p>
    <w:p w14:paraId="0CEFD23E" w14:textId="77777777" w:rsidR="004D15BD" w:rsidRPr="004D15BD" w:rsidRDefault="004D15BD" w:rsidP="004D15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615808" w14:textId="77777777" w:rsidR="004D15BD" w:rsidRPr="004D15BD" w:rsidRDefault="004D15BD" w:rsidP="004D15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5BD">
        <w:rPr>
          <w:rFonts w:ascii="Times New Roman" w:hAnsi="Times New Roman" w:cs="Times New Roman"/>
          <w:b/>
          <w:bCs/>
          <w:sz w:val="24"/>
          <w:szCs w:val="24"/>
        </w:rPr>
        <w:t>2. SANITÀ</w:t>
      </w:r>
    </w:p>
    <w:p w14:paraId="1C7B1E00" w14:textId="3FFF8870" w:rsidR="004D15BD" w:rsidRPr="004D15BD" w:rsidRDefault="004D15BD" w:rsidP="004D15BD">
      <w:pPr>
        <w:jc w:val="both"/>
        <w:rPr>
          <w:rFonts w:ascii="Times New Roman" w:hAnsi="Times New Roman" w:cs="Times New Roman"/>
          <w:sz w:val="24"/>
          <w:szCs w:val="24"/>
        </w:rPr>
      </w:pPr>
      <w:r w:rsidRPr="004D15BD">
        <w:rPr>
          <w:rFonts w:ascii="Times New Roman" w:hAnsi="Times New Roman" w:cs="Times New Roman"/>
          <w:sz w:val="24"/>
          <w:szCs w:val="24"/>
        </w:rPr>
        <w:t>Programmi e progetti di associazioni e altre organizzazioni senza scopo di lucro in linea con</w:t>
      </w:r>
      <w:r w:rsidR="00DD5D08">
        <w:rPr>
          <w:rFonts w:ascii="Times New Roman" w:hAnsi="Times New Roman" w:cs="Times New Roman"/>
          <w:sz w:val="24"/>
          <w:szCs w:val="24"/>
        </w:rPr>
        <w:t xml:space="preserve"> </w:t>
      </w:r>
      <w:r w:rsidR="00DD5D08">
        <w:rPr>
          <w:rFonts w:ascii="Times New Roman" w:hAnsi="Times New Roman" w:cs="Times New Roman"/>
          <w:sz w:val="24"/>
          <w:szCs w:val="24"/>
        </w:rPr>
        <w:t xml:space="preserve">il Programa di sviluppo della </w:t>
      </w:r>
      <w:r w:rsidR="00DD5D08" w:rsidRPr="004D15BD">
        <w:rPr>
          <w:rFonts w:ascii="Times New Roman" w:hAnsi="Times New Roman" w:cs="Times New Roman"/>
          <w:sz w:val="24"/>
          <w:szCs w:val="24"/>
        </w:rPr>
        <w:t>Città per il periodo 202</w:t>
      </w:r>
      <w:r w:rsidR="00DD5D08">
        <w:rPr>
          <w:rFonts w:ascii="Times New Roman" w:hAnsi="Times New Roman" w:cs="Times New Roman"/>
          <w:sz w:val="24"/>
          <w:szCs w:val="24"/>
        </w:rPr>
        <w:t>0</w:t>
      </w:r>
      <w:r w:rsidR="00DD5D08" w:rsidRPr="004D15BD">
        <w:rPr>
          <w:rFonts w:ascii="Times New Roman" w:hAnsi="Times New Roman" w:cs="Times New Roman"/>
          <w:sz w:val="24"/>
          <w:szCs w:val="24"/>
        </w:rPr>
        <w:t>-20</w:t>
      </w:r>
      <w:r w:rsidR="00DD5D08">
        <w:rPr>
          <w:rFonts w:ascii="Times New Roman" w:hAnsi="Times New Roman" w:cs="Times New Roman"/>
          <w:sz w:val="24"/>
          <w:szCs w:val="24"/>
        </w:rPr>
        <w:t>30</w:t>
      </w:r>
      <w:r w:rsidR="00DD5D08" w:rsidRPr="004D15BD">
        <w:rPr>
          <w:rFonts w:ascii="Times New Roman" w:hAnsi="Times New Roman" w:cs="Times New Roman"/>
          <w:sz w:val="24"/>
          <w:szCs w:val="24"/>
        </w:rPr>
        <w:t xml:space="preserve">, Obiettivo </w:t>
      </w:r>
      <w:r w:rsidR="00DD5D08">
        <w:rPr>
          <w:rFonts w:ascii="Times New Roman" w:hAnsi="Times New Roman" w:cs="Times New Roman"/>
          <w:sz w:val="24"/>
          <w:szCs w:val="24"/>
        </w:rPr>
        <w:t>s</w:t>
      </w:r>
      <w:r w:rsidR="00DD5D08" w:rsidRPr="004D15BD">
        <w:rPr>
          <w:rFonts w:ascii="Times New Roman" w:hAnsi="Times New Roman" w:cs="Times New Roman"/>
          <w:sz w:val="24"/>
          <w:szCs w:val="24"/>
        </w:rPr>
        <w:t>pecifico 1</w:t>
      </w:r>
      <w:r w:rsidR="00DD5D08">
        <w:rPr>
          <w:rFonts w:ascii="Times New Roman" w:hAnsi="Times New Roman" w:cs="Times New Roman"/>
          <w:sz w:val="24"/>
          <w:szCs w:val="24"/>
        </w:rPr>
        <w:t>.3</w:t>
      </w:r>
      <w:r w:rsidR="00DD5D08" w:rsidRPr="004D15BD">
        <w:rPr>
          <w:rFonts w:ascii="Times New Roman" w:hAnsi="Times New Roman" w:cs="Times New Roman"/>
          <w:sz w:val="24"/>
          <w:szCs w:val="24"/>
        </w:rPr>
        <w:t xml:space="preserve">: Città a misura </w:t>
      </w:r>
      <w:r w:rsidR="00DD5D08" w:rsidRPr="004D15BD">
        <w:rPr>
          <w:rFonts w:ascii="Times New Roman" w:hAnsi="Times New Roman" w:cs="Times New Roman"/>
          <w:sz w:val="24"/>
          <w:szCs w:val="24"/>
        </w:rPr>
        <w:lastRenderedPageBreak/>
        <w:t>d'uomo, e Misur</w:t>
      </w:r>
      <w:r w:rsidR="00DD5D08">
        <w:rPr>
          <w:rFonts w:ascii="Times New Roman" w:hAnsi="Times New Roman" w:cs="Times New Roman"/>
          <w:sz w:val="24"/>
          <w:szCs w:val="24"/>
        </w:rPr>
        <w:t>e ed attivita di Obiettivo specifico 1.3</w:t>
      </w:r>
      <w:r w:rsidR="00DD5D08" w:rsidRPr="004D15BD">
        <w:rPr>
          <w:rFonts w:ascii="Times New Roman" w:hAnsi="Times New Roman" w:cs="Times New Roman"/>
          <w:sz w:val="24"/>
          <w:szCs w:val="24"/>
        </w:rPr>
        <w:t>.,</w:t>
      </w:r>
      <w:r w:rsidR="00DD5D08">
        <w:rPr>
          <w:rFonts w:ascii="Times New Roman" w:hAnsi="Times New Roman" w:cs="Times New Roman"/>
          <w:sz w:val="24"/>
          <w:szCs w:val="24"/>
        </w:rPr>
        <w:t xml:space="preserve"> </w:t>
      </w:r>
      <w:r w:rsidRPr="004D15BD">
        <w:rPr>
          <w:rFonts w:ascii="Times New Roman" w:hAnsi="Times New Roman" w:cs="Times New Roman"/>
          <w:sz w:val="24"/>
          <w:szCs w:val="24"/>
        </w:rPr>
        <w:t>che sono volti a migliorare la salute fisica, stili di vita sani, preservare e migliorare la salute mentale, con particolare enfasi su bambini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15BD">
        <w:rPr>
          <w:rFonts w:ascii="Times New Roman" w:hAnsi="Times New Roman" w:cs="Times New Roman"/>
          <w:sz w:val="24"/>
          <w:szCs w:val="24"/>
        </w:rPr>
        <w:t xml:space="preserve"> giovani e anziani, inclusi interventi preventivi, consultivi, educativi e forme di supporto psicosociale di gruppo.</w:t>
      </w:r>
    </w:p>
    <w:p w14:paraId="3A3A997A" w14:textId="77777777" w:rsidR="004D15BD" w:rsidRPr="004D15BD" w:rsidRDefault="004D15BD" w:rsidP="004D15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5BD">
        <w:rPr>
          <w:rFonts w:ascii="Times New Roman" w:hAnsi="Times New Roman" w:cs="Times New Roman"/>
          <w:b/>
          <w:bCs/>
          <w:sz w:val="24"/>
          <w:szCs w:val="24"/>
        </w:rPr>
        <w:t>Importo totale: 100.000,00 euro</w:t>
      </w:r>
    </w:p>
    <w:p w14:paraId="751EAEFD" w14:textId="77777777" w:rsidR="004D15BD" w:rsidRPr="004D15BD" w:rsidRDefault="004D15BD" w:rsidP="004D15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C1FAA" w14:textId="77777777" w:rsidR="004D15BD" w:rsidRPr="004D15BD" w:rsidRDefault="004D15BD" w:rsidP="004D15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5BD">
        <w:rPr>
          <w:rFonts w:ascii="Times New Roman" w:hAnsi="Times New Roman" w:cs="Times New Roman"/>
          <w:b/>
          <w:bCs/>
          <w:sz w:val="24"/>
          <w:szCs w:val="24"/>
        </w:rPr>
        <w:t>3. VETERINARIA</w:t>
      </w:r>
    </w:p>
    <w:p w14:paraId="78C78B0E" w14:textId="77777777" w:rsidR="004D15BD" w:rsidRPr="004D15BD" w:rsidRDefault="004D15BD" w:rsidP="004D15BD">
      <w:pPr>
        <w:jc w:val="both"/>
        <w:rPr>
          <w:rFonts w:ascii="Times New Roman" w:hAnsi="Times New Roman" w:cs="Times New Roman"/>
          <w:sz w:val="24"/>
          <w:szCs w:val="24"/>
        </w:rPr>
      </w:pPr>
      <w:r w:rsidRPr="004D15BD">
        <w:rPr>
          <w:rFonts w:ascii="Times New Roman" w:hAnsi="Times New Roman" w:cs="Times New Roman"/>
          <w:sz w:val="24"/>
          <w:szCs w:val="24"/>
        </w:rPr>
        <w:t>Programmi e progetti di associazioni e altre organizzazioni senza scopo di lucro che contribuiscono al miglioramento e allo sviluppo dell'assistenza veterinaria, del benessere degli animali e della protezione della salute pubblica.</w:t>
      </w:r>
    </w:p>
    <w:p w14:paraId="1A2E912C" w14:textId="77777777" w:rsidR="004D15BD" w:rsidRDefault="004D15BD" w:rsidP="004D15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5BD">
        <w:rPr>
          <w:rFonts w:ascii="Times New Roman" w:hAnsi="Times New Roman" w:cs="Times New Roman"/>
          <w:b/>
          <w:bCs/>
          <w:sz w:val="24"/>
          <w:szCs w:val="24"/>
        </w:rPr>
        <w:t>Importo totale: 3.000,00 euro</w:t>
      </w:r>
    </w:p>
    <w:p w14:paraId="07840CD8" w14:textId="77777777" w:rsidR="004D15BD" w:rsidRDefault="004D15BD" w:rsidP="004D15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D755C" w14:textId="77777777" w:rsidR="004D15BD" w:rsidRDefault="004D15BD" w:rsidP="004D15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5BD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03BC41C9" w14:textId="77777777" w:rsidR="004D15BD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 xml:space="preserve">I fondi finanziari che la Città di Pula–Pola assegna tramite questo </w:t>
      </w:r>
      <w:r>
        <w:rPr>
          <w:rFonts w:ascii="Times New Roman" w:hAnsi="Times New Roman" w:cs="Times New Roman"/>
          <w:sz w:val="24"/>
          <w:szCs w:val="24"/>
        </w:rPr>
        <w:t>Invito</w:t>
      </w:r>
      <w:r w:rsidRPr="00770533">
        <w:rPr>
          <w:rFonts w:ascii="Times New Roman" w:hAnsi="Times New Roman" w:cs="Times New Roman"/>
          <w:sz w:val="24"/>
          <w:szCs w:val="24"/>
        </w:rPr>
        <w:t xml:space="preserve"> pubblico si riferiscono a supporti finanziari annuali per programmi e progetti che saranno realizzati nell'anno solare per il quale l</w:t>
      </w:r>
      <w:r>
        <w:rPr>
          <w:rFonts w:ascii="Times New Roman" w:hAnsi="Times New Roman" w:cs="Times New Roman"/>
          <w:sz w:val="24"/>
          <w:szCs w:val="24"/>
        </w:rPr>
        <w:t>’Invito</w:t>
      </w:r>
      <w:r w:rsidRPr="00770533">
        <w:rPr>
          <w:rFonts w:ascii="Times New Roman" w:hAnsi="Times New Roman" w:cs="Times New Roman"/>
          <w:sz w:val="24"/>
          <w:szCs w:val="24"/>
        </w:rPr>
        <w:t xml:space="preserve"> è pubblicato (anno 2026).</w:t>
      </w:r>
    </w:p>
    <w:p w14:paraId="68347D21" w14:textId="77777777" w:rsidR="00770533" w:rsidRPr="00770533" w:rsidRDefault="00770533" w:rsidP="00770533">
      <w:pPr>
        <w:spacing w:afterLines="60" w:after="144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77053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IV.</w:t>
      </w:r>
    </w:p>
    <w:p w14:paraId="40B15546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 xml:space="preserve">Hanno il diritto di presentare domanda a questo </w:t>
      </w:r>
      <w:r w:rsidR="001E0664">
        <w:rPr>
          <w:rFonts w:ascii="Times New Roman" w:hAnsi="Times New Roman" w:cs="Times New Roman"/>
          <w:sz w:val="24"/>
          <w:szCs w:val="24"/>
        </w:rPr>
        <w:t>Invito</w:t>
      </w:r>
      <w:r w:rsidRPr="00770533">
        <w:rPr>
          <w:rFonts w:ascii="Times New Roman" w:hAnsi="Times New Roman" w:cs="Times New Roman"/>
          <w:sz w:val="24"/>
          <w:szCs w:val="24"/>
        </w:rPr>
        <w:t xml:space="preserve"> le associazioni e le altre organizzazioni senza scopo di lucro che svolgono attività nei settori indicati in questo </w:t>
      </w:r>
      <w:r w:rsidR="001E0664">
        <w:rPr>
          <w:rFonts w:ascii="Times New Roman" w:hAnsi="Times New Roman" w:cs="Times New Roman"/>
          <w:sz w:val="24"/>
          <w:szCs w:val="24"/>
        </w:rPr>
        <w:t>Invito</w:t>
      </w:r>
      <w:r w:rsidRPr="00770533">
        <w:rPr>
          <w:rFonts w:ascii="Times New Roman" w:hAnsi="Times New Roman" w:cs="Times New Roman"/>
          <w:sz w:val="24"/>
          <w:szCs w:val="24"/>
        </w:rPr>
        <w:t xml:space="preserve"> e che soddisfano le seguenti condizioni:</w:t>
      </w:r>
    </w:p>
    <w:p w14:paraId="6E2122B0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CA5FD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 xml:space="preserve">1. sono iscritte nel Registro delle associazioni o in un altro registro </w:t>
      </w:r>
      <w:r w:rsidR="00DE487A">
        <w:rPr>
          <w:rFonts w:ascii="Times New Roman" w:hAnsi="Times New Roman" w:cs="Times New Roman"/>
          <w:sz w:val="24"/>
          <w:szCs w:val="24"/>
        </w:rPr>
        <w:t>adeguato</w:t>
      </w:r>
      <w:r w:rsidRPr="00770533">
        <w:rPr>
          <w:rFonts w:ascii="Times New Roman" w:hAnsi="Times New Roman" w:cs="Times New Roman"/>
          <w:sz w:val="24"/>
          <w:szCs w:val="24"/>
        </w:rPr>
        <w:t>,</w:t>
      </w:r>
    </w:p>
    <w:p w14:paraId="19B88BB1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>2. sono iscritte nel Registro delle organizzazioni senza scopo di lucro,</w:t>
      </w:r>
    </w:p>
    <w:p w14:paraId="57D3C24B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 xml:space="preserve">3. hanno stabilito nel loro statuto di svolgere attività oggetto di finanziamento ai sensi del presente </w:t>
      </w:r>
      <w:r w:rsidR="001E0664">
        <w:rPr>
          <w:rFonts w:ascii="Times New Roman" w:hAnsi="Times New Roman" w:cs="Times New Roman"/>
          <w:sz w:val="24"/>
          <w:szCs w:val="24"/>
        </w:rPr>
        <w:t>Invito</w:t>
      </w:r>
      <w:r w:rsidRPr="00770533">
        <w:rPr>
          <w:rFonts w:ascii="Times New Roman" w:hAnsi="Times New Roman" w:cs="Times New Roman"/>
          <w:sz w:val="24"/>
          <w:szCs w:val="24"/>
        </w:rPr>
        <w:t>,</w:t>
      </w:r>
    </w:p>
    <w:p w14:paraId="71D18B8A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>4. hanno adempiuto regolarmente agli obblighi derivanti da tutti i contratti di finanziamento precedentemente stipulati con il bilancio della Città di Pula-Pola,</w:t>
      </w:r>
    </w:p>
    <w:p w14:paraId="0EE3143D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>5. contro il richiedente, ovvero la persona autorizzata a rappresentare l'associazione e il responsabile del progetto/programma, non è in corso un procedimento penale e non è stato/a condannato/a in via definitiva per una violazione definita dall'articolo 48, comma 2, lettera c) del Regolamento sui criteri, le misure e le procedure di finanziamento e contrattazione di programmi e progetti di interesse generale attuati dalle associazioni ("Gazzetta Ufficiale" n. 26/15, 37/21), ovvero condannato/a in via definitiva per la commissione di un reato definito dall'articolo 48, comma 2, lettera d) del Regolamento,</w:t>
      </w:r>
    </w:p>
    <w:p w14:paraId="388C193D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lastRenderedPageBreak/>
        <w:t>6. hanno un modello consolidato di buona gestione finanziaria e controlli e un modo per prevenire i conflitti di interesse nella gestione dei fondi pubblici,</w:t>
      </w:r>
    </w:p>
    <w:p w14:paraId="71B11206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>7. hanno un modo stabilito di pubblicare pubblicamente il rapporto programmatico e finanziario sulle attività dell'anno precedente (sito web dell'associazione o altro modo appropriato),</w:t>
      </w:r>
    </w:p>
    <w:p w14:paraId="310D5A5B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>8. hanno capacità organizzative e risorse umane soddisfacenti per l'attuazione del progetto/programma.</w:t>
      </w:r>
    </w:p>
    <w:p w14:paraId="6850175E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D67D5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CB5CB5">
        <w:rPr>
          <w:rFonts w:ascii="Times New Roman" w:hAnsi="Times New Roman" w:cs="Times New Roman"/>
          <w:b/>
          <w:bCs/>
          <w:sz w:val="24"/>
          <w:szCs w:val="24"/>
        </w:rPr>
        <w:t>Non hanno</w:t>
      </w:r>
      <w:r w:rsidRPr="00770533">
        <w:rPr>
          <w:rFonts w:ascii="Times New Roman" w:hAnsi="Times New Roman" w:cs="Times New Roman"/>
          <w:sz w:val="24"/>
          <w:szCs w:val="24"/>
        </w:rPr>
        <w:t xml:space="preserve"> il diritto di presentare domanda al</w:t>
      </w:r>
      <w:r w:rsidR="00CB5CB5">
        <w:rPr>
          <w:rFonts w:ascii="Times New Roman" w:hAnsi="Times New Roman" w:cs="Times New Roman"/>
          <w:sz w:val="24"/>
          <w:szCs w:val="24"/>
        </w:rPr>
        <w:t>l’Invito</w:t>
      </w:r>
      <w:r w:rsidRPr="00770533">
        <w:rPr>
          <w:rFonts w:ascii="Times New Roman" w:hAnsi="Times New Roman" w:cs="Times New Roman"/>
          <w:sz w:val="24"/>
          <w:szCs w:val="24"/>
        </w:rPr>
        <w:t>:</w:t>
      </w:r>
    </w:p>
    <w:p w14:paraId="28A54BCB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>1. associazioni, sezioni, filiali e simili forme organizzative di associazioni e altre organizzazioni senza scopo di lucro che non sono iscritte nel Registro delle associazioni, ovvero in un altro registro a</w:t>
      </w:r>
      <w:r w:rsidR="001E0664">
        <w:rPr>
          <w:rFonts w:ascii="Times New Roman" w:hAnsi="Times New Roman" w:cs="Times New Roman"/>
          <w:sz w:val="24"/>
          <w:szCs w:val="24"/>
        </w:rPr>
        <w:t>deguato</w:t>
      </w:r>
      <w:r w:rsidRPr="00770533">
        <w:rPr>
          <w:rFonts w:ascii="Times New Roman" w:hAnsi="Times New Roman" w:cs="Times New Roman"/>
          <w:sz w:val="24"/>
          <w:szCs w:val="24"/>
        </w:rPr>
        <w:t xml:space="preserve"> e nel Registro delle organizzazioni senza scopo di lucro,</w:t>
      </w:r>
    </w:p>
    <w:p w14:paraId="6859766C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 xml:space="preserve">2. richiedenti la cui attività non è legata alle aree prioritarie del presente </w:t>
      </w:r>
      <w:r w:rsidR="001E0664">
        <w:rPr>
          <w:rFonts w:ascii="Times New Roman" w:hAnsi="Times New Roman" w:cs="Times New Roman"/>
          <w:sz w:val="24"/>
          <w:szCs w:val="24"/>
        </w:rPr>
        <w:t>Invito</w:t>
      </w:r>
      <w:r w:rsidRPr="00770533">
        <w:rPr>
          <w:rFonts w:ascii="Times New Roman" w:hAnsi="Times New Roman" w:cs="Times New Roman"/>
          <w:sz w:val="24"/>
          <w:szCs w:val="24"/>
        </w:rPr>
        <w:t>,</w:t>
      </w:r>
    </w:p>
    <w:p w14:paraId="4B20F89B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>3. richiedenti che hanno utilizzato in modo improprio i fondi precedentemente assegnati da fonti pubbliche,</w:t>
      </w:r>
    </w:p>
    <w:p w14:paraId="4AEE3750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 xml:space="preserve">4. associazioni e altre organizzazioni senza scopo di lucro che sono in </w:t>
      </w:r>
      <w:r w:rsidR="006D479F">
        <w:rPr>
          <w:rFonts w:ascii="Times New Roman" w:hAnsi="Times New Roman" w:cs="Times New Roman"/>
          <w:sz w:val="24"/>
          <w:szCs w:val="24"/>
        </w:rPr>
        <w:t>fallimento</w:t>
      </w:r>
      <w:r w:rsidRPr="00770533">
        <w:rPr>
          <w:rFonts w:ascii="Times New Roman" w:hAnsi="Times New Roman" w:cs="Times New Roman"/>
          <w:sz w:val="24"/>
          <w:szCs w:val="24"/>
        </w:rPr>
        <w:t>,</w:t>
      </w:r>
    </w:p>
    <w:p w14:paraId="2FCCCC35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>5. richiedenti che hanno debiti verso il bilancio della Città di Pula-Pola,</w:t>
      </w:r>
    </w:p>
    <w:p w14:paraId="5EC2E66B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>6. associazioni e altre organizzazioni senza scopo di lucro il cui fondatore è un partito politico,</w:t>
      </w:r>
    </w:p>
    <w:p w14:paraId="760E768D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>7. richiedenti che non hanno presentato rapporti validi sui programmi eseguiti finanziati dal bilancio negli anni precedenti entro il termine stabilito,</w:t>
      </w:r>
    </w:p>
    <w:p w14:paraId="23E6FDB4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>8. richiedenti che non hanno adempiuto regolarmente agli obblighi derivanti da tutti i contratti di finanziamento precedentemente stipulati con il bilancio della Città,</w:t>
      </w:r>
    </w:p>
    <w:p w14:paraId="6F9FAD3E" w14:textId="77777777" w:rsidR="00770533" w:rsidRP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>9. associazioni e altre organizzazioni senza scopo di lucro a cui si applica la Legge sulle associazioni (</w:t>
      </w:r>
      <w:r w:rsidR="007F56B9">
        <w:rPr>
          <w:rFonts w:ascii="Times New Roman" w:hAnsi="Times New Roman" w:cs="Times New Roman"/>
          <w:sz w:val="24"/>
          <w:szCs w:val="24"/>
        </w:rPr>
        <w:t>Gazzetta ufficiale</w:t>
      </w:r>
      <w:r w:rsidRPr="00770533">
        <w:rPr>
          <w:rFonts w:ascii="Times New Roman" w:hAnsi="Times New Roman" w:cs="Times New Roman"/>
          <w:sz w:val="24"/>
          <w:szCs w:val="24"/>
        </w:rPr>
        <w:t xml:space="preserve"> 74/14, 70/17, 98/19, 151/22) che non hanno armonizzato i loro statuti con la suddetta Legge</w:t>
      </w:r>
      <w:r w:rsidR="007F56B9">
        <w:rPr>
          <w:rFonts w:ascii="Times New Roman" w:hAnsi="Times New Roman" w:cs="Times New Roman"/>
          <w:sz w:val="24"/>
          <w:szCs w:val="24"/>
        </w:rPr>
        <w:t>,</w:t>
      </w:r>
    </w:p>
    <w:p w14:paraId="5BC60EF8" w14:textId="77777777" w:rsidR="00770533" w:rsidRDefault="00770533" w:rsidP="00770533">
      <w:pPr>
        <w:jc w:val="both"/>
        <w:rPr>
          <w:rFonts w:ascii="Times New Roman" w:hAnsi="Times New Roman" w:cs="Times New Roman"/>
          <w:sz w:val="24"/>
          <w:szCs w:val="24"/>
        </w:rPr>
      </w:pPr>
      <w:r w:rsidRPr="00770533">
        <w:rPr>
          <w:rFonts w:ascii="Times New Roman" w:hAnsi="Times New Roman" w:cs="Times New Roman"/>
          <w:sz w:val="24"/>
          <w:szCs w:val="24"/>
        </w:rPr>
        <w:t xml:space="preserve">10. </w:t>
      </w:r>
      <w:r w:rsidR="007F56B9">
        <w:rPr>
          <w:rFonts w:ascii="Times New Roman" w:hAnsi="Times New Roman" w:cs="Times New Roman"/>
          <w:sz w:val="24"/>
          <w:szCs w:val="24"/>
        </w:rPr>
        <w:t>i</w:t>
      </w:r>
      <w:r w:rsidRPr="00770533">
        <w:rPr>
          <w:rFonts w:ascii="Times New Roman" w:hAnsi="Times New Roman" w:cs="Times New Roman"/>
          <w:sz w:val="24"/>
          <w:szCs w:val="24"/>
        </w:rPr>
        <w:t>stituzioni i cui fondatori sono persone giuridiche o fisiche, e che non sono iscritte nel Registro delle organizzazioni senza scopo di lucro.</w:t>
      </w:r>
    </w:p>
    <w:p w14:paraId="58392C37" w14:textId="77777777" w:rsidR="00936566" w:rsidRDefault="00936566" w:rsidP="009365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217F1" w14:textId="77777777" w:rsidR="007F56B9" w:rsidRDefault="00936566" w:rsidP="009365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566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623D49D9" w14:textId="77777777" w:rsidR="00936566" w:rsidRPr="00936566" w:rsidRDefault="00936566" w:rsidP="00936566">
      <w:pPr>
        <w:jc w:val="both"/>
        <w:rPr>
          <w:rFonts w:ascii="Times New Roman" w:hAnsi="Times New Roman" w:cs="Times New Roman"/>
          <w:sz w:val="24"/>
          <w:szCs w:val="24"/>
        </w:rPr>
      </w:pPr>
      <w:r w:rsidRPr="00936566">
        <w:rPr>
          <w:rFonts w:ascii="Times New Roman" w:hAnsi="Times New Roman" w:cs="Times New Roman"/>
          <w:sz w:val="24"/>
          <w:szCs w:val="24"/>
        </w:rPr>
        <w:t xml:space="preserve">Il valore totale previsto dell'Invito pubblico è di </w:t>
      </w:r>
      <w:r w:rsidRPr="00936566">
        <w:rPr>
          <w:rFonts w:ascii="Times New Roman" w:hAnsi="Times New Roman" w:cs="Times New Roman"/>
          <w:b/>
          <w:bCs/>
          <w:sz w:val="24"/>
          <w:szCs w:val="24"/>
        </w:rPr>
        <w:t>163.000,00 euro.</w:t>
      </w:r>
    </w:p>
    <w:p w14:paraId="6446E6BE" w14:textId="77777777" w:rsidR="00936566" w:rsidRDefault="00936566" w:rsidP="00936566">
      <w:pPr>
        <w:jc w:val="both"/>
        <w:rPr>
          <w:rFonts w:ascii="Times New Roman" w:hAnsi="Times New Roman" w:cs="Times New Roman"/>
          <w:sz w:val="24"/>
          <w:szCs w:val="24"/>
        </w:rPr>
      </w:pPr>
      <w:r w:rsidRPr="00936566">
        <w:rPr>
          <w:rFonts w:ascii="Times New Roman" w:hAnsi="Times New Roman" w:cs="Times New Roman"/>
          <w:sz w:val="24"/>
          <w:szCs w:val="24"/>
        </w:rPr>
        <w:t>Il valore previsto dell'Invito pubblico per aree, nonché l'importo minimo e massimo dei fondi per aree e il numero previsto di contratti per aree, sono determinati come segue:</w:t>
      </w:r>
    </w:p>
    <w:p w14:paraId="0F0EE9DB" w14:textId="77777777" w:rsidR="00936566" w:rsidRDefault="00936566" w:rsidP="009365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2E4070" w14:textId="77777777" w:rsidR="00936566" w:rsidRDefault="00936566" w:rsidP="009365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6AE645" w14:textId="77777777" w:rsidR="00936566" w:rsidRPr="00936566" w:rsidRDefault="00936566" w:rsidP="0093656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1"/>
        <w:tblpPr w:leftFromText="180" w:rightFromText="180" w:vertAnchor="text" w:tblpXSpec="center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701"/>
        <w:gridCol w:w="1843"/>
        <w:gridCol w:w="1843"/>
        <w:gridCol w:w="1275"/>
      </w:tblGrid>
      <w:tr w:rsidR="00936566" w:rsidRPr="00936566" w14:paraId="4577C267" w14:textId="77777777" w:rsidTr="00936566">
        <w:trPr>
          <w:trHeight w:val="274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F10E03F" w14:textId="77777777" w:rsidR="00936566" w:rsidRPr="00936566" w:rsidRDefault="00936566" w:rsidP="00936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6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Pula-Pola, Assessorato alle attività sociali e ai giovani, via Sergia 2/2</w:t>
            </w:r>
          </w:p>
        </w:tc>
      </w:tr>
      <w:tr w:rsidR="00936566" w:rsidRPr="00936566" w14:paraId="4D74898B" w14:textId="77777777" w:rsidTr="00936566">
        <w:trPr>
          <w:trHeight w:val="1372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E69CA74" w14:textId="77777777" w:rsidR="00936566" w:rsidRPr="00936566" w:rsidRDefault="00936566" w:rsidP="00936566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Contrassegno area prioritaria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B88803B" w14:textId="77777777" w:rsidR="00936566" w:rsidRPr="00936566" w:rsidRDefault="00936566" w:rsidP="00936566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Area</w:t>
            </w:r>
            <w:r w:rsidRPr="0093656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EAC4B33" w14:textId="77777777" w:rsidR="00936566" w:rsidRPr="00936566" w:rsidRDefault="00936566" w:rsidP="00936566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2CDAF5B" w14:textId="77777777" w:rsidR="00936566" w:rsidRPr="00936566" w:rsidRDefault="00936566" w:rsidP="00936566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36566">
              <w:rPr>
                <w:rFonts w:ascii="Times New Roman" w:eastAsia="Times New Roman" w:hAnsi="Times New Roman" w:cs="Times New Roman"/>
                <w:b/>
                <w:lang w:eastAsia="hr-HR"/>
              </w:rPr>
              <w:t>Importo del finanziamento</w:t>
            </w:r>
          </w:p>
          <w:p w14:paraId="37CD0901" w14:textId="77777777" w:rsidR="00936566" w:rsidRPr="00936566" w:rsidRDefault="00936566" w:rsidP="00936566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FDF4820" w14:textId="77777777" w:rsidR="00936566" w:rsidRPr="00936566" w:rsidRDefault="00936566" w:rsidP="00936566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3656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in EUR</w:t>
            </w:r>
            <w:r w:rsidRPr="00936566">
              <w:rPr>
                <w:rFonts w:ascii="Times New Roman" w:eastAsia="Times New Roman" w:hAnsi="Times New Roman" w:cs="Times New Roman"/>
                <w:b/>
                <w:lang w:eastAsia="hr-HR"/>
              </w:rPr>
              <w:tab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3DEC885" w14:textId="77777777" w:rsidR="00936566" w:rsidRPr="00936566" w:rsidRDefault="00936566" w:rsidP="00936566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36566">
              <w:rPr>
                <w:rFonts w:ascii="Times New Roman" w:eastAsia="Times New Roman" w:hAnsi="Times New Roman" w:cs="Times New Roman"/>
                <w:b/>
                <w:lang w:eastAsia="hr-HR"/>
              </w:rPr>
              <w:t>Importo minimo del finanziamento che può essere richiesto e contrattualizzato per singola domanda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4BF6870" w14:textId="77777777" w:rsidR="00936566" w:rsidRPr="00936566" w:rsidRDefault="00936566" w:rsidP="00936566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36566">
              <w:rPr>
                <w:rFonts w:ascii="Times New Roman" w:eastAsia="Times New Roman" w:hAnsi="Times New Roman" w:cs="Times New Roman"/>
                <w:b/>
                <w:lang w:eastAsia="hr-HR"/>
              </w:rPr>
              <w:t>Importo massimo del finanziamento che può essere richiesto e contrattualizzato per singola domanda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E166D86" w14:textId="77777777" w:rsidR="00936566" w:rsidRPr="00936566" w:rsidRDefault="00936566" w:rsidP="00936566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3656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Numero previsto di contratti  </w:t>
            </w:r>
          </w:p>
        </w:tc>
      </w:tr>
      <w:tr w:rsidR="00936566" w:rsidRPr="00936566" w14:paraId="40B5739C" w14:textId="77777777" w:rsidTr="00936566">
        <w:trPr>
          <w:trHeight w:val="81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ACD6780" w14:textId="77777777" w:rsidR="00936566" w:rsidRPr="00936566" w:rsidRDefault="00936566" w:rsidP="00936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08505A" w14:textId="77777777" w:rsidR="00936566" w:rsidRPr="00936566" w:rsidRDefault="00936566" w:rsidP="00936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Assistenza</w:t>
            </w:r>
          </w:p>
          <w:p w14:paraId="2AFF3EAD" w14:textId="77777777" w:rsidR="00936566" w:rsidRPr="00936566" w:rsidRDefault="00936566" w:rsidP="00936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142C3F" w14:textId="77777777" w:rsidR="00936566" w:rsidRPr="00936566" w:rsidRDefault="00936566" w:rsidP="009365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60.000,00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F2259C" w14:textId="77777777" w:rsidR="00936566" w:rsidRPr="00936566" w:rsidRDefault="00936566" w:rsidP="009365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9999867" w14:textId="77777777" w:rsidR="00936566" w:rsidRPr="00936566" w:rsidRDefault="00936566" w:rsidP="009365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478933E" w14:textId="77777777" w:rsidR="00936566" w:rsidRPr="00936566" w:rsidRDefault="00936566" w:rsidP="00936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12 - 60</w:t>
            </w:r>
          </w:p>
        </w:tc>
      </w:tr>
      <w:tr w:rsidR="00936566" w:rsidRPr="00936566" w14:paraId="4FED2E69" w14:textId="77777777" w:rsidTr="00936566">
        <w:trPr>
          <w:trHeight w:val="70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C210975" w14:textId="77777777" w:rsidR="00936566" w:rsidRPr="00936566" w:rsidRDefault="00936566" w:rsidP="00936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74828D" w14:textId="77777777" w:rsidR="00936566" w:rsidRPr="00936566" w:rsidRDefault="00936566" w:rsidP="00936566">
            <w:pPr>
              <w:keepNext/>
              <w:keepLines/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Sanità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C14C25" w14:textId="77777777" w:rsidR="00936566" w:rsidRPr="00936566" w:rsidRDefault="00936566" w:rsidP="009365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100.000,00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C92D0A8" w14:textId="77777777" w:rsidR="00936566" w:rsidRPr="00936566" w:rsidRDefault="00936566" w:rsidP="009365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75B6CC3" w14:textId="77777777" w:rsidR="00936566" w:rsidRPr="00936566" w:rsidRDefault="00936566" w:rsidP="009365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968435E" w14:textId="77777777" w:rsidR="00936566" w:rsidRPr="00936566" w:rsidRDefault="00936566" w:rsidP="00936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10 - 100</w:t>
            </w:r>
          </w:p>
        </w:tc>
      </w:tr>
      <w:tr w:rsidR="00936566" w:rsidRPr="00936566" w14:paraId="78BF441F" w14:textId="77777777" w:rsidTr="00936566">
        <w:trPr>
          <w:trHeight w:val="70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91A5400" w14:textId="77777777" w:rsidR="00936566" w:rsidRPr="00936566" w:rsidRDefault="00936566" w:rsidP="00936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2156661" w14:textId="77777777" w:rsidR="00936566" w:rsidRPr="00936566" w:rsidRDefault="00936566" w:rsidP="00936566">
            <w:pPr>
              <w:keepNext/>
              <w:keepLines/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Veterina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058408" w14:textId="77777777" w:rsidR="00936566" w:rsidRPr="00936566" w:rsidRDefault="00936566" w:rsidP="009365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A71D37" w14:textId="77777777" w:rsidR="00936566" w:rsidRPr="00936566" w:rsidRDefault="00936566" w:rsidP="009365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618BFEA" w14:textId="77777777" w:rsidR="00936566" w:rsidRPr="00936566" w:rsidRDefault="00936566" w:rsidP="009365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E875472" w14:textId="77777777" w:rsidR="00936566" w:rsidRPr="00936566" w:rsidRDefault="00936566" w:rsidP="00936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365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 – 6</w:t>
            </w:r>
          </w:p>
        </w:tc>
      </w:tr>
    </w:tbl>
    <w:p w14:paraId="5CA547A1" w14:textId="77777777" w:rsidR="00936566" w:rsidRPr="00936566" w:rsidRDefault="00936566" w:rsidP="009365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9DAC2" w14:textId="77777777" w:rsidR="001009F8" w:rsidRPr="001009F8" w:rsidRDefault="001009F8" w:rsidP="001009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9F8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340A1434" w14:textId="77777777" w:rsidR="001009F8" w:rsidRPr="001009F8" w:rsidRDefault="001009F8" w:rsidP="001009F8">
      <w:pPr>
        <w:jc w:val="both"/>
        <w:rPr>
          <w:rFonts w:ascii="Times New Roman" w:hAnsi="Times New Roman" w:cs="Times New Roman"/>
          <w:sz w:val="24"/>
          <w:szCs w:val="24"/>
        </w:rPr>
      </w:pPr>
      <w:r w:rsidRPr="001009F8">
        <w:rPr>
          <w:rFonts w:ascii="Times New Roman" w:hAnsi="Times New Roman" w:cs="Times New Roman"/>
          <w:sz w:val="24"/>
          <w:szCs w:val="24"/>
        </w:rPr>
        <w:t xml:space="preserve">Il termine per la presentazione delle domande è di 30 giorni dalla data di pubblicazione dell'Invito pubblico, ovvero entro e non oltre il </w:t>
      </w:r>
      <w:r w:rsidRPr="00CE0C98">
        <w:rPr>
          <w:rFonts w:ascii="Times New Roman" w:hAnsi="Times New Roman" w:cs="Times New Roman"/>
          <w:b/>
          <w:bCs/>
          <w:sz w:val="24"/>
          <w:szCs w:val="24"/>
        </w:rPr>
        <w:t>15 febbraio 2026</w:t>
      </w:r>
      <w:r w:rsidRPr="001009F8">
        <w:rPr>
          <w:rFonts w:ascii="Times New Roman" w:hAnsi="Times New Roman" w:cs="Times New Roman"/>
          <w:sz w:val="24"/>
          <w:szCs w:val="24"/>
        </w:rPr>
        <w:t>. Le domande non presentate entro il termine stabilito dal presente Invito pubblico non saranno prese in considerazione.</w:t>
      </w:r>
    </w:p>
    <w:p w14:paraId="01B5CC90" w14:textId="77777777" w:rsidR="001009F8" w:rsidRPr="001009F8" w:rsidRDefault="001009F8" w:rsidP="001009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75503C" w14:textId="77777777" w:rsidR="001009F8" w:rsidRPr="001009F8" w:rsidRDefault="001009F8" w:rsidP="001009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9F8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4D93CFCF" w14:textId="77777777" w:rsidR="001009F8" w:rsidRPr="001009F8" w:rsidRDefault="001009F8" w:rsidP="001009F8">
      <w:pPr>
        <w:jc w:val="both"/>
        <w:rPr>
          <w:rFonts w:ascii="Times New Roman" w:hAnsi="Times New Roman" w:cs="Times New Roman"/>
          <w:sz w:val="24"/>
          <w:szCs w:val="24"/>
        </w:rPr>
      </w:pPr>
      <w:r w:rsidRPr="001009F8">
        <w:rPr>
          <w:rFonts w:ascii="Times New Roman" w:hAnsi="Times New Roman" w:cs="Times New Roman"/>
          <w:sz w:val="24"/>
          <w:szCs w:val="24"/>
        </w:rPr>
        <w:t>Le associazioni devono essere, in base al loro Statuto, designate per svolgere attività all'interno dell'area prioritaria per la quale presentano la domanda.</w:t>
      </w:r>
    </w:p>
    <w:p w14:paraId="3A982A04" w14:textId="77777777" w:rsidR="001009F8" w:rsidRPr="001009F8" w:rsidRDefault="001009F8" w:rsidP="001009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90B1EB" w14:textId="77777777" w:rsidR="001009F8" w:rsidRPr="001009F8" w:rsidRDefault="001009F8" w:rsidP="001009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9F8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1C0675BD" w14:textId="77777777" w:rsidR="001009F8" w:rsidRPr="001009F8" w:rsidRDefault="001009F8" w:rsidP="001009F8">
      <w:pPr>
        <w:jc w:val="both"/>
        <w:rPr>
          <w:rFonts w:ascii="Times New Roman" w:hAnsi="Times New Roman" w:cs="Times New Roman"/>
          <w:sz w:val="24"/>
          <w:szCs w:val="24"/>
        </w:rPr>
      </w:pPr>
      <w:r w:rsidRPr="001009F8">
        <w:rPr>
          <w:rFonts w:ascii="Times New Roman" w:hAnsi="Times New Roman" w:cs="Times New Roman"/>
          <w:sz w:val="24"/>
          <w:szCs w:val="24"/>
        </w:rPr>
        <w:t xml:space="preserve">I moduli che fanno parte della documentazione devono essere compilati elettronicamente, e le domande devono essere presentate in forma fisica o per posta presso l'Ufficio protocollo della Città di Pula-Pola, </w:t>
      </w:r>
      <w:r w:rsidR="00F65048">
        <w:rPr>
          <w:rFonts w:ascii="Times New Roman" w:hAnsi="Times New Roman" w:cs="Times New Roman"/>
          <w:sz w:val="24"/>
          <w:szCs w:val="24"/>
        </w:rPr>
        <w:t>Mercato vecchio</w:t>
      </w:r>
      <w:r w:rsidRPr="001009F8">
        <w:rPr>
          <w:rFonts w:ascii="Times New Roman" w:hAnsi="Times New Roman" w:cs="Times New Roman"/>
          <w:sz w:val="24"/>
          <w:szCs w:val="24"/>
        </w:rPr>
        <w:t xml:space="preserve"> 1, 52100 P</w:t>
      </w:r>
      <w:r w:rsidR="00F65048">
        <w:rPr>
          <w:rFonts w:ascii="Times New Roman" w:hAnsi="Times New Roman" w:cs="Times New Roman"/>
          <w:sz w:val="24"/>
          <w:szCs w:val="24"/>
        </w:rPr>
        <w:t>o</w:t>
      </w:r>
      <w:r w:rsidRPr="001009F8">
        <w:rPr>
          <w:rFonts w:ascii="Times New Roman" w:hAnsi="Times New Roman" w:cs="Times New Roman"/>
          <w:sz w:val="24"/>
          <w:szCs w:val="24"/>
        </w:rPr>
        <w:t>la.</w:t>
      </w:r>
    </w:p>
    <w:p w14:paraId="3EDFA6C2" w14:textId="77777777" w:rsidR="001009F8" w:rsidRPr="00CE0C98" w:rsidRDefault="001009F8" w:rsidP="001009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9F8">
        <w:rPr>
          <w:rFonts w:ascii="Times New Roman" w:hAnsi="Times New Roman" w:cs="Times New Roman"/>
          <w:sz w:val="24"/>
          <w:szCs w:val="24"/>
        </w:rPr>
        <w:t xml:space="preserve">Sulla busta indicare: </w:t>
      </w:r>
      <w:r w:rsidRPr="00CE0C98">
        <w:rPr>
          <w:rFonts w:ascii="Times New Roman" w:hAnsi="Times New Roman" w:cs="Times New Roman"/>
          <w:b/>
          <w:bCs/>
          <w:sz w:val="24"/>
          <w:szCs w:val="24"/>
        </w:rPr>
        <w:t>Invito pubblico - associazioni nel campo dell'assistenza sociale, della sanità e della veterinaria.</w:t>
      </w:r>
    </w:p>
    <w:p w14:paraId="250D24D0" w14:textId="77777777" w:rsidR="001009F8" w:rsidRPr="001009F8" w:rsidRDefault="001009F8" w:rsidP="001009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4A0C38" w14:textId="77777777" w:rsidR="001009F8" w:rsidRPr="001009F8" w:rsidRDefault="001009F8" w:rsidP="001009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9F8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27C36CDA" w14:textId="77777777" w:rsidR="00936566" w:rsidRPr="00CE0C98" w:rsidRDefault="001009F8" w:rsidP="001009F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9F8">
        <w:rPr>
          <w:rFonts w:ascii="Times New Roman" w:hAnsi="Times New Roman" w:cs="Times New Roman"/>
          <w:sz w:val="24"/>
          <w:szCs w:val="24"/>
        </w:rPr>
        <w:lastRenderedPageBreak/>
        <w:t xml:space="preserve">Le domande non presentate entro il termine stabilito dal presente Invito pubblico e quelle non redatte in conformità al presente Invito pubblico e alle Istruzioni per i richiedenti </w:t>
      </w:r>
      <w:r w:rsidRPr="00CE0C98">
        <w:rPr>
          <w:rFonts w:ascii="Times New Roman" w:hAnsi="Times New Roman" w:cs="Times New Roman"/>
          <w:sz w:val="24"/>
          <w:szCs w:val="24"/>
          <w:u w:val="single"/>
        </w:rPr>
        <w:t>non saranno prese in considerazione.</w:t>
      </w:r>
    </w:p>
    <w:p w14:paraId="0F33BCFE" w14:textId="77777777" w:rsidR="00CE0C98" w:rsidRPr="00CE0C98" w:rsidRDefault="00CE0C98" w:rsidP="00CE0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98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14:paraId="4EE60EED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 xml:space="preserve">Dopo la scadenza del termine per la presentazione delle domande ai sensi </w:t>
      </w:r>
      <w:r w:rsidR="0018541D" w:rsidRPr="00CE0C98">
        <w:rPr>
          <w:rFonts w:ascii="Times New Roman" w:hAnsi="Times New Roman" w:cs="Times New Roman"/>
          <w:sz w:val="24"/>
          <w:szCs w:val="24"/>
        </w:rPr>
        <w:t>del</w:t>
      </w:r>
      <w:r w:rsidR="0018541D">
        <w:rPr>
          <w:rFonts w:ascii="Times New Roman" w:hAnsi="Times New Roman" w:cs="Times New Roman"/>
          <w:sz w:val="24"/>
          <w:szCs w:val="24"/>
        </w:rPr>
        <w:t>l’Invito p</w:t>
      </w:r>
      <w:r w:rsidRPr="00CE0C98">
        <w:rPr>
          <w:rFonts w:ascii="Times New Roman" w:hAnsi="Times New Roman" w:cs="Times New Roman"/>
          <w:sz w:val="24"/>
          <w:szCs w:val="24"/>
        </w:rPr>
        <w:t>ubblico, la Commissione per la preparazione e l'attuazione della procedura e la verifica del rispetto delle condizioni prescritte (formali) procederà alla valutazione del rispetto delle condizioni prescritte (formali) del</w:t>
      </w:r>
      <w:r w:rsidR="0018541D">
        <w:rPr>
          <w:rFonts w:ascii="Times New Roman" w:hAnsi="Times New Roman" w:cs="Times New Roman"/>
          <w:sz w:val="24"/>
          <w:szCs w:val="24"/>
        </w:rPr>
        <w:t>l’Invito</w:t>
      </w:r>
      <w:r w:rsidRPr="00CE0C98">
        <w:rPr>
          <w:rFonts w:ascii="Times New Roman" w:hAnsi="Times New Roman" w:cs="Times New Roman"/>
          <w:sz w:val="24"/>
          <w:szCs w:val="24"/>
        </w:rPr>
        <w:t>.</w:t>
      </w:r>
    </w:p>
    <w:p w14:paraId="6AD76BD8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 xml:space="preserve">Le domande che non hanno soddisfatto i requisiti formali saranno respinte per mancato rispetto delle condizioni formali prescritte dal bando. La Città di </w:t>
      </w:r>
      <w:r w:rsidR="0018541D">
        <w:rPr>
          <w:rFonts w:ascii="Times New Roman" w:hAnsi="Times New Roman" w:cs="Times New Roman"/>
          <w:sz w:val="24"/>
          <w:szCs w:val="24"/>
        </w:rPr>
        <w:t>Pula-</w:t>
      </w:r>
      <w:r w:rsidRPr="00CE0C98">
        <w:rPr>
          <w:rFonts w:ascii="Times New Roman" w:hAnsi="Times New Roman" w:cs="Times New Roman"/>
          <w:sz w:val="24"/>
          <w:szCs w:val="24"/>
        </w:rPr>
        <w:t>Pola ha il diritto di richiedere al richiedente di integrare la documentazione entro 3 giorni.</w:t>
      </w:r>
    </w:p>
    <w:p w14:paraId="65511DD3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 xml:space="preserve">Tutte le associazioni le cui domande saranno respinte per mancato rispetto delle condizioni prescritte, saranno informate di tale fatto entro 8 giorni dalla data della decisione, dopodiché avranno ulteriori 3 giorni dalla data di ricezione della notifica per presentare </w:t>
      </w:r>
      <w:r w:rsidR="0018541D" w:rsidRPr="00CE0C98">
        <w:rPr>
          <w:rFonts w:ascii="Times New Roman" w:hAnsi="Times New Roman" w:cs="Times New Roman"/>
          <w:sz w:val="24"/>
          <w:szCs w:val="24"/>
        </w:rPr>
        <w:t>un’obiezione</w:t>
      </w:r>
      <w:r w:rsidR="0018541D">
        <w:rPr>
          <w:rFonts w:ascii="Times New Roman" w:hAnsi="Times New Roman" w:cs="Times New Roman"/>
          <w:sz w:val="24"/>
          <w:szCs w:val="24"/>
        </w:rPr>
        <w:t xml:space="preserve"> </w:t>
      </w:r>
      <w:r w:rsidRPr="00CE0C98">
        <w:rPr>
          <w:rFonts w:ascii="Times New Roman" w:hAnsi="Times New Roman" w:cs="Times New Roman"/>
          <w:sz w:val="24"/>
          <w:szCs w:val="24"/>
        </w:rPr>
        <w:t>al/all</w:t>
      </w:r>
      <w:r w:rsidR="0018541D">
        <w:rPr>
          <w:rFonts w:ascii="Times New Roman" w:hAnsi="Times New Roman" w:cs="Times New Roman"/>
          <w:sz w:val="24"/>
          <w:szCs w:val="24"/>
        </w:rPr>
        <w:t>’assessora</w:t>
      </w:r>
      <w:r w:rsidRPr="00CE0C98">
        <w:rPr>
          <w:rFonts w:ascii="Times New Roman" w:hAnsi="Times New Roman" w:cs="Times New Roman"/>
          <w:sz w:val="24"/>
          <w:szCs w:val="24"/>
        </w:rPr>
        <w:t xml:space="preserve"> del competente organo amministrativo della Città, il/la quale deciderà in merito entro 8 giorni dalla ricezione del</w:t>
      </w:r>
      <w:r w:rsidR="0018541D">
        <w:rPr>
          <w:rFonts w:ascii="Times New Roman" w:hAnsi="Times New Roman" w:cs="Times New Roman"/>
          <w:sz w:val="24"/>
          <w:szCs w:val="24"/>
        </w:rPr>
        <w:t>l’obiezione</w:t>
      </w:r>
      <w:r w:rsidRPr="00CE0C98">
        <w:rPr>
          <w:rFonts w:ascii="Times New Roman" w:hAnsi="Times New Roman" w:cs="Times New Roman"/>
          <w:sz w:val="24"/>
          <w:szCs w:val="24"/>
        </w:rPr>
        <w:t>.</w:t>
      </w:r>
    </w:p>
    <w:p w14:paraId="73F21844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>In caso di accettazione del</w:t>
      </w:r>
      <w:r w:rsidR="0018541D">
        <w:rPr>
          <w:rFonts w:ascii="Times New Roman" w:hAnsi="Times New Roman" w:cs="Times New Roman"/>
          <w:sz w:val="24"/>
          <w:szCs w:val="24"/>
        </w:rPr>
        <w:t>l’obiezione</w:t>
      </w:r>
      <w:r w:rsidRPr="00CE0C98">
        <w:rPr>
          <w:rFonts w:ascii="Times New Roman" w:hAnsi="Times New Roman" w:cs="Times New Roman"/>
          <w:sz w:val="24"/>
          <w:szCs w:val="24"/>
        </w:rPr>
        <w:t xml:space="preserve"> da parte del/dell</w:t>
      </w:r>
      <w:r w:rsidR="0018541D">
        <w:rPr>
          <w:rFonts w:ascii="Times New Roman" w:hAnsi="Times New Roman" w:cs="Times New Roman"/>
          <w:sz w:val="24"/>
          <w:szCs w:val="24"/>
        </w:rPr>
        <w:t>’assessore d</w:t>
      </w:r>
      <w:r w:rsidR="0018541D" w:rsidRPr="00CE0C98">
        <w:rPr>
          <w:rFonts w:ascii="Times New Roman" w:hAnsi="Times New Roman" w:cs="Times New Roman"/>
          <w:sz w:val="24"/>
          <w:szCs w:val="24"/>
        </w:rPr>
        <w:t>el</w:t>
      </w:r>
      <w:r w:rsidR="0018541D">
        <w:rPr>
          <w:rFonts w:ascii="Times New Roman" w:hAnsi="Times New Roman" w:cs="Times New Roman"/>
          <w:sz w:val="24"/>
          <w:szCs w:val="24"/>
        </w:rPr>
        <w:t>l’</w:t>
      </w:r>
      <w:r w:rsidR="0018541D" w:rsidRPr="00CE0C98">
        <w:rPr>
          <w:rFonts w:ascii="Times New Roman" w:hAnsi="Times New Roman" w:cs="Times New Roman"/>
          <w:sz w:val="24"/>
          <w:szCs w:val="24"/>
        </w:rPr>
        <w:t>organo</w:t>
      </w:r>
      <w:r w:rsidRPr="00CE0C98">
        <w:rPr>
          <w:rFonts w:ascii="Times New Roman" w:hAnsi="Times New Roman" w:cs="Times New Roman"/>
          <w:sz w:val="24"/>
          <w:szCs w:val="24"/>
        </w:rPr>
        <w:t xml:space="preserve"> amministrativo </w:t>
      </w:r>
      <w:r w:rsidR="0018541D">
        <w:rPr>
          <w:rFonts w:ascii="Times New Roman" w:hAnsi="Times New Roman" w:cs="Times New Roman"/>
          <w:sz w:val="24"/>
          <w:szCs w:val="24"/>
        </w:rPr>
        <w:t xml:space="preserve">di </w:t>
      </w:r>
      <w:r w:rsidR="0018541D" w:rsidRPr="00CE0C98">
        <w:rPr>
          <w:rFonts w:ascii="Times New Roman" w:hAnsi="Times New Roman" w:cs="Times New Roman"/>
          <w:sz w:val="24"/>
          <w:szCs w:val="24"/>
        </w:rPr>
        <w:t>competen</w:t>
      </w:r>
      <w:r w:rsidR="0018541D">
        <w:rPr>
          <w:rFonts w:ascii="Times New Roman" w:hAnsi="Times New Roman" w:cs="Times New Roman"/>
          <w:sz w:val="24"/>
          <w:szCs w:val="24"/>
        </w:rPr>
        <w:t>za</w:t>
      </w:r>
      <w:r w:rsidR="0018541D" w:rsidRPr="00CE0C98">
        <w:rPr>
          <w:rFonts w:ascii="Times New Roman" w:hAnsi="Times New Roman" w:cs="Times New Roman"/>
          <w:sz w:val="24"/>
          <w:szCs w:val="24"/>
        </w:rPr>
        <w:t xml:space="preserve"> </w:t>
      </w:r>
      <w:r w:rsidRPr="00CE0C98">
        <w:rPr>
          <w:rFonts w:ascii="Times New Roman" w:hAnsi="Times New Roman" w:cs="Times New Roman"/>
          <w:sz w:val="24"/>
          <w:szCs w:val="24"/>
        </w:rPr>
        <w:t>della Città, la domanda sarà inoltrata per ulteriore procedura di valutazione tecnica, mentre in caso di non accettazione del</w:t>
      </w:r>
      <w:r w:rsidR="0018541D">
        <w:rPr>
          <w:rFonts w:ascii="Times New Roman" w:hAnsi="Times New Roman" w:cs="Times New Roman"/>
          <w:sz w:val="24"/>
          <w:szCs w:val="24"/>
        </w:rPr>
        <w:t>l’obiezione</w:t>
      </w:r>
      <w:r w:rsidRPr="00CE0C98">
        <w:rPr>
          <w:rFonts w:ascii="Times New Roman" w:hAnsi="Times New Roman" w:cs="Times New Roman"/>
          <w:sz w:val="24"/>
          <w:szCs w:val="24"/>
        </w:rPr>
        <w:t xml:space="preserve"> la domanda sarà respinta e l'associazione che ha presentato</w:t>
      </w:r>
      <w:r w:rsidR="0018541D">
        <w:rPr>
          <w:rFonts w:ascii="Times New Roman" w:hAnsi="Times New Roman" w:cs="Times New Roman"/>
          <w:sz w:val="24"/>
          <w:szCs w:val="24"/>
        </w:rPr>
        <w:t xml:space="preserve"> l’obiezione</w:t>
      </w:r>
      <w:r w:rsidRPr="00CE0C98">
        <w:rPr>
          <w:rFonts w:ascii="Times New Roman" w:hAnsi="Times New Roman" w:cs="Times New Roman"/>
          <w:sz w:val="24"/>
          <w:szCs w:val="24"/>
        </w:rPr>
        <w:t xml:space="preserve"> ne sarà informata.</w:t>
      </w:r>
    </w:p>
    <w:p w14:paraId="2999E922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>La decisione sul</w:t>
      </w:r>
      <w:r w:rsidR="0018541D">
        <w:rPr>
          <w:rFonts w:ascii="Times New Roman" w:hAnsi="Times New Roman" w:cs="Times New Roman"/>
          <w:sz w:val="24"/>
          <w:szCs w:val="24"/>
        </w:rPr>
        <w:t>l’obiezione</w:t>
      </w:r>
      <w:r w:rsidRPr="00CE0C98">
        <w:rPr>
          <w:rFonts w:ascii="Times New Roman" w:hAnsi="Times New Roman" w:cs="Times New Roman"/>
          <w:sz w:val="24"/>
          <w:szCs w:val="24"/>
        </w:rPr>
        <w:t xml:space="preserve"> è definitiva.</w:t>
      </w:r>
    </w:p>
    <w:p w14:paraId="10917DB8" w14:textId="77777777" w:rsidR="0032036C" w:rsidRDefault="0032036C" w:rsidP="00CE0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0B072" w14:textId="77777777" w:rsidR="00CE0C98" w:rsidRPr="008B0A97" w:rsidRDefault="00CE0C98" w:rsidP="00CE0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A97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21CDCC86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>Le domande che hanno soddisfatto i requisiti formali, secondo il Verbale di conformità ai requisiti formali, vengono inoltrate per ulteriore procedura, ovvero per la valutazione tecnica alla Commissione di valutazione delle domande, che esamina e valuta solo le domande che hanno soddisfatto i requisiti formali del bando.</w:t>
      </w:r>
    </w:p>
    <w:p w14:paraId="6F2BF29D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076B3F" w14:textId="77777777" w:rsidR="00CE0C98" w:rsidRPr="008B0A97" w:rsidRDefault="00CE0C98" w:rsidP="00CE0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A97">
        <w:rPr>
          <w:rFonts w:ascii="Times New Roman" w:hAnsi="Times New Roman" w:cs="Times New Roman"/>
          <w:b/>
          <w:bCs/>
          <w:sz w:val="24"/>
          <w:szCs w:val="24"/>
        </w:rPr>
        <w:t>XIII.</w:t>
      </w:r>
    </w:p>
    <w:p w14:paraId="2BAA0D41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 xml:space="preserve">La </w:t>
      </w:r>
      <w:r w:rsidR="008B0A97">
        <w:rPr>
          <w:rFonts w:ascii="Times New Roman" w:hAnsi="Times New Roman" w:cs="Times New Roman"/>
          <w:sz w:val="24"/>
          <w:szCs w:val="24"/>
        </w:rPr>
        <w:t>D</w:t>
      </w:r>
      <w:r w:rsidRPr="00CE0C98">
        <w:rPr>
          <w:rFonts w:ascii="Times New Roman" w:hAnsi="Times New Roman" w:cs="Times New Roman"/>
          <w:sz w:val="24"/>
          <w:szCs w:val="24"/>
        </w:rPr>
        <w:t>ecisione sull'assegnazione dei fondi finanziari è presa dal Sindaco, tenendo conto di tutti i fatti accertati e delle possibilità di bilancio.</w:t>
      </w:r>
    </w:p>
    <w:p w14:paraId="35CB4763" w14:textId="77777777" w:rsid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 xml:space="preserve">La </w:t>
      </w:r>
      <w:r w:rsidR="008B0A97">
        <w:rPr>
          <w:rFonts w:ascii="Times New Roman" w:hAnsi="Times New Roman" w:cs="Times New Roman"/>
          <w:sz w:val="24"/>
          <w:szCs w:val="24"/>
        </w:rPr>
        <w:t>D</w:t>
      </w:r>
      <w:r w:rsidRPr="00CE0C98">
        <w:rPr>
          <w:rFonts w:ascii="Times New Roman" w:hAnsi="Times New Roman" w:cs="Times New Roman"/>
          <w:sz w:val="24"/>
          <w:szCs w:val="24"/>
        </w:rPr>
        <w:t xml:space="preserve">ecisione è pubblicata sul sito web della Città di </w:t>
      </w:r>
      <w:r w:rsidR="008B0A97">
        <w:rPr>
          <w:rFonts w:ascii="Times New Roman" w:hAnsi="Times New Roman" w:cs="Times New Roman"/>
          <w:sz w:val="24"/>
          <w:szCs w:val="24"/>
        </w:rPr>
        <w:t>Pula-</w:t>
      </w:r>
      <w:r w:rsidRPr="00CE0C98">
        <w:rPr>
          <w:rFonts w:ascii="Times New Roman" w:hAnsi="Times New Roman" w:cs="Times New Roman"/>
          <w:sz w:val="24"/>
          <w:szCs w:val="24"/>
        </w:rPr>
        <w:t xml:space="preserve">Pola </w:t>
      </w:r>
      <w:hyperlink r:id="rId5" w:history="1">
        <w:r w:rsidR="00AC464E" w:rsidRPr="0021281C">
          <w:rPr>
            <w:rStyle w:val="Hyperlink"/>
            <w:rFonts w:ascii="Times New Roman" w:hAnsi="Times New Roman" w:cs="Times New Roman"/>
            <w:sz w:val="24"/>
            <w:szCs w:val="24"/>
          </w:rPr>
          <w:t>www.pula.hr</w:t>
        </w:r>
      </w:hyperlink>
      <w:r w:rsidRPr="00CE0C98">
        <w:rPr>
          <w:rFonts w:ascii="Times New Roman" w:hAnsi="Times New Roman" w:cs="Times New Roman"/>
          <w:sz w:val="24"/>
          <w:szCs w:val="24"/>
        </w:rPr>
        <w:t>.</w:t>
      </w:r>
    </w:p>
    <w:p w14:paraId="527E7376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 xml:space="preserve">Con tutti i richiedenti a cui sono stati approvati i fondi finanziari, la Città di </w:t>
      </w:r>
      <w:r w:rsidR="008B0A97">
        <w:rPr>
          <w:rFonts w:ascii="Times New Roman" w:hAnsi="Times New Roman" w:cs="Times New Roman"/>
          <w:sz w:val="24"/>
          <w:szCs w:val="24"/>
        </w:rPr>
        <w:t>Pula-</w:t>
      </w:r>
      <w:r w:rsidRPr="00CE0C98">
        <w:rPr>
          <w:rFonts w:ascii="Times New Roman" w:hAnsi="Times New Roman" w:cs="Times New Roman"/>
          <w:sz w:val="24"/>
          <w:szCs w:val="24"/>
        </w:rPr>
        <w:t>Pola firmerà un contratto di finanziamento entro e non oltre 30 giorni dalla data della decisione sull'assegnazione dei fondi finanziari.</w:t>
      </w:r>
    </w:p>
    <w:p w14:paraId="58204F2E" w14:textId="77777777" w:rsid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8554" w14:textId="77777777" w:rsidR="00CE0C98" w:rsidRPr="008B0A97" w:rsidRDefault="00CE0C98" w:rsidP="00CE0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A97">
        <w:rPr>
          <w:rFonts w:ascii="Times New Roman" w:hAnsi="Times New Roman" w:cs="Times New Roman"/>
          <w:b/>
          <w:bCs/>
          <w:sz w:val="24"/>
          <w:szCs w:val="24"/>
        </w:rPr>
        <w:t>XIV.</w:t>
      </w:r>
    </w:p>
    <w:p w14:paraId="5F29DDC0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 xml:space="preserve">I richiedenti insoddisfatti della Decisione sull'assegnazione dei fondi finanziari hanno il diritto di presentare </w:t>
      </w:r>
      <w:r w:rsidR="008B0A97" w:rsidRPr="00CE0C98">
        <w:rPr>
          <w:rFonts w:ascii="Times New Roman" w:hAnsi="Times New Roman" w:cs="Times New Roman"/>
          <w:sz w:val="24"/>
          <w:szCs w:val="24"/>
        </w:rPr>
        <w:t>un</w:t>
      </w:r>
      <w:r w:rsidR="008B0A97">
        <w:rPr>
          <w:rFonts w:ascii="Times New Roman" w:hAnsi="Times New Roman" w:cs="Times New Roman"/>
          <w:sz w:val="24"/>
          <w:szCs w:val="24"/>
        </w:rPr>
        <w:t>’obiezione</w:t>
      </w:r>
      <w:r w:rsidRPr="00CE0C98">
        <w:rPr>
          <w:rFonts w:ascii="Times New Roman" w:hAnsi="Times New Roman" w:cs="Times New Roman"/>
          <w:sz w:val="24"/>
          <w:szCs w:val="24"/>
        </w:rPr>
        <w:t xml:space="preserve"> entro 3 giorni dalla data di consegna della notifica scritta di non finanziamento.</w:t>
      </w:r>
    </w:p>
    <w:p w14:paraId="642D00B7" w14:textId="77777777" w:rsidR="00CE0C98" w:rsidRPr="00CE0C98" w:rsidRDefault="008B0A97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L’obiezione</w:t>
      </w:r>
      <w:r w:rsidR="00CE0C98" w:rsidRPr="00CE0C98">
        <w:rPr>
          <w:rFonts w:ascii="Times New Roman" w:hAnsi="Times New Roman" w:cs="Times New Roman"/>
          <w:sz w:val="24"/>
          <w:szCs w:val="24"/>
        </w:rPr>
        <w:t xml:space="preserve"> può essere presentat</w:t>
      </w:r>
      <w:r>
        <w:rPr>
          <w:rFonts w:ascii="Times New Roman" w:hAnsi="Times New Roman" w:cs="Times New Roman"/>
          <w:sz w:val="24"/>
          <w:szCs w:val="24"/>
        </w:rPr>
        <w:t>a</w:t>
      </w:r>
      <w:r w:rsidR="00CE0C98" w:rsidRPr="00CE0C98">
        <w:rPr>
          <w:rFonts w:ascii="Times New Roman" w:hAnsi="Times New Roman" w:cs="Times New Roman"/>
          <w:sz w:val="24"/>
          <w:szCs w:val="24"/>
        </w:rPr>
        <w:t xml:space="preserve"> in relazione alla procedura di gara. </w:t>
      </w:r>
      <w:r>
        <w:rPr>
          <w:rFonts w:ascii="Times New Roman" w:hAnsi="Times New Roman" w:cs="Times New Roman"/>
          <w:sz w:val="24"/>
          <w:szCs w:val="24"/>
        </w:rPr>
        <w:t>L’obiezione</w:t>
      </w:r>
      <w:r w:rsidR="00CE0C98" w:rsidRPr="00CE0C98">
        <w:rPr>
          <w:rFonts w:ascii="Times New Roman" w:hAnsi="Times New Roman" w:cs="Times New Roman"/>
          <w:sz w:val="24"/>
          <w:szCs w:val="24"/>
        </w:rPr>
        <w:t xml:space="preserve"> che non si riferisce alla procedura di gara sarà respint</w:t>
      </w:r>
      <w:r>
        <w:rPr>
          <w:rFonts w:ascii="Times New Roman" w:hAnsi="Times New Roman" w:cs="Times New Roman"/>
          <w:sz w:val="24"/>
          <w:szCs w:val="24"/>
        </w:rPr>
        <w:t>a</w:t>
      </w:r>
      <w:r w:rsidR="00CE0C98" w:rsidRPr="00CE0C98">
        <w:rPr>
          <w:rFonts w:ascii="Times New Roman" w:hAnsi="Times New Roman" w:cs="Times New Roman"/>
          <w:sz w:val="24"/>
          <w:szCs w:val="24"/>
        </w:rPr>
        <w:t xml:space="preserve"> dall'organo amministrativo competente.</w:t>
      </w:r>
    </w:p>
    <w:p w14:paraId="2D8150E3" w14:textId="77777777" w:rsidR="00CE0C98" w:rsidRPr="00CE0C98" w:rsidRDefault="008B0A97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L’obiezione</w:t>
      </w:r>
      <w:r w:rsidR="00CE0C98" w:rsidRPr="00CE0C98">
        <w:rPr>
          <w:rFonts w:ascii="Times New Roman" w:hAnsi="Times New Roman" w:cs="Times New Roman"/>
          <w:sz w:val="24"/>
          <w:szCs w:val="24"/>
        </w:rPr>
        <w:t xml:space="preserve"> non </w:t>
      </w:r>
      <w:r>
        <w:rPr>
          <w:rFonts w:ascii="Times New Roman" w:hAnsi="Times New Roman" w:cs="Times New Roman"/>
          <w:sz w:val="24"/>
          <w:szCs w:val="24"/>
        </w:rPr>
        <w:t>rinvia</w:t>
      </w:r>
      <w:r w:rsidR="00CE0C98" w:rsidRPr="00CE0C98">
        <w:rPr>
          <w:rFonts w:ascii="Times New Roman" w:hAnsi="Times New Roman" w:cs="Times New Roman"/>
          <w:sz w:val="24"/>
          <w:szCs w:val="24"/>
        </w:rPr>
        <w:t xml:space="preserve"> l'esecuzione della Decisione e l'ulteriore attuazione della procedura ai sensi </w:t>
      </w:r>
      <w:r w:rsidRPr="00CE0C98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>l’Invito p</w:t>
      </w:r>
      <w:r w:rsidR="00CE0C98" w:rsidRPr="00CE0C98">
        <w:rPr>
          <w:rFonts w:ascii="Times New Roman" w:hAnsi="Times New Roman" w:cs="Times New Roman"/>
          <w:sz w:val="24"/>
          <w:szCs w:val="24"/>
        </w:rPr>
        <w:t>ubblico.</w:t>
      </w:r>
    </w:p>
    <w:p w14:paraId="5508D73A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59FD7" w14:textId="77777777" w:rsidR="00CE0C98" w:rsidRPr="008B0A97" w:rsidRDefault="00CE0C98" w:rsidP="00CE0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A97">
        <w:rPr>
          <w:rFonts w:ascii="Times New Roman" w:hAnsi="Times New Roman" w:cs="Times New Roman"/>
          <w:b/>
          <w:bCs/>
          <w:sz w:val="24"/>
          <w:szCs w:val="24"/>
        </w:rPr>
        <w:t>XV.</w:t>
      </w:r>
    </w:p>
    <w:p w14:paraId="5741D7CA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 xml:space="preserve">Prima della firma del Contratto basato sulla Decisione sull'assegnazione dei fondi finanziari, </w:t>
      </w:r>
      <w:r w:rsidR="008C4919">
        <w:rPr>
          <w:rFonts w:ascii="Times New Roman" w:hAnsi="Times New Roman" w:cs="Times New Roman"/>
          <w:sz w:val="24"/>
          <w:szCs w:val="24"/>
        </w:rPr>
        <w:t>l’assessorato</w:t>
      </w:r>
      <w:r w:rsidRPr="00CE0C98">
        <w:rPr>
          <w:rFonts w:ascii="Times New Roman" w:hAnsi="Times New Roman" w:cs="Times New Roman"/>
          <w:sz w:val="24"/>
          <w:szCs w:val="24"/>
        </w:rPr>
        <w:t xml:space="preserve"> competente richiederà all'associazione che ha diritto ai fondi finanziari di presentare:</w:t>
      </w:r>
    </w:p>
    <w:p w14:paraId="140054AD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BD20B9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>- il modulo di bilancio revisionato</w:t>
      </w:r>
    </w:p>
    <w:p w14:paraId="519D5C08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>- ulteriore documentazione determinata dal</w:t>
      </w:r>
      <w:r w:rsidR="008C4919">
        <w:rPr>
          <w:rFonts w:ascii="Times New Roman" w:hAnsi="Times New Roman" w:cs="Times New Roman"/>
          <w:sz w:val="24"/>
          <w:szCs w:val="24"/>
        </w:rPr>
        <w:t>l’assessorato di competenza</w:t>
      </w:r>
      <w:r w:rsidRPr="00CE0C98">
        <w:rPr>
          <w:rFonts w:ascii="Times New Roman" w:hAnsi="Times New Roman" w:cs="Times New Roman"/>
          <w:sz w:val="24"/>
          <w:szCs w:val="24"/>
        </w:rPr>
        <w:t>.</w:t>
      </w:r>
    </w:p>
    <w:p w14:paraId="1CE07E71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F7F3A" w14:textId="77777777" w:rsidR="00CE0C98" w:rsidRPr="008B0A97" w:rsidRDefault="00CE0C98" w:rsidP="00CE0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A97">
        <w:rPr>
          <w:rFonts w:ascii="Times New Roman" w:hAnsi="Times New Roman" w:cs="Times New Roman"/>
          <w:b/>
          <w:bCs/>
          <w:sz w:val="24"/>
          <w:szCs w:val="24"/>
        </w:rPr>
        <w:t>XVI.</w:t>
      </w:r>
    </w:p>
    <w:p w14:paraId="49A0CD87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 xml:space="preserve">Tutte le domande relative a questo </w:t>
      </w:r>
      <w:r w:rsidR="008C4919">
        <w:rPr>
          <w:rFonts w:ascii="Times New Roman" w:hAnsi="Times New Roman" w:cs="Times New Roman"/>
          <w:sz w:val="24"/>
          <w:szCs w:val="24"/>
        </w:rPr>
        <w:t>Invito p</w:t>
      </w:r>
      <w:r w:rsidRPr="00CE0C98">
        <w:rPr>
          <w:rFonts w:ascii="Times New Roman" w:hAnsi="Times New Roman" w:cs="Times New Roman"/>
          <w:sz w:val="24"/>
          <w:szCs w:val="24"/>
        </w:rPr>
        <w:t>ubblico possono essere poste elettronicamente, inviando una richiesta entro il termine e all'indirizzo di posta elettronica indicato nelle Istruzioni per i richiedenti.</w:t>
      </w:r>
    </w:p>
    <w:p w14:paraId="38F99ED1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>Al fine di garantire la parità di tutti i potenziali richiedenti, la Città di</w:t>
      </w:r>
      <w:r w:rsidR="008C4919">
        <w:rPr>
          <w:rFonts w:ascii="Times New Roman" w:hAnsi="Times New Roman" w:cs="Times New Roman"/>
          <w:sz w:val="24"/>
          <w:szCs w:val="24"/>
        </w:rPr>
        <w:t xml:space="preserve"> Pula-</w:t>
      </w:r>
      <w:r w:rsidRPr="00CE0C98">
        <w:rPr>
          <w:rFonts w:ascii="Times New Roman" w:hAnsi="Times New Roman" w:cs="Times New Roman"/>
          <w:sz w:val="24"/>
          <w:szCs w:val="24"/>
        </w:rPr>
        <w:t>Pola non può fornire pareri preliminari sull'ammissibilità dei richiedenti, dei partner, delle attività o dei costi indicati nella domanda.</w:t>
      </w:r>
    </w:p>
    <w:p w14:paraId="5B4E8B8B" w14:textId="77777777" w:rsidR="00CE0C98" w:rsidRPr="00CE0C98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C489B" w14:textId="77777777" w:rsidR="00CE0C98" w:rsidRPr="008B0A97" w:rsidRDefault="00CE0C98" w:rsidP="00CE0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A97">
        <w:rPr>
          <w:rFonts w:ascii="Times New Roman" w:hAnsi="Times New Roman" w:cs="Times New Roman"/>
          <w:b/>
          <w:bCs/>
          <w:sz w:val="24"/>
          <w:szCs w:val="24"/>
        </w:rPr>
        <w:t>XVII.</w:t>
      </w:r>
    </w:p>
    <w:p w14:paraId="5C8A5ED7" w14:textId="77777777" w:rsidR="00936566" w:rsidRDefault="00CE0C98" w:rsidP="00CE0C98">
      <w:pPr>
        <w:jc w:val="both"/>
        <w:rPr>
          <w:rFonts w:ascii="Times New Roman" w:hAnsi="Times New Roman" w:cs="Times New Roman"/>
          <w:sz w:val="24"/>
          <w:szCs w:val="24"/>
        </w:rPr>
      </w:pPr>
      <w:r w:rsidRPr="00CE0C98">
        <w:rPr>
          <w:rFonts w:ascii="Times New Roman" w:hAnsi="Times New Roman" w:cs="Times New Roman"/>
          <w:sz w:val="24"/>
          <w:szCs w:val="24"/>
        </w:rPr>
        <w:t>La procedura di ricezione ed esame delle domande presentate, la valutazione delle domande, l'adozione della Decisione sull'assegnazione dei fondi finanziari, la presentazione de</w:t>
      </w:r>
      <w:r w:rsidR="008C4919">
        <w:rPr>
          <w:rFonts w:ascii="Times New Roman" w:hAnsi="Times New Roman" w:cs="Times New Roman"/>
          <w:sz w:val="24"/>
          <w:szCs w:val="24"/>
        </w:rPr>
        <w:t>lle obiezioni</w:t>
      </w:r>
      <w:r w:rsidRPr="00CE0C98">
        <w:rPr>
          <w:rFonts w:ascii="Times New Roman" w:hAnsi="Times New Roman" w:cs="Times New Roman"/>
          <w:sz w:val="24"/>
          <w:szCs w:val="24"/>
        </w:rPr>
        <w:t>, la contrattazione, la gestione della documentazione, nonché il calendario indicativo di attuazione del</w:t>
      </w:r>
      <w:r w:rsidR="008C4919">
        <w:rPr>
          <w:rFonts w:ascii="Times New Roman" w:hAnsi="Times New Roman" w:cs="Times New Roman"/>
          <w:sz w:val="24"/>
          <w:szCs w:val="24"/>
        </w:rPr>
        <w:t>l’Invito</w:t>
      </w:r>
      <w:r w:rsidRPr="00CE0C98">
        <w:rPr>
          <w:rFonts w:ascii="Times New Roman" w:hAnsi="Times New Roman" w:cs="Times New Roman"/>
          <w:sz w:val="24"/>
          <w:szCs w:val="24"/>
        </w:rPr>
        <w:t xml:space="preserve"> sono descritti nelle </w:t>
      </w:r>
      <w:r w:rsidR="001A25FA">
        <w:rPr>
          <w:rFonts w:ascii="Times New Roman" w:hAnsi="Times New Roman" w:cs="Times New Roman"/>
          <w:sz w:val="24"/>
          <w:szCs w:val="24"/>
        </w:rPr>
        <w:t>Linee guida per i candidati</w:t>
      </w:r>
      <w:r w:rsidRPr="00CE0C98">
        <w:rPr>
          <w:rFonts w:ascii="Times New Roman" w:hAnsi="Times New Roman" w:cs="Times New Roman"/>
          <w:sz w:val="24"/>
          <w:szCs w:val="24"/>
        </w:rPr>
        <w:t xml:space="preserve"> </w:t>
      </w:r>
      <w:r w:rsidR="008C4919">
        <w:rPr>
          <w:rFonts w:ascii="Times New Roman" w:hAnsi="Times New Roman" w:cs="Times New Roman"/>
          <w:sz w:val="24"/>
          <w:szCs w:val="24"/>
        </w:rPr>
        <w:t xml:space="preserve">in riferimento </w:t>
      </w:r>
      <w:r w:rsidRPr="00CE0C98">
        <w:rPr>
          <w:rFonts w:ascii="Times New Roman" w:hAnsi="Times New Roman" w:cs="Times New Roman"/>
          <w:sz w:val="24"/>
          <w:szCs w:val="24"/>
        </w:rPr>
        <w:t>al</w:t>
      </w:r>
      <w:r w:rsidR="008C4919">
        <w:rPr>
          <w:rFonts w:ascii="Times New Roman" w:hAnsi="Times New Roman" w:cs="Times New Roman"/>
          <w:sz w:val="24"/>
          <w:szCs w:val="24"/>
        </w:rPr>
        <w:t>l’Invito p</w:t>
      </w:r>
      <w:r w:rsidRPr="00CE0C98">
        <w:rPr>
          <w:rFonts w:ascii="Times New Roman" w:hAnsi="Times New Roman" w:cs="Times New Roman"/>
          <w:sz w:val="24"/>
          <w:szCs w:val="24"/>
        </w:rPr>
        <w:t>ubblico.</w:t>
      </w:r>
    </w:p>
    <w:p w14:paraId="436533C0" w14:textId="77777777" w:rsidR="0032036C" w:rsidRDefault="0032036C" w:rsidP="00CE0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F17D5" w14:textId="77777777" w:rsidR="0032036C" w:rsidRPr="0032036C" w:rsidRDefault="0032036C" w:rsidP="0032036C">
      <w:pPr>
        <w:jc w:val="both"/>
        <w:rPr>
          <w:rFonts w:ascii="Times New Roman" w:hAnsi="Times New Roman" w:cs="Times New Roman"/>
          <w:sz w:val="24"/>
          <w:szCs w:val="24"/>
        </w:rPr>
      </w:pPr>
      <w:r w:rsidRPr="0032036C">
        <w:rPr>
          <w:rFonts w:ascii="Times New Roman" w:hAnsi="Times New Roman" w:cs="Times New Roman"/>
          <w:sz w:val="24"/>
          <w:szCs w:val="24"/>
        </w:rPr>
        <w:t>Nota:</w:t>
      </w:r>
    </w:p>
    <w:p w14:paraId="52C1FA01" w14:textId="77777777" w:rsidR="0032036C" w:rsidRDefault="0032036C" w:rsidP="0032036C">
      <w:pPr>
        <w:jc w:val="both"/>
        <w:rPr>
          <w:rFonts w:ascii="Times New Roman" w:hAnsi="Times New Roman" w:cs="Times New Roman"/>
          <w:sz w:val="24"/>
          <w:szCs w:val="24"/>
        </w:rPr>
      </w:pPr>
      <w:r w:rsidRPr="0032036C">
        <w:rPr>
          <w:rFonts w:ascii="Times New Roman" w:hAnsi="Times New Roman" w:cs="Times New Roman"/>
          <w:sz w:val="24"/>
          <w:szCs w:val="24"/>
        </w:rPr>
        <w:lastRenderedPageBreak/>
        <w:t xml:space="preserve">Tutti i candidati e i loro partner, presentando la domanda, danno il loro consenso alla Città di </w:t>
      </w:r>
      <w:r>
        <w:rPr>
          <w:rFonts w:ascii="Times New Roman" w:hAnsi="Times New Roman" w:cs="Times New Roman"/>
          <w:sz w:val="24"/>
          <w:szCs w:val="24"/>
        </w:rPr>
        <w:t>Pula-</w:t>
      </w:r>
      <w:r w:rsidRPr="0032036C">
        <w:rPr>
          <w:rFonts w:ascii="Times New Roman" w:hAnsi="Times New Roman" w:cs="Times New Roman"/>
          <w:sz w:val="24"/>
          <w:szCs w:val="24"/>
        </w:rPr>
        <w:t>Pola affinché i dati personali ivi indicati vengano raccolti e trattati allo scopo di raccogliere e finanziare programmi e progetti nell'ambito dell'assistenza sociale, della sanità e della veterinaria di interesse pubblico, attuati da associazioni e altre organizzazioni senza scopo di lucro nel territorio della Città di P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2036C">
        <w:rPr>
          <w:rFonts w:ascii="Times New Roman" w:hAnsi="Times New Roman" w:cs="Times New Roman"/>
          <w:sz w:val="24"/>
          <w:szCs w:val="24"/>
        </w:rPr>
        <w:t>la-Pola nell'anno 2026, e affinché possano essere utilizzati per il versamento dei fondi finanziari approvati, per il contatto e per la pubblicazione sulle pagine internet e/o nel bollettino pubblico della Città di P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2036C">
        <w:rPr>
          <w:rFonts w:ascii="Times New Roman" w:hAnsi="Times New Roman" w:cs="Times New Roman"/>
          <w:sz w:val="24"/>
          <w:szCs w:val="24"/>
        </w:rPr>
        <w:t xml:space="preserve">la-Pola. I diritti dei richiedenti e il trattamento dei loro dati personali sono pubblicati su </w:t>
      </w:r>
      <w:hyperlink r:id="rId6" w:history="1">
        <w:r w:rsidRPr="0021281C">
          <w:rPr>
            <w:rStyle w:val="Hyperlink"/>
            <w:rFonts w:ascii="Times New Roman" w:hAnsi="Times New Roman" w:cs="Times New Roman"/>
            <w:sz w:val="24"/>
            <w:szCs w:val="24"/>
          </w:rPr>
          <w:t>http://www.pula.hr/hr/rad-gradske-uprave/gdpr/</w:t>
        </w:r>
      </w:hyperlink>
    </w:p>
    <w:p w14:paraId="76A0D7F8" w14:textId="77777777" w:rsidR="0032036C" w:rsidRDefault="0032036C" w:rsidP="003203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A3C9B" w14:textId="77777777" w:rsidR="00AC464E" w:rsidRPr="00936566" w:rsidRDefault="00AC464E" w:rsidP="00CE0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3D55C" w14:textId="77777777" w:rsidR="00936566" w:rsidRPr="00936566" w:rsidRDefault="00936566" w:rsidP="009365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6566" w:rsidRPr="00936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32B6E"/>
    <w:multiLevelType w:val="hybridMultilevel"/>
    <w:tmpl w:val="BC382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4009F"/>
    <w:multiLevelType w:val="hybridMultilevel"/>
    <w:tmpl w:val="FF6ED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131465">
    <w:abstractNumId w:val="1"/>
  </w:num>
  <w:num w:numId="2" w16cid:durableId="160815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CD"/>
    <w:rsid w:val="000B08AC"/>
    <w:rsid w:val="000E314B"/>
    <w:rsid w:val="001009F8"/>
    <w:rsid w:val="00100DEF"/>
    <w:rsid w:val="0018541D"/>
    <w:rsid w:val="001A25FA"/>
    <w:rsid w:val="001E0664"/>
    <w:rsid w:val="0032036C"/>
    <w:rsid w:val="003275AC"/>
    <w:rsid w:val="004356F9"/>
    <w:rsid w:val="004D15BD"/>
    <w:rsid w:val="0057336F"/>
    <w:rsid w:val="00605581"/>
    <w:rsid w:val="006446B9"/>
    <w:rsid w:val="006C22CD"/>
    <w:rsid w:val="006D479F"/>
    <w:rsid w:val="00734D8C"/>
    <w:rsid w:val="00770533"/>
    <w:rsid w:val="007F56B9"/>
    <w:rsid w:val="00841D85"/>
    <w:rsid w:val="008B0A97"/>
    <w:rsid w:val="008C4919"/>
    <w:rsid w:val="00936566"/>
    <w:rsid w:val="00A03B9E"/>
    <w:rsid w:val="00AC464E"/>
    <w:rsid w:val="00CB5CB5"/>
    <w:rsid w:val="00CE0C98"/>
    <w:rsid w:val="00D0376C"/>
    <w:rsid w:val="00DD5D08"/>
    <w:rsid w:val="00DE487A"/>
    <w:rsid w:val="00F40C10"/>
    <w:rsid w:val="00F6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5276"/>
  <w15:chartTrackingRefBased/>
  <w15:docId w15:val="{7C5BBBA4-E8E7-4F72-BEBD-07F3ABD5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2C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2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2CD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2CD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2CD"/>
    <w:rPr>
      <w:rFonts w:eastAsiaTheme="majorEastAsia" w:cstheme="majorBidi"/>
      <w:color w:val="2F5496" w:themeColor="accent1" w:themeShade="BF"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2CD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2CD"/>
    <w:rPr>
      <w:rFonts w:eastAsiaTheme="majorEastAsia" w:cstheme="majorBidi"/>
      <w:color w:val="595959" w:themeColor="text1" w:themeTint="A6"/>
      <w:lang w:val="it-I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2CD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2CD"/>
    <w:rPr>
      <w:rFonts w:eastAsiaTheme="majorEastAsia" w:cstheme="majorBidi"/>
      <w:color w:val="272727" w:themeColor="text1" w:themeTint="D8"/>
      <w:lang w:val="it-IT"/>
    </w:rPr>
  </w:style>
  <w:style w:type="paragraph" w:styleId="Title">
    <w:name w:val="Title"/>
    <w:basedOn w:val="Normal"/>
    <w:next w:val="Normal"/>
    <w:link w:val="TitleChar"/>
    <w:uiPriority w:val="10"/>
    <w:qFormat/>
    <w:rsid w:val="006C2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2CD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2CD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Quote">
    <w:name w:val="Quote"/>
    <w:basedOn w:val="Normal"/>
    <w:next w:val="Normal"/>
    <w:link w:val="QuoteChar"/>
    <w:uiPriority w:val="29"/>
    <w:qFormat/>
    <w:rsid w:val="006C2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2CD"/>
    <w:rPr>
      <w:i/>
      <w:iCs/>
      <w:color w:val="404040" w:themeColor="text1" w:themeTint="BF"/>
      <w:lang w:val="it-IT"/>
    </w:rPr>
  </w:style>
  <w:style w:type="paragraph" w:styleId="ListParagraph">
    <w:name w:val="List Paragraph"/>
    <w:basedOn w:val="Normal"/>
    <w:uiPriority w:val="34"/>
    <w:qFormat/>
    <w:rsid w:val="006C2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2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2CD"/>
    <w:rPr>
      <w:i/>
      <w:iCs/>
      <w:color w:val="2F5496" w:themeColor="accent1" w:themeShade="BF"/>
      <w:lang w:val="it-IT"/>
    </w:rPr>
  </w:style>
  <w:style w:type="character" w:styleId="IntenseReference">
    <w:name w:val="Intense Reference"/>
    <w:basedOn w:val="DefaultParagraphFont"/>
    <w:uiPriority w:val="32"/>
    <w:qFormat/>
    <w:rsid w:val="006C22CD"/>
    <w:rPr>
      <w:b/>
      <w:bCs/>
      <w:smallCaps/>
      <w:color w:val="2F5496" w:themeColor="accent1" w:themeShade="BF"/>
      <w:spacing w:val="5"/>
    </w:rPr>
  </w:style>
  <w:style w:type="table" w:customStyle="1" w:styleId="Grigliatabella1">
    <w:name w:val="Griglia tabella1"/>
    <w:basedOn w:val="TableNormal"/>
    <w:next w:val="TableGrid"/>
    <w:rsid w:val="00936566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46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la.hr/hr/rad-gradske-uprave/gdpr/" TargetMode="External"/><Relationship Id="rId5" Type="http://schemas.openxmlformats.org/officeDocument/2006/relationships/hyperlink" Target="http://www.p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Fedel Timovski Kristina</dc:creator>
  <cp:keywords/>
  <dc:description/>
  <cp:lastModifiedBy>Peruško Irena</cp:lastModifiedBy>
  <cp:revision>15</cp:revision>
  <dcterms:created xsi:type="dcterms:W3CDTF">2026-01-14T08:39:00Z</dcterms:created>
  <dcterms:modified xsi:type="dcterms:W3CDTF">2026-01-15T12:46:00Z</dcterms:modified>
</cp:coreProperties>
</file>