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16A6F" w14:textId="77777777" w:rsidR="00C46F76" w:rsidRDefault="00C46F76" w:rsidP="00C46F76"/>
    <w:p w14:paraId="120D0CB4" w14:textId="77777777" w:rsidR="00C46F76" w:rsidRDefault="00C46F76" w:rsidP="00C46F76">
      <w:r>
        <w:rPr>
          <w:noProof/>
        </w:rPr>
        <w:drawing>
          <wp:anchor distT="0" distB="0" distL="114300" distR="114300" simplePos="0" relativeHeight="251659264" behindDoc="0" locked="0" layoutInCell="1" hidden="0" allowOverlap="1" wp14:anchorId="635D2C1A" wp14:editId="0871CDA5">
            <wp:simplePos x="0" y="0"/>
            <wp:positionH relativeFrom="column">
              <wp:posOffset>1622742</wp:posOffset>
            </wp:positionH>
            <wp:positionV relativeFrom="paragraph">
              <wp:posOffset>17145</wp:posOffset>
            </wp:positionV>
            <wp:extent cx="2515235" cy="1676400"/>
            <wp:effectExtent l="0" t="0" r="0" b="0"/>
            <wp:wrapSquare wrapText="bothSides" distT="0" distB="0" distL="114300" distR="114300"/>
            <wp:docPr id="89"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5"/>
                    <a:srcRect/>
                    <a:stretch>
                      <a:fillRect/>
                    </a:stretch>
                  </pic:blipFill>
                  <pic:spPr>
                    <a:xfrm>
                      <a:off x="0" y="0"/>
                      <a:ext cx="2515235" cy="1676400"/>
                    </a:xfrm>
                    <a:prstGeom prst="rect">
                      <a:avLst/>
                    </a:prstGeom>
                    <a:ln/>
                  </pic:spPr>
                </pic:pic>
              </a:graphicData>
            </a:graphic>
          </wp:anchor>
        </w:drawing>
      </w:r>
    </w:p>
    <w:p w14:paraId="19AD09D8" w14:textId="77777777" w:rsidR="00C46F76" w:rsidRDefault="00C46F76" w:rsidP="00C46F76"/>
    <w:p w14:paraId="1E5F5CA4" w14:textId="77777777" w:rsidR="00C46F76" w:rsidRDefault="00C46F76" w:rsidP="00C46F76"/>
    <w:p w14:paraId="4B71C9C2" w14:textId="77777777" w:rsidR="00C46F76" w:rsidRDefault="00C46F76" w:rsidP="00C46F76"/>
    <w:p w14:paraId="6755EA92" w14:textId="77777777" w:rsidR="00C46F76" w:rsidRDefault="00C46F76" w:rsidP="00C46F76"/>
    <w:p w14:paraId="6614CDBC" w14:textId="77777777" w:rsidR="00C46F76" w:rsidRDefault="00C46F76" w:rsidP="00C46F76"/>
    <w:p w14:paraId="47259850" w14:textId="77777777" w:rsidR="00C46F76" w:rsidRDefault="00C46F76" w:rsidP="00C46F76"/>
    <w:p w14:paraId="085107F0" w14:textId="77777777" w:rsidR="00C46F76" w:rsidRDefault="00C46F76" w:rsidP="00C46F76"/>
    <w:p w14:paraId="27AA319E" w14:textId="77777777" w:rsidR="00C46F76" w:rsidRDefault="00C46F76" w:rsidP="00C46F76"/>
    <w:p w14:paraId="473E536A" w14:textId="77777777" w:rsidR="00C46F76" w:rsidRDefault="00C46F76" w:rsidP="00C46F76"/>
    <w:p w14:paraId="17722CF9" w14:textId="77777777" w:rsidR="00C46F76" w:rsidRDefault="00C46F76" w:rsidP="00C46F76"/>
    <w:p w14:paraId="73525E70" w14:textId="77777777" w:rsidR="00C46F76" w:rsidRDefault="00C46F76" w:rsidP="00C46F76"/>
    <w:p w14:paraId="39FDDD82" w14:textId="77777777" w:rsidR="00C46F76" w:rsidRDefault="00C46F76" w:rsidP="00C46F76"/>
    <w:p w14:paraId="5B279094" w14:textId="77777777" w:rsidR="00C46F76" w:rsidRDefault="00C46F76" w:rsidP="00C46F76"/>
    <w:p w14:paraId="17E25B21" w14:textId="77777777" w:rsidR="00C46F76" w:rsidRDefault="00C46F76" w:rsidP="00C46F76">
      <w:pPr>
        <w:rPr>
          <w:b/>
          <w:sz w:val="32"/>
          <w:szCs w:val="32"/>
        </w:rPr>
      </w:pPr>
    </w:p>
    <w:p w14:paraId="61CEC0E6" w14:textId="77777777" w:rsidR="00C46F76" w:rsidRPr="00EF0E77" w:rsidRDefault="00C46F76" w:rsidP="00C46F76">
      <w:pPr>
        <w:jc w:val="center"/>
        <w:rPr>
          <w:rFonts w:asciiTheme="majorHAnsi" w:hAnsiTheme="majorHAnsi" w:cstheme="majorHAnsi"/>
          <w:b/>
          <w:sz w:val="36"/>
          <w:szCs w:val="36"/>
        </w:rPr>
      </w:pPr>
      <w:r w:rsidRPr="00EF0E77">
        <w:rPr>
          <w:rFonts w:asciiTheme="majorHAnsi" w:hAnsiTheme="majorHAnsi" w:cstheme="majorHAnsi"/>
          <w:b/>
          <w:sz w:val="36"/>
          <w:szCs w:val="36"/>
        </w:rPr>
        <w:t>STRATEGIJA UPRAVLJANJA IMOVINOM</w:t>
      </w:r>
    </w:p>
    <w:p w14:paraId="53CB356F" w14:textId="77777777" w:rsidR="00C46F76" w:rsidRPr="00EF0E77" w:rsidRDefault="00C46F76" w:rsidP="00C46F76">
      <w:pPr>
        <w:jc w:val="center"/>
        <w:rPr>
          <w:rFonts w:asciiTheme="majorHAnsi" w:hAnsiTheme="majorHAnsi" w:cstheme="majorHAnsi"/>
          <w:b/>
          <w:sz w:val="36"/>
          <w:szCs w:val="36"/>
        </w:rPr>
      </w:pPr>
      <w:r w:rsidRPr="00EF0E77">
        <w:rPr>
          <w:rFonts w:asciiTheme="majorHAnsi" w:hAnsiTheme="majorHAnsi" w:cstheme="majorHAnsi"/>
          <w:b/>
          <w:sz w:val="36"/>
          <w:szCs w:val="36"/>
        </w:rPr>
        <w:t>GRADA PULA – POLA</w:t>
      </w:r>
    </w:p>
    <w:p w14:paraId="35CDC329" w14:textId="77777777" w:rsidR="00C46F76" w:rsidRPr="00EF0E77" w:rsidRDefault="00C46F76" w:rsidP="00C46F76">
      <w:pPr>
        <w:jc w:val="center"/>
        <w:rPr>
          <w:rFonts w:asciiTheme="majorHAnsi" w:hAnsiTheme="majorHAnsi" w:cstheme="majorHAnsi"/>
          <w:sz w:val="36"/>
          <w:szCs w:val="36"/>
        </w:rPr>
      </w:pPr>
    </w:p>
    <w:p w14:paraId="31C4BB96" w14:textId="77777777" w:rsidR="00C46F76" w:rsidRDefault="00C46F76" w:rsidP="00C46F76">
      <w:pPr>
        <w:jc w:val="center"/>
        <w:rPr>
          <w:rFonts w:asciiTheme="majorHAnsi" w:hAnsiTheme="majorHAnsi" w:cstheme="majorHAnsi"/>
          <w:sz w:val="36"/>
          <w:szCs w:val="36"/>
        </w:rPr>
      </w:pPr>
      <w:r w:rsidRPr="00EF0E77">
        <w:rPr>
          <w:rFonts w:asciiTheme="majorHAnsi" w:hAnsiTheme="majorHAnsi" w:cstheme="majorHAnsi"/>
          <w:sz w:val="36"/>
          <w:szCs w:val="36"/>
        </w:rPr>
        <w:t>za razdoblje 2023. – 2028. godine</w:t>
      </w:r>
    </w:p>
    <w:p w14:paraId="203FD568" w14:textId="77777777" w:rsidR="00C46F76" w:rsidRDefault="00C46F76" w:rsidP="00C46F76">
      <w:pPr>
        <w:jc w:val="center"/>
        <w:rPr>
          <w:rFonts w:asciiTheme="majorHAnsi" w:hAnsiTheme="majorHAnsi" w:cstheme="majorHAnsi"/>
          <w:sz w:val="36"/>
          <w:szCs w:val="36"/>
        </w:rPr>
      </w:pPr>
    </w:p>
    <w:p w14:paraId="0516B1B4" w14:textId="77777777" w:rsidR="00C46F76" w:rsidRDefault="00C46F76" w:rsidP="00C46F76">
      <w:pPr>
        <w:jc w:val="center"/>
        <w:rPr>
          <w:rFonts w:asciiTheme="majorHAnsi" w:hAnsiTheme="majorHAnsi" w:cstheme="majorHAnsi"/>
          <w:sz w:val="36"/>
          <w:szCs w:val="36"/>
        </w:rPr>
      </w:pPr>
    </w:p>
    <w:p w14:paraId="2AE28838" w14:textId="5AA3FC19" w:rsidR="00C46F76" w:rsidRDefault="00C46F76" w:rsidP="00C46F76">
      <w:pPr>
        <w:jc w:val="center"/>
        <w:rPr>
          <w:rFonts w:asciiTheme="majorHAnsi" w:hAnsiTheme="majorHAnsi" w:cstheme="majorHAnsi"/>
          <w:b/>
          <w:bCs/>
          <w:sz w:val="40"/>
          <w:szCs w:val="40"/>
        </w:rPr>
      </w:pPr>
      <w:r w:rsidRPr="00C46F76">
        <w:rPr>
          <w:rFonts w:asciiTheme="majorHAnsi" w:hAnsiTheme="majorHAnsi" w:cstheme="majorHAnsi"/>
          <w:b/>
          <w:bCs/>
          <w:sz w:val="40"/>
          <w:szCs w:val="40"/>
        </w:rPr>
        <w:t>IZVJEŠĆE O PROVEDENOM SAVJETOVANJU</w:t>
      </w:r>
      <w:r>
        <w:rPr>
          <w:rFonts w:asciiTheme="majorHAnsi" w:hAnsiTheme="majorHAnsi" w:cstheme="majorHAnsi"/>
          <w:b/>
          <w:bCs/>
          <w:sz w:val="40"/>
          <w:szCs w:val="40"/>
        </w:rPr>
        <w:t xml:space="preserve"> SA ZAINTERESIRANOM JAVNOŠĆU</w:t>
      </w:r>
    </w:p>
    <w:p w14:paraId="291266B3" w14:textId="77777777" w:rsidR="00C46F76" w:rsidRDefault="00C46F76" w:rsidP="00C46F76">
      <w:pPr>
        <w:jc w:val="center"/>
        <w:rPr>
          <w:rFonts w:asciiTheme="majorHAnsi" w:hAnsiTheme="majorHAnsi" w:cstheme="majorHAnsi"/>
          <w:b/>
          <w:bCs/>
          <w:sz w:val="40"/>
          <w:szCs w:val="40"/>
        </w:rPr>
      </w:pPr>
    </w:p>
    <w:p w14:paraId="45EEE139" w14:textId="77777777" w:rsidR="00C46F76" w:rsidRDefault="00C46F76" w:rsidP="00C46F76">
      <w:pPr>
        <w:jc w:val="center"/>
        <w:rPr>
          <w:rFonts w:asciiTheme="majorHAnsi" w:hAnsiTheme="majorHAnsi" w:cstheme="majorHAnsi"/>
          <w:b/>
          <w:bCs/>
          <w:sz w:val="40"/>
          <w:szCs w:val="40"/>
        </w:rPr>
      </w:pPr>
    </w:p>
    <w:p w14:paraId="43E078B8" w14:textId="77777777" w:rsidR="00C46F76" w:rsidRDefault="00C46F76" w:rsidP="00C46F76">
      <w:pPr>
        <w:jc w:val="center"/>
        <w:rPr>
          <w:rFonts w:asciiTheme="majorHAnsi" w:hAnsiTheme="majorHAnsi" w:cstheme="majorHAnsi"/>
          <w:b/>
          <w:bCs/>
          <w:sz w:val="40"/>
          <w:szCs w:val="40"/>
        </w:rPr>
      </w:pPr>
    </w:p>
    <w:sdt>
      <w:sdtPr>
        <w:rPr>
          <w:rFonts w:ascii="Calibri" w:eastAsia="Calibri" w:hAnsi="Calibri" w:cs="Calibri"/>
          <w:color w:val="auto"/>
          <w:sz w:val="22"/>
          <w:szCs w:val="22"/>
          <w:lang w:val="hr-HR" w:eastAsia="hr-HR"/>
        </w:rPr>
        <w:id w:val="112711401"/>
        <w:docPartObj>
          <w:docPartGallery w:val="Table of Contents"/>
          <w:docPartUnique/>
        </w:docPartObj>
      </w:sdtPr>
      <w:sdtEndPr>
        <w:rPr>
          <w:b/>
          <w:bCs/>
          <w:noProof/>
        </w:rPr>
      </w:sdtEndPr>
      <w:sdtContent>
        <w:p w14:paraId="2EEC87AB" w14:textId="70587FD4" w:rsidR="00C46F76" w:rsidRDefault="00033367">
          <w:pPr>
            <w:pStyle w:val="TOCHeading"/>
          </w:pPr>
          <w:r>
            <w:t>SADRŽAJ</w:t>
          </w:r>
        </w:p>
        <w:p w14:paraId="6B628343" w14:textId="77777777" w:rsidR="00033367" w:rsidRPr="00033367" w:rsidRDefault="00033367" w:rsidP="00033367">
          <w:pPr>
            <w:rPr>
              <w:lang w:val="en-US" w:eastAsia="en-US"/>
            </w:rPr>
          </w:pPr>
        </w:p>
        <w:p w14:paraId="75C4DC4E" w14:textId="121B252E" w:rsidR="009753C2" w:rsidRDefault="00C46F76">
          <w:pPr>
            <w:pStyle w:val="TOC1"/>
            <w:tabs>
              <w:tab w:val="right" w:leader="dot" w:pos="13994"/>
            </w:tabs>
            <w:rPr>
              <w:noProof/>
            </w:rPr>
          </w:pPr>
          <w:r>
            <w:fldChar w:fldCharType="begin"/>
          </w:r>
          <w:r>
            <w:instrText xml:space="preserve"> TOC \o "1-3" \h \z \u </w:instrText>
          </w:r>
          <w:r>
            <w:fldChar w:fldCharType="separate"/>
          </w:r>
          <w:hyperlink w:anchor="_Toc139373228" w:history="1">
            <w:r w:rsidR="009753C2" w:rsidRPr="008F41B4">
              <w:rPr>
                <w:rStyle w:val="Hyperlink"/>
                <w:noProof/>
              </w:rPr>
              <w:t>1. UVOD</w:t>
            </w:r>
            <w:r w:rsidR="009753C2">
              <w:rPr>
                <w:noProof/>
                <w:webHidden/>
              </w:rPr>
              <w:tab/>
            </w:r>
            <w:r w:rsidR="009753C2">
              <w:rPr>
                <w:noProof/>
                <w:webHidden/>
              </w:rPr>
              <w:fldChar w:fldCharType="begin"/>
            </w:r>
            <w:r w:rsidR="009753C2">
              <w:rPr>
                <w:noProof/>
                <w:webHidden/>
              </w:rPr>
              <w:instrText xml:space="preserve"> PAGEREF _Toc139373228 \h </w:instrText>
            </w:r>
            <w:r w:rsidR="009753C2">
              <w:rPr>
                <w:noProof/>
                <w:webHidden/>
              </w:rPr>
            </w:r>
            <w:r w:rsidR="009753C2">
              <w:rPr>
                <w:noProof/>
                <w:webHidden/>
              </w:rPr>
              <w:fldChar w:fldCharType="separate"/>
            </w:r>
            <w:r w:rsidR="009753C2">
              <w:rPr>
                <w:noProof/>
                <w:webHidden/>
              </w:rPr>
              <w:t>3</w:t>
            </w:r>
            <w:r w:rsidR="009753C2">
              <w:rPr>
                <w:noProof/>
                <w:webHidden/>
              </w:rPr>
              <w:fldChar w:fldCharType="end"/>
            </w:r>
          </w:hyperlink>
        </w:p>
        <w:p w14:paraId="1C448550" w14:textId="2985C880" w:rsidR="009753C2" w:rsidRDefault="00000000">
          <w:pPr>
            <w:pStyle w:val="TOC1"/>
            <w:tabs>
              <w:tab w:val="right" w:leader="dot" w:pos="13994"/>
            </w:tabs>
            <w:rPr>
              <w:noProof/>
            </w:rPr>
          </w:pPr>
          <w:hyperlink w:anchor="_Toc139373229" w:history="1">
            <w:r w:rsidR="009753C2" w:rsidRPr="008F41B4">
              <w:rPr>
                <w:rStyle w:val="Hyperlink"/>
                <w:noProof/>
              </w:rPr>
              <w:t>2. MIŠLJENJA, PRIJEDLOZI I PRIMJEDBE SUDIONIKA DOBIVENI KROZ PROCES SAVJETOVANJA</w:t>
            </w:r>
            <w:r w:rsidR="009753C2">
              <w:rPr>
                <w:noProof/>
                <w:webHidden/>
              </w:rPr>
              <w:tab/>
            </w:r>
            <w:r w:rsidR="009753C2">
              <w:rPr>
                <w:noProof/>
                <w:webHidden/>
              </w:rPr>
              <w:fldChar w:fldCharType="begin"/>
            </w:r>
            <w:r w:rsidR="009753C2">
              <w:rPr>
                <w:noProof/>
                <w:webHidden/>
              </w:rPr>
              <w:instrText xml:space="preserve"> PAGEREF _Toc139373229 \h </w:instrText>
            </w:r>
            <w:r w:rsidR="009753C2">
              <w:rPr>
                <w:noProof/>
                <w:webHidden/>
              </w:rPr>
            </w:r>
            <w:r w:rsidR="009753C2">
              <w:rPr>
                <w:noProof/>
                <w:webHidden/>
              </w:rPr>
              <w:fldChar w:fldCharType="separate"/>
            </w:r>
            <w:r w:rsidR="009753C2">
              <w:rPr>
                <w:noProof/>
                <w:webHidden/>
              </w:rPr>
              <w:t>4</w:t>
            </w:r>
            <w:r w:rsidR="009753C2">
              <w:rPr>
                <w:noProof/>
                <w:webHidden/>
              </w:rPr>
              <w:fldChar w:fldCharType="end"/>
            </w:r>
          </w:hyperlink>
        </w:p>
        <w:p w14:paraId="431D6CD5" w14:textId="0BBB13F9" w:rsidR="00C46F76" w:rsidRDefault="00C46F76">
          <w:r>
            <w:rPr>
              <w:b/>
              <w:bCs/>
              <w:noProof/>
            </w:rPr>
            <w:fldChar w:fldCharType="end"/>
          </w:r>
        </w:p>
      </w:sdtContent>
    </w:sdt>
    <w:p w14:paraId="04D6FDB3" w14:textId="77777777" w:rsidR="00C46F76" w:rsidRPr="00C46F76" w:rsidRDefault="00C46F76" w:rsidP="00C46F76">
      <w:pPr>
        <w:rPr>
          <w:rFonts w:asciiTheme="majorHAnsi" w:hAnsiTheme="majorHAnsi" w:cstheme="majorHAnsi"/>
          <w:b/>
          <w:bCs/>
          <w:sz w:val="28"/>
          <w:szCs w:val="28"/>
        </w:rPr>
      </w:pPr>
    </w:p>
    <w:p w14:paraId="682C1035" w14:textId="377AF6D9" w:rsidR="00C46F76" w:rsidRDefault="00C46F76">
      <w:r>
        <w:br w:type="page"/>
      </w:r>
    </w:p>
    <w:p w14:paraId="035CA30D" w14:textId="21C542FA" w:rsidR="0060289D" w:rsidRDefault="00C46F76" w:rsidP="00C46F76">
      <w:pPr>
        <w:pStyle w:val="Heading1"/>
      </w:pPr>
      <w:bookmarkStart w:id="0" w:name="_Toc139373228"/>
      <w:r>
        <w:lastRenderedPageBreak/>
        <w:t>1. UVOD</w:t>
      </w:r>
      <w:bookmarkEnd w:id="0"/>
    </w:p>
    <w:p w14:paraId="56AEB529" w14:textId="77777777" w:rsidR="00C46F76" w:rsidRDefault="00C46F76" w:rsidP="00C46F76"/>
    <w:p w14:paraId="5C9292CC" w14:textId="77777777" w:rsidR="00C46F76" w:rsidRDefault="00C46F76" w:rsidP="00C46F76"/>
    <w:p w14:paraId="2A89B386" w14:textId="77777777" w:rsidR="00C46F76" w:rsidRDefault="00C46F76" w:rsidP="00C46F76"/>
    <w:p w14:paraId="30472662" w14:textId="063EE4FA" w:rsidR="00C46F76" w:rsidRPr="00C46F76" w:rsidRDefault="00C46F76" w:rsidP="00C46F76">
      <w:pPr>
        <w:rPr>
          <w:rFonts w:asciiTheme="majorHAnsi" w:hAnsiTheme="majorHAnsi" w:cstheme="majorHAnsi"/>
        </w:rPr>
      </w:pPr>
      <w:r w:rsidRPr="00C46F76">
        <w:rPr>
          <w:rFonts w:asciiTheme="majorHAnsi" w:hAnsiTheme="majorHAnsi" w:cstheme="majorHAnsi"/>
        </w:rPr>
        <w:t xml:space="preserve">U skladu sa Zakonom o pravu na pristup informacijama, članak 11. (Narodne novine broj </w:t>
      </w:r>
      <w:r w:rsidR="00C111AC">
        <w:rPr>
          <w:rFonts w:asciiTheme="majorHAnsi" w:hAnsiTheme="majorHAnsi" w:cstheme="majorHAnsi"/>
        </w:rPr>
        <w:t xml:space="preserve">25/13, </w:t>
      </w:r>
      <w:r w:rsidRPr="00C46F76">
        <w:rPr>
          <w:rFonts w:asciiTheme="majorHAnsi" w:hAnsiTheme="majorHAnsi" w:cstheme="majorHAnsi"/>
        </w:rPr>
        <w:t xml:space="preserve">85/15, 69/22), Grad Pula-Pola </w:t>
      </w:r>
      <w:r>
        <w:rPr>
          <w:rFonts w:asciiTheme="majorHAnsi" w:hAnsiTheme="majorHAnsi" w:cstheme="majorHAnsi"/>
        </w:rPr>
        <w:t>je u periodu od</w:t>
      </w:r>
      <w:r w:rsidRPr="00C46F76">
        <w:rPr>
          <w:rFonts w:asciiTheme="majorHAnsi" w:hAnsiTheme="majorHAnsi" w:cstheme="majorHAnsi"/>
        </w:rPr>
        <w:t xml:space="preserve"> 10. svibnja </w:t>
      </w:r>
      <w:r>
        <w:rPr>
          <w:rFonts w:asciiTheme="majorHAnsi" w:hAnsiTheme="majorHAnsi" w:cstheme="majorHAnsi"/>
        </w:rPr>
        <w:t xml:space="preserve">do 09. lipnja </w:t>
      </w:r>
      <w:r w:rsidRPr="00C46F76">
        <w:rPr>
          <w:rFonts w:asciiTheme="majorHAnsi" w:hAnsiTheme="majorHAnsi" w:cstheme="majorHAnsi"/>
        </w:rPr>
        <w:t xml:space="preserve">2023. godine </w:t>
      </w:r>
      <w:r>
        <w:rPr>
          <w:rFonts w:asciiTheme="majorHAnsi" w:hAnsiTheme="majorHAnsi" w:cstheme="majorHAnsi"/>
        </w:rPr>
        <w:t>proveo</w:t>
      </w:r>
      <w:r w:rsidRPr="00C46F76">
        <w:rPr>
          <w:rFonts w:asciiTheme="majorHAnsi" w:hAnsiTheme="majorHAnsi" w:cstheme="majorHAnsi"/>
        </w:rPr>
        <w:t xml:space="preserve"> Savjetovanj</w:t>
      </w:r>
      <w:r>
        <w:rPr>
          <w:rFonts w:asciiTheme="majorHAnsi" w:hAnsiTheme="majorHAnsi" w:cstheme="majorHAnsi"/>
        </w:rPr>
        <w:t>e</w:t>
      </w:r>
      <w:r w:rsidRPr="00C46F76">
        <w:rPr>
          <w:rFonts w:asciiTheme="majorHAnsi" w:hAnsiTheme="majorHAnsi" w:cstheme="majorHAnsi"/>
        </w:rPr>
        <w:t xml:space="preserve"> sa zainteresiranom javnošću s ciljem upoznavanja šire javnosti te pribavljanja mišljenja, primjedbi i prijedloga o nacrtu prijedloga </w:t>
      </w:r>
      <w:r w:rsidRPr="00C46F76">
        <w:rPr>
          <w:rFonts w:asciiTheme="majorHAnsi" w:hAnsiTheme="majorHAnsi" w:cstheme="majorHAnsi"/>
          <w:b/>
          <w:bCs/>
        </w:rPr>
        <w:t>Strategije upravljanja imovinom Grada Pula-Pola za razdoblje 2023. – 2028. godine</w:t>
      </w:r>
      <w:r w:rsidRPr="00C46F76">
        <w:rPr>
          <w:rFonts w:asciiTheme="majorHAnsi" w:hAnsiTheme="majorHAnsi" w:cstheme="majorHAnsi"/>
        </w:rPr>
        <w:t>.</w:t>
      </w:r>
    </w:p>
    <w:p w14:paraId="34984D67" w14:textId="77777777" w:rsidR="00C46F76" w:rsidRPr="00C46F76" w:rsidRDefault="00C46F76" w:rsidP="00C46F76">
      <w:pPr>
        <w:rPr>
          <w:rFonts w:asciiTheme="majorHAnsi" w:hAnsiTheme="majorHAnsi" w:cstheme="majorHAnsi"/>
        </w:rPr>
      </w:pPr>
    </w:p>
    <w:p w14:paraId="3F659A0E" w14:textId="30388A71" w:rsidR="00C46F76" w:rsidRDefault="00C46F76" w:rsidP="00C46F76">
      <w:pPr>
        <w:rPr>
          <w:rFonts w:asciiTheme="majorHAnsi" w:hAnsiTheme="majorHAnsi" w:cstheme="majorHAnsi"/>
        </w:rPr>
      </w:pPr>
      <w:r w:rsidRPr="00C46F76">
        <w:rPr>
          <w:rFonts w:asciiTheme="majorHAnsi" w:hAnsiTheme="majorHAnsi" w:cstheme="majorHAnsi"/>
        </w:rPr>
        <w:t>U procesu javnog savjetovanja mogli su sudjelovati svi građani</w:t>
      </w:r>
      <w:r>
        <w:rPr>
          <w:rFonts w:asciiTheme="majorHAnsi" w:hAnsiTheme="majorHAnsi" w:cstheme="majorHAnsi"/>
        </w:rPr>
        <w:t>, a s</w:t>
      </w:r>
      <w:r w:rsidRPr="00C46F76">
        <w:rPr>
          <w:rFonts w:asciiTheme="majorHAnsi" w:hAnsiTheme="majorHAnsi" w:cstheme="majorHAnsi"/>
        </w:rPr>
        <w:t>ve informacije o postupku javnog savjetovanja bile su objavljene na web stranicama Grada Pula</w:t>
      </w:r>
      <w:r>
        <w:rPr>
          <w:rFonts w:asciiTheme="majorHAnsi" w:hAnsiTheme="majorHAnsi" w:cstheme="majorHAnsi"/>
        </w:rPr>
        <w:t>-Pola</w:t>
      </w:r>
      <w:r w:rsidRPr="00C46F76">
        <w:rPr>
          <w:rFonts w:asciiTheme="majorHAnsi" w:hAnsiTheme="majorHAnsi" w:cstheme="majorHAnsi"/>
        </w:rPr>
        <w:t>, gdje je objavljen i standardiziran obrazac za dostavu mišljenja, prijedloga i primjedbi.</w:t>
      </w:r>
    </w:p>
    <w:p w14:paraId="6DB843DF" w14:textId="77777777" w:rsidR="00C46F76" w:rsidRPr="00C46F76" w:rsidRDefault="00C46F76" w:rsidP="00C46F76">
      <w:pPr>
        <w:rPr>
          <w:rFonts w:asciiTheme="majorHAnsi" w:hAnsiTheme="majorHAnsi" w:cstheme="majorHAnsi"/>
        </w:rPr>
      </w:pPr>
    </w:p>
    <w:p w14:paraId="72DB6193" w14:textId="0D887D51" w:rsidR="00C46F76" w:rsidRDefault="00C46F76" w:rsidP="00C46F76">
      <w:pPr>
        <w:rPr>
          <w:rFonts w:asciiTheme="majorHAnsi" w:hAnsiTheme="majorHAnsi" w:cstheme="majorHAnsi"/>
        </w:rPr>
      </w:pPr>
      <w:r w:rsidRPr="00C46F76">
        <w:rPr>
          <w:rFonts w:asciiTheme="majorHAnsi" w:hAnsiTheme="majorHAnsi" w:cstheme="majorHAnsi"/>
        </w:rPr>
        <w:t>U nastavku su prikazani mišljenja, prijedlozi i komentari koji su prikupljeni kroz proces savjetovanja</w:t>
      </w:r>
      <w:r>
        <w:rPr>
          <w:rFonts w:asciiTheme="majorHAnsi" w:hAnsiTheme="majorHAnsi" w:cstheme="majorHAnsi"/>
        </w:rPr>
        <w:t xml:space="preserve"> sa zainteresiranom javnošću</w:t>
      </w:r>
      <w:r w:rsidRPr="00C46F76">
        <w:rPr>
          <w:rFonts w:asciiTheme="majorHAnsi" w:hAnsiTheme="majorHAnsi" w:cstheme="majorHAnsi"/>
        </w:rPr>
        <w:t>.</w:t>
      </w:r>
    </w:p>
    <w:p w14:paraId="4BB403D9" w14:textId="48A7AA3A" w:rsidR="00C46F76" w:rsidRDefault="00C46F76" w:rsidP="00C46F76">
      <w:pPr>
        <w:rPr>
          <w:rFonts w:asciiTheme="majorHAnsi" w:hAnsiTheme="majorHAnsi" w:cstheme="majorHAnsi"/>
        </w:rPr>
      </w:pPr>
      <w:r>
        <w:rPr>
          <w:rFonts w:asciiTheme="majorHAnsi" w:hAnsiTheme="majorHAnsi" w:cstheme="majorHAnsi"/>
        </w:rPr>
        <w:br w:type="page"/>
      </w:r>
    </w:p>
    <w:p w14:paraId="633A535A" w14:textId="778E936E" w:rsidR="00C46F76" w:rsidRDefault="00C46F76" w:rsidP="00C46F76">
      <w:pPr>
        <w:pStyle w:val="Heading1"/>
      </w:pPr>
      <w:bookmarkStart w:id="1" w:name="_Toc139373229"/>
      <w:r>
        <w:lastRenderedPageBreak/>
        <w:t>2. MIŠLJENJA, PRIJEDLOZI I PRIMJEDBE SUDIONIKA DOBIVENI KROZ PROCES SAVJETOVANJA</w:t>
      </w:r>
      <w:bookmarkEnd w:id="1"/>
    </w:p>
    <w:p w14:paraId="20343BD7" w14:textId="77777777" w:rsidR="00C46F76" w:rsidRDefault="00C46F76" w:rsidP="00C46F76"/>
    <w:tbl>
      <w:tblPr>
        <w:tblStyle w:val="TableGrid"/>
        <w:tblW w:w="0" w:type="auto"/>
        <w:tblLook w:val="04A0" w:firstRow="1" w:lastRow="0" w:firstColumn="1" w:lastColumn="0" w:noHBand="0" w:noVBand="1"/>
      </w:tblPr>
      <w:tblGrid>
        <w:gridCol w:w="490"/>
        <w:gridCol w:w="1460"/>
        <w:gridCol w:w="7571"/>
        <w:gridCol w:w="1389"/>
        <w:gridCol w:w="3084"/>
      </w:tblGrid>
      <w:tr w:rsidR="00C73FB5" w:rsidRPr="00505D73" w14:paraId="053E991F" w14:textId="77777777" w:rsidTr="00C47C2F">
        <w:tc>
          <w:tcPr>
            <w:tcW w:w="490" w:type="dxa"/>
            <w:shd w:val="clear" w:color="auto" w:fill="D5DCE4" w:themeFill="text2" w:themeFillTint="33"/>
          </w:tcPr>
          <w:p w14:paraId="0D29A869" w14:textId="77777777" w:rsidR="00C73FB5" w:rsidRPr="00505D73" w:rsidRDefault="00C73FB5" w:rsidP="00C46F76">
            <w:pPr>
              <w:rPr>
                <w:rFonts w:asciiTheme="majorHAnsi" w:hAnsiTheme="majorHAnsi" w:cstheme="majorHAnsi"/>
                <w:sz w:val="20"/>
                <w:szCs w:val="20"/>
              </w:rPr>
            </w:pPr>
          </w:p>
        </w:tc>
        <w:tc>
          <w:tcPr>
            <w:tcW w:w="1460" w:type="dxa"/>
            <w:shd w:val="clear" w:color="auto" w:fill="D5DCE4" w:themeFill="text2" w:themeFillTint="33"/>
          </w:tcPr>
          <w:p w14:paraId="0A8528EA" w14:textId="77777777" w:rsidR="0050217B" w:rsidRPr="0050217B" w:rsidRDefault="0050217B" w:rsidP="0050217B">
            <w:pPr>
              <w:jc w:val="center"/>
              <w:rPr>
                <w:rFonts w:asciiTheme="majorHAnsi" w:hAnsiTheme="majorHAnsi" w:cstheme="majorHAnsi"/>
              </w:rPr>
            </w:pPr>
            <w:r w:rsidRPr="0050217B">
              <w:rPr>
                <w:rFonts w:asciiTheme="majorHAnsi" w:hAnsiTheme="majorHAnsi" w:cstheme="majorHAnsi"/>
              </w:rPr>
              <w:t>Naziv dionika</w:t>
            </w:r>
          </w:p>
          <w:p w14:paraId="317F3EC6" w14:textId="77777777" w:rsidR="0050217B" w:rsidRPr="0050217B" w:rsidRDefault="0050217B" w:rsidP="0050217B">
            <w:pPr>
              <w:jc w:val="center"/>
              <w:rPr>
                <w:rFonts w:asciiTheme="majorHAnsi" w:hAnsiTheme="majorHAnsi" w:cstheme="majorHAnsi"/>
              </w:rPr>
            </w:pPr>
            <w:r w:rsidRPr="0050217B">
              <w:rPr>
                <w:rFonts w:asciiTheme="majorHAnsi" w:hAnsiTheme="majorHAnsi" w:cstheme="majorHAnsi"/>
              </w:rPr>
              <w:t>(pojedinac,</w:t>
            </w:r>
          </w:p>
          <w:p w14:paraId="7997FA62" w14:textId="77777777" w:rsidR="0050217B" w:rsidRPr="0050217B" w:rsidRDefault="0050217B" w:rsidP="0050217B">
            <w:pPr>
              <w:jc w:val="center"/>
              <w:rPr>
                <w:rFonts w:asciiTheme="majorHAnsi" w:hAnsiTheme="majorHAnsi" w:cstheme="majorHAnsi"/>
              </w:rPr>
            </w:pPr>
            <w:r w:rsidRPr="0050217B">
              <w:rPr>
                <w:rFonts w:asciiTheme="majorHAnsi" w:hAnsiTheme="majorHAnsi" w:cstheme="majorHAnsi"/>
              </w:rPr>
              <w:t>organizacija,</w:t>
            </w:r>
          </w:p>
          <w:p w14:paraId="74E249B7" w14:textId="566D743E" w:rsidR="00C73FB5" w:rsidRPr="00505D73" w:rsidRDefault="0050217B" w:rsidP="0050217B">
            <w:pPr>
              <w:jc w:val="center"/>
              <w:rPr>
                <w:rFonts w:asciiTheme="majorHAnsi" w:hAnsiTheme="majorHAnsi" w:cstheme="majorHAnsi"/>
              </w:rPr>
            </w:pPr>
            <w:r w:rsidRPr="0050217B">
              <w:rPr>
                <w:rFonts w:asciiTheme="majorHAnsi" w:hAnsiTheme="majorHAnsi" w:cstheme="majorHAnsi"/>
              </w:rPr>
              <w:t>institucija)</w:t>
            </w:r>
          </w:p>
        </w:tc>
        <w:tc>
          <w:tcPr>
            <w:tcW w:w="7571" w:type="dxa"/>
            <w:shd w:val="clear" w:color="auto" w:fill="D5DCE4" w:themeFill="text2" w:themeFillTint="33"/>
            <w:vAlign w:val="center"/>
          </w:tcPr>
          <w:p w14:paraId="122E7D51" w14:textId="21CA9C7E" w:rsidR="00C73FB5" w:rsidRPr="00505D73" w:rsidRDefault="00C73FB5" w:rsidP="009732DE">
            <w:pPr>
              <w:jc w:val="center"/>
              <w:rPr>
                <w:rFonts w:asciiTheme="majorHAnsi" w:hAnsiTheme="majorHAnsi" w:cstheme="majorHAnsi"/>
              </w:rPr>
            </w:pPr>
            <w:r w:rsidRPr="00505D73">
              <w:rPr>
                <w:rFonts w:asciiTheme="majorHAnsi" w:hAnsiTheme="majorHAnsi" w:cstheme="majorHAnsi"/>
              </w:rPr>
              <w:t>KOMENTAR</w:t>
            </w:r>
          </w:p>
        </w:tc>
        <w:tc>
          <w:tcPr>
            <w:tcW w:w="1389" w:type="dxa"/>
            <w:shd w:val="clear" w:color="auto" w:fill="D5DCE4" w:themeFill="text2" w:themeFillTint="33"/>
            <w:vAlign w:val="center"/>
          </w:tcPr>
          <w:p w14:paraId="1C8A569B" w14:textId="26D3C756" w:rsidR="00C73FB5" w:rsidRPr="00505D73" w:rsidRDefault="00C73FB5" w:rsidP="009732DE">
            <w:pPr>
              <w:jc w:val="center"/>
              <w:rPr>
                <w:rFonts w:asciiTheme="majorHAnsi" w:hAnsiTheme="majorHAnsi" w:cstheme="majorHAnsi"/>
              </w:rPr>
            </w:pPr>
            <w:r w:rsidRPr="00505D73">
              <w:rPr>
                <w:rFonts w:asciiTheme="majorHAnsi" w:hAnsiTheme="majorHAnsi" w:cstheme="majorHAnsi"/>
              </w:rPr>
              <w:t>STATUS</w:t>
            </w:r>
          </w:p>
        </w:tc>
        <w:tc>
          <w:tcPr>
            <w:tcW w:w="3084" w:type="dxa"/>
            <w:shd w:val="clear" w:color="auto" w:fill="D5DCE4" w:themeFill="text2" w:themeFillTint="33"/>
            <w:vAlign w:val="center"/>
          </w:tcPr>
          <w:p w14:paraId="02294B68" w14:textId="31D8B70E" w:rsidR="00C73FB5" w:rsidRPr="00505D73" w:rsidRDefault="00C73FB5" w:rsidP="009732DE">
            <w:pPr>
              <w:jc w:val="center"/>
              <w:rPr>
                <w:rFonts w:asciiTheme="majorHAnsi" w:hAnsiTheme="majorHAnsi" w:cstheme="majorHAnsi"/>
              </w:rPr>
            </w:pPr>
            <w:r w:rsidRPr="00505D73">
              <w:rPr>
                <w:rFonts w:asciiTheme="majorHAnsi" w:hAnsiTheme="majorHAnsi" w:cstheme="majorHAnsi"/>
              </w:rPr>
              <w:t>OBRAZLOŽENJE</w:t>
            </w:r>
          </w:p>
        </w:tc>
      </w:tr>
      <w:tr w:rsidR="000B2768" w:rsidRPr="00505D73" w14:paraId="1FCD9C93" w14:textId="77777777" w:rsidTr="00C47C2F">
        <w:tc>
          <w:tcPr>
            <w:tcW w:w="490" w:type="dxa"/>
          </w:tcPr>
          <w:p w14:paraId="4D84E08D" w14:textId="7A8098C5" w:rsidR="000B2768" w:rsidRPr="00505D73" w:rsidRDefault="000B2768" w:rsidP="00C46F76">
            <w:pPr>
              <w:rPr>
                <w:rFonts w:asciiTheme="majorHAnsi" w:hAnsiTheme="majorHAnsi" w:cstheme="majorHAnsi"/>
                <w:sz w:val="20"/>
                <w:szCs w:val="20"/>
              </w:rPr>
            </w:pPr>
            <w:r w:rsidRPr="00505D73">
              <w:rPr>
                <w:rFonts w:asciiTheme="majorHAnsi" w:hAnsiTheme="majorHAnsi" w:cstheme="majorHAnsi"/>
                <w:sz w:val="20"/>
                <w:szCs w:val="20"/>
              </w:rPr>
              <w:t>1.</w:t>
            </w:r>
          </w:p>
        </w:tc>
        <w:tc>
          <w:tcPr>
            <w:tcW w:w="1460" w:type="dxa"/>
            <w:vMerge w:val="restart"/>
          </w:tcPr>
          <w:p w14:paraId="37166B0F" w14:textId="71FD043C" w:rsidR="000B2768" w:rsidRPr="00196EE1" w:rsidRDefault="00547EA5" w:rsidP="00C46F76">
            <w:pPr>
              <w:rPr>
                <w:rFonts w:asciiTheme="majorHAnsi" w:hAnsiTheme="majorHAnsi" w:cstheme="majorHAnsi"/>
                <w:b/>
                <w:bCs/>
              </w:rPr>
            </w:pPr>
            <w:r w:rsidRPr="00196EE1">
              <w:rPr>
                <w:rFonts w:asciiTheme="majorHAnsi" w:hAnsiTheme="majorHAnsi" w:cstheme="majorHAnsi"/>
                <w:b/>
                <w:bCs/>
              </w:rPr>
              <w:t>Anita Sponza</w:t>
            </w:r>
          </w:p>
        </w:tc>
        <w:tc>
          <w:tcPr>
            <w:tcW w:w="7571" w:type="dxa"/>
          </w:tcPr>
          <w:p w14:paraId="7DA76B15" w14:textId="4712CB84" w:rsidR="000B2768" w:rsidRPr="00505D73" w:rsidRDefault="000B2768" w:rsidP="00C46F76">
            <w:pPr>
              <w:rPr>
                <w:rFonts w:asciiTheme="majorHAnsi" w:hAnsiTheme="majorHAnsi" w:cstheme="majorHAnsi"/>
                <w:sz w:val="20"/>
                <w:szCs w:val="20"/>
              </w:rPr>
            </w:pPr>
            <w:r w:rsidRPr="00505D73">
              <w:rPr>
                <w:rFonts w:asciiTheme="majorHAnsi" w:hAnsiTheme="majorHAnsi" w:cstheme="majorHAnsi"/>
                <w:sz w:val="20"/>
                <w:szCs w:val="20"/>
              </w:rPr>
              <w:t>ISPRAVITI NAZIV Grada u rečenici „Po završetku izrade, Strategija upravljanja imovinom Grada Pula-Pola za razdoblje 2023. 2028. donesena je od strane Gradskog vijeća ? Grada Pule???</w:t>
            </w:r>
          </w:p>
        </w:tc>
        <w:tc>
          <w:tcPr>
            <w:tcW w:w="1389" w:type="dxa"/>
            <w:vAlign w:val="center"/>
          </w:tcPr>
          <w:p w14:paraId="1AC40ECD" w14:textId="199E6173" w:rsidR="000B2768" w:rsidRPr="00505D73" w:rsidRDefault="000B2768" w:rsidP="00505D73">
            <w:pPr>
              <w:jc w:val="center"/>
              <w:rPr>
                <w:rFonts w:asciiTheme="majorHAnsi" w:hAnsiTheme="majorHAnsi" w:cstheme="majorHAnsi"/>
                <w:sz w:val="20"/>
                <w:szCs w:val="20"/>
              </w:rPr>
            </w:pPr>
            <w:r>
              <w:rPr>
                <w:rFonts w:asciiTheme="majorHAnsi" w:hAnsiTheme="majorHAnsi" w:cstheme="majorHAnsi"/>
                <w:sz w:val="20"/>
                <w:szCs w:val="20"/>
              </w:rPr>
              <w:t>Prihvaća se</w:t>
            </w:r>
          </w:p>
        </w:tc>
        <w:tc>
          <w:tcPr>
            <w:tcW w:w="3084" w:type="dxa"/>
            <w:vAlign w:val="center"/>
          </w:tcPr>
          <w:p w14:paraId="6E787FD9" w14:textId="5CFEDA28" w:rsidR="000B2768" w:rsidRPr="00505D73" w:rsidRDefault="000B2768" w:rsidP="000F3E57">
            <w:pPr>
              <w:jc w:val="left"/>
              <w:rPr>
                <w:rFonts w:asciiTheme="majorHAnsi" w:hAnsiTheme="majorHAnsi" w:cstheme="majorHAnsi"/>
                <w:sz w:val="20"/>
                <w:szCs w:val="20"/>
              </w:rPr>
            </w:pPr>
            <w:r>
              <w:rPr>
                <w:rFonts w:asciiTheme="majorHAnsi" w:hAnsiTheme="majorHAnsi" w:cstheme="majorHAnsi"/>
                <w:sz w:val="20"/>
                <w:szCs w:val="20"/>
              </w:rPr>
              <w:t>Tekst prilagođen.</w:t>
            </w:r>
          </w:p>
        </w:tc>
      </w:tr>
      <w:tr w:rsidR="000B2768" w:rsidRPr="00505D73" w14:paraId="1D68D364" w14:textId="77777777" w:rsidTr="00C47C2F">
        <w:tc>
          <w:tcPr>
            <w:tcW w:w="490" w:type="dxa"/>
          </w:tcPr>
          <w:p w14:paraId="2DFC66E1" w14:textId="19A9066E" w:rsidR="000B2768" w:rsidRPr="00505D73" w:rsidRDefault="000B2768" w:rsidP="00AF648E">
            <w:pPr>
              <w:rPr>
                <w:rFonts w:asciiTheme="majorHAnsi" w:hAnsiTheme="majorHAnsi" w:cstheme="majorHAnsi"/>
                <w:sz w:val="20"/>
                <w:szCs w:val="20"/>
              </w:rPr>
            </w:pPr>
            <w:r>
              <w:rPr>
                <w:rFonts w:asciiTheme="majorHAnsi" w:hAnsiTheme="majorHAnsi" w:cstheme="majorHAnsi"/>
                <w:sz w:val="20"/>
                <w:szCs w:val="20"/>
              </w:rPr>
              <w:t>2.</w:t>
            </w:r>
          </w:p>
        </w:tc>
        <w:tc>
          <w:tcPr>
            <w:tcW w:w="1460" w:type="dxa"/>
            <w:vMerge/>
          </w:tcPr>
          <w:p w14:paraId="2D8402B9" w14:textId="77777777" w:rsidR="000B2768" w:rsidRPr="00AF648E" w:rsidRDefault="000B2768" w:rsidP="00AF648E">
            <w:pPr>
              <w:rPr>
                <w:rFonts w:asciiTheme="majorHAnsi" w:hAnsiTheme="majorHAnsi" w:cstheme="majorHAnsi"/>
                <w:sz w:val="20"/>
                <w:szCs w:val="20"/>
              </w:rPr>
            </w:pPr>
          </w:p>
        </w:tc>
        <w:tc>
          <w:tcPr>
            <w:tcW w:w="7571" w:type="dxa"/>
          </w:tcPr>
          <w:p w14:paraId="47039769" w14:textId="7463A37E" w:rsidR="000B2768" w:rsidRPr="00505D73" w:rsidRDefault="000B2768" w:rsidP="00AF648E">
            <w:pPr>
              <w:rPr>
                <w:rFonts w:asciiTheme="majorHAnsi" w:hAnsiTheme="majorHAnsi" w:cstheme="majorHAnsi"/>
                <w:sz w:val="20"/>
                <w:szCs w:val="20"/>
              </w:rPr>
            </w:pPr>
            <w:r w:rsidRPr="00AF648E">
              <w:rPr>
                <w:rFonts w:asciiTheme="majorHAnsi" w:hAnsiTheme="majorHAnsi" w:cstheme="majorHAnsi"/>
                <w:sz w:val="20"/>
                <w:szCs w:val="20"/>
              </w:rPr>
              <w:t>ISPRAVITI NAZIV GRADA ...zar je trebalo proteći 17. godina, a da se do sada nije uskladio, odnosno promijenio naziv iz „Službene novine Grada Pule u ispravni „Službene novine Grada Pula-Pola”????</w:t>
            </w:r>
          </w:p>
        </w:tc>
        <w:tc>
          <w:tcPr>
            <w:tcW w:w="1389" w:type="dxa"/>
            <w:vAlign w:val="center"/>
          </w:tcPr>
          <w:p w14:paraId="6FD47088" w14:textId="09DA20E6" w:rsidR="000B2768" w:rsidRPr="00505D73" w:rsidRDefault="000B2768" w:rsidP="00AF648E">
            <w:pPr>
              <w:jc w:val="center"/>
              <w:rPr>
                <w:rFonts w:asciiTheme="majorHAnsi" w:hAnsiTheme="majorHAnsi" w:cstheme="majorHAnsi"/>
                <w:sz w:val="20"/>
                <w:szCs w:val="20"/>
              </w:rPr>
            </w:pPr>
            <w:r>
              <w:rPr>
                <w:rFonts w:asciiTheme="majorHAnsi" w:hAnsiTheme="majorHAnsi" w:cstheme="majorHAnsi"/>
                <w:sz w:val="20"/>
                <w:szCs w:val="20"/>
              </w:rPr>
              <w:t>Prihvaća se</w:t>
            </w:r>
          </w:p>
        </w:tc>
        <w:tc>
          <w:tcPr>
            <w:tcW w:w="3084" w:type="dxa"/>
            <w:vAlign w:val="center"/>
          </w:tcPr>
          <w:p w14:paraId="43EE05FF" w14:textId="065FA1C8" w:rsidR="000B2768" w:rsidRPr="00505D73" w:rsidRDefault="000B2768" w:rsidP="00146989">
            <w:pPr>
              <w:rPr>
                <w:rFonts w:asciiTheme="majorHAnsi" w:hAnsiTheme="majorHAnsi" w:cstheme="majorHAnsi"/>
                <w:sz w:val="20"/>
                <w:szCs w:val="20"/>
              </w:rPr>
            </w:pPr>
            <w:r>
              <w:rPr>
                <w:rFonts w:asciiTheme="majorHAnsi" w:hAnsiTheme="majorHAnsi" w:cstheme="majorHAnsi"/>
                <w:sz w:val="20"/>
                <w:szCs w:val="20"/>
              </w:rPr>
              <w:t>Tekst prilagođen. Naziv je ispravljen u „</w:t>
            </w:r>
            <w:r w:rsidRPr="00146989">
              <w:rPr>
                <w:rFonts w:asciiTheme="majorHAnsi" w:hAnsiTheme="majorHAnsi" w:cstheme="majorHAnsi"/>
                <w:sz w:val="20"/>
                <w:szCs w:val="20"/>
              </w:rPr>
              <w:t>Službene novine – Bollettino ufficiale Pula-Pola</w:t>
            </w:r>
            <w:r>
              <w:rPr>
                <w:rFonts w:asciiTheme="majorHAnsi" w:hAnsiTheme="majorHAnsi" w:cstheme="majorHAnsi"/>
                <w:sz w:val="20"/>
                <w:szCs w:val="20"/>
              </w:rPr>
              <w:t>“</w:t>
            </w:r>
          </w:p>
        </w:tc>
      </w:tr>
      <w:tr w:rsidR="000B2768" w:rsidRPr="00505D73" w14:paraId="2CDD289E" w14:textId="77777777" w:rsidTr="00C47C2F">
        <w:tc>
          <w:tcPr>
            <w:tcW w:w="490" w:type="dxa"/>
          </w:tcPr>
          <w:p w14:paraId="59826F4E" w14:textId="35A9C2C5" w:rsidR="000B2768" w:rsidRPr="00505D73" w:rsidRDefault="000B2768" w:rsidP="00F25481">
            <w:pPr>
              <w:rPr>
                <w:rFonts w:asciiTheme="majorHAnsi" w:hAnsiTheme="majorHAnsi" w:cstheme="majorHAnsi"/>
                <w:sz w:val="20"/>
                <w:szCs w:val="20"/>
              </w:rPr>
            </w:pPr>
            <w:r>
              <w:rPr>
                <w:rFonts w:asciiTheme="majorHAnsi" w:hAnsiTheme="majorHAnsi" w:cstheme="majorHAnsi"/>
                <w:sz w:val="20"/>
                <w:szCs w:val="20"/>
              </w:rPr>
              <w:t>3.</w:t>
            </w:r>
          </w:p>
        </w:tc>
        <w:tc>
          <w:tcPr>
            <w:tcW w:w="1460" w:type="dxa"/>
            <w:vMerge/>
          </w:tcPr>
          <w:p w14:paraId="51780C9D" w14:textId="77777777" w:rsidR="000B2768" w:rsidRPr="00F25481" w:rsidRDefault="000B2768" w:rsidP="00F25481">
            <w:pPr>
              <w:rPr>
                <w:rFonts w:asciiTheme="majorHAnsi" w:hAnsiTheme="majorHAnsi" w:cstheme="majorHAnsi"/>
                <w:sz w:val="20"/>
                <w:szCs w:val="20"/>
              </w:rPr>
            </w:pPr>
          </w:p>
        </w:tc>
        <w:tc>
          <w:tcPr>
            <w:tcW w:w="7571" w:type="dxa"/>
          </w:tcPr>
          <w:p w14:paraId="7BF4E437" w14:textId="4456D00B" w:rsidR="000B2768" w:rsidRPr="00505D73" w:rsidRDefault="000B2768" w:rsidP="00F25481">
            <w:pPr>
              <w:rPr>
                <w:rFonts w:asciiTheme="majorHAnsi" w:hAnsiTheme="majorHAnsi" w:cstheme="majorHAnsi"/>
                <w:sz w:val="20"/>
                <w:szCs w:val="20"/>
              </w:rPr>
            </w:pPr>
            <w:r w:rsidRPr="00F25481">
              <w:rPr>
                <w:rFonts w:asciiTheme="majorHAnsi" w:hAnsiTheme="majorHAnsi" w:cstheme="majorHAnsi"/>
                <w:sz w:val="20"/>
                <w:szCs w:val="20"/>
              </w:rPr>
              <w:t>Grad Pula-Pola na sjeveru graniči s Gradom Vodnjanom? zakonom iz 2006. naziv grada je Grad VodnjanDignano.. na istoku s Općinama Ližnjan? Isti zakon iz 2006. Općina Ližnjan-Lisignano</w:t>
            </w:r>
          </w:p>
        </w:tc>
        <w:tc>
          <w:tcPr>
            <w:tcW w:w="1389" w:type="dxa"/>
            <w:vAlign w:val="center"/>
          </w:tcPr>
          <w:p w14:paraId="7CE40CDC" w14:textId="57CB9B15" w:rsidR="000B2768" w:rsidRPr="00505D73" w:rsidRDefault="000B2768" w:rsidP="00F25481">
            <w:pPr>
              <w:jc w:val="center"/>
              <w:rPr>
                <w:rFonts w:asciiTheme="majorHAnsi" w:hAnsiTheme="majorHAnsi" w:cstheme="majorHAnsi"/>
                <w:sz w:val="20"/>
                <w:szCs w:val="20"/>
              </w:rPr>
            </w:pPr>
            <w:r>
              <w:rPr>
                <w:rFonts w:asciiTheme="majorHAnsi" w:hAnsiTheme="majorHAnsi" w:cstheme="majorHAnsi"/>
                <w:sz w:val="20"/>
                <w:szCs w:val="20"/>
              </w:rPr>
              <w:t>Prihvaća se</w:t>
            </w:r>
          </w:p>
        </w:tc>
        <w:tc>
          <w:tcPr>
            <w:tcW w:w="3084" w:type="dxa"/>
            <w:vAlign w:val="center"/>
          </w:tcPr>
          <w:p w14:paraId="53CE4FED" w14:textId="39094CBF" w:rsidR="000B2768" w:rsidRPr="00505D73" w:rsidRDefault="000B2768" w:rsidP="00F25481">
            <w:pPr>
              <w:rPr>
                <w:rFonts w:asciiTheme="majorHAnsi" w:hAnsiTheme="majorHAnsi" w:cstheme="majorHAnsi"/>
                <w:sz w:val="20"/>
                <w:szCs w:val="20"/>
              </w:rPr>
            </w:pPr>
            <w:r>
              <w:rPr>
                <w:rFonts w:asciiTheme="majorHAnsi" w:hAnsiTheme="majorHAnsi" w:cstheme="majorHAnsi"/>
                <w:sz w:val="20"/>
                <w:szCs w:val="20"/>
              </w:rPr>
              <w:t>Tekst prilagođen.</w:t>
            </w:r>
          </w:p>
        </w:tc>
      </w:tr>
      <w:tr w:rsidR="000B2768" w:rsidRPr="00505D73" w14:paraId="0FCF79A1" w14:textId="77777777" w:rsidTr="00C47C2F">
        <w:tc>
          <w:tcPr>
            <w:tcW w:w="490" w:type="dxa"/>
          </w:tcPr>
          <w:p w14:paraId="3B6BEFFE" w14:textId="4D629231" w:rsidR="000B2768" w:rsidRPr="00505D73" w:rsidRDefault="000B2768" w:rsidP="00633E34">
            <w:pPr>
              <w:rPr>
                <w:rFonts w:asciiTheme="majorHAnsi" w:hAnsiTheme="majorHAnsi" w:cstheme="majorHAnsi"/>
                <w:sz w:val="20"/>
                <w:szCs w:val="20"/>
              </w:rPr>
            </w:pPr>
            <w:r>
              <w:rPr>
                <w:rFonts w:asciiTheme="majorHAnsi" w:hAnsiTheme="majorHAnsi" w:cstheme="majorHAnsi"/>
                <w:sz w:val="20"/>
                <w:szCs w:val="20"/>
              </w:rPr>
              <w:t>4.</w:t>
            </w:r>
          </w:p>
        </w:tc>
        <w:tc>
          <w:tcPr>
            <w:tcW w:w="1460" w:type="dxa"/>
            <w:vMerge/>
          </w:tcPr>
          <w:p w14:paraId="4A74298B" w14:textId="77777777" w:rsidR="000B2768" w:rsidRPr="002705AB" w:rsidRDefault="000B2768" w:rsidP="00633E34">
            <w:pPr>
              <w:rPr>
                <w:rFonts w:asciiTheme="majorHAnsi" w:hAnsiTheme="majorHAnsi" w:cstheme="majorHAnsi"/>
                <w:sz w:val="20"/>
                <w:szCs w:val="20"/>
              </w:rPr>
            </w:pPr>
          </w:p>
        </w:tc>
        <w:tc>
          <w:tcPr>
            <w:tcW w:w="7571" w:type="dxa"/>
          </w:tcPr>
          <w:p w14:paraId="36E2BEC3" w14:textId="41754210" w:rsidR="000B2768" w:rsidRPr="00505D73" w:rsidRDefault="000B2768" w:rsidP="00633E34">
            <w:pPr>
              <w:rPr>
                <w:rFonts w:asciiTheme="majorHAnsi" w:hAnsiTheme="majorHAnsi" w:cstheme="majorHAnsi"/>
                <w:sz w:val="20"/>
                <w:szCs w:val="20"/>
              </w:rPr>
            </w:pPr>
            <w:r w:rsidRPr="002705AB">
              <w:rPr>
                <w:rFonts w:asciiTheme="majorHAnsi" w:hAnsiTheme="majorHAnsi" w:cstheme="majorHAnsi"/>
                <w:sz w:val="20"/>
                <w:szCs w:val="20"/>
              </w:rPr>
              <w:t>Adresa je Forum 1, 52 100 Pula-Pola ili treba pitati Sabor da li je za hrvatsku poštu donio poseban zakon po kojem Grad Pula-Pola za potrebe pošte nosi naziv „skraćeno” PULA.???</w:t>
            </w:r>
          </w:p>
        </w:tc>
        <w:tc>
          <w:tcPr>
            <w:tcW w:w="1389" w:type="dxa"/>
            <w:vAlign w:val="center"/>
          </w:tcPr>
          <w:p w14:paraId="33BD105D" w14:textId="2730CADD" w:rsidR="000B2768" w:rsidRPr="00505D73" w:rsidRDefault="000B2768" w:rsidP="00633E34">
            <w:pPr>
              <w:jc w:val="center"/>
              <w:rPr>
                <w:rFonts w:asciiTheme="majorHAnsi" w:hAnsiTheme="majorHAnsi" w:cstheme="majorHAnsi"/>
                <w:sz w:val="20"/>
                <w:szCs w:val="20"/>
              </w:rPr>
            </w:pPr>
            <w:r>
              <w:rPr>
                <w:rFonts w:asciiTheme="majorHAnsi" w:hAnsiTheme="majorHAnsi" w:cstheme="majorHAnsi"/>
                <w:sz w:val="20"/>
                <w:szCs w:val="20"/>
              </w:rPr>
              <w:t>Prihvaća se</w:t>
            </w:r>
          </w:p>
        </w:tc>
        <w:tc>
          <w:tcPr>
            <w:tcW w:w="3084" w:type="dxa"/>
            <w:vAlign w:val="center"/>
          </w:tcPr>
          <w:p w14:paraId="77298B3C" w14:textId="15E33F74" w:rsidR="000B2768" w:rsidRPr="00505D73" w:rsidRDefault="000B2768" w:rsidP="00633E34">
            <w:pPr>
              <w:rPr>
                <w:rFonts w:asciiTheme="majorHAnsi" w:hAnsiTheme="majorHAnsi" w:cstheme="majorHAnsi"/>
                <w:sz w:val="20"/>
                <w:szCs w:val="20"/>
              </w:rPr>
            </w:pPr>
            <w:r>
              <w:rPr>
                <w:rFonts w:asciiTheme="majorHAnsi" w:hAnsiTheme="majorHAnsi" w:cstheme="majorHAnsi"/>
                <w:sz w:val="20"/>
                <w:szCs w:val="20"/>
              </w:rPr>
              <w:t>Tekst prilagođen.</w:t>
            </w:r>
          </w:p>
        </w:tc>
      </w:tr>
      <w:tr w:rsidR="000B2768" w:rsidRPr="00505D73" w14:paraId="298699F4" w14:textId="77777777" w:rsidTr="00C47C2F">
        <w:tc>
          <w:tcPr>
            <w:tcW w:w="490" w:type="dxa"/>
          </w:tcPr>
          <w:p w14:paraId="2579E0A5" w14:textId="650A0A1B" w:rsidR="000B2768" w:rsidRPr="00505D73" w:rsidRDefault="000B2768" w:rsidP="00664348">
            <w:pPr>
              <w:rPr>
                <w:rFonts w:asciiTheme="majorHAnsi" w:hAnsiTheme="majorHAnsi" w:cstheme="majorHAnsi"/>
                <w:sz w:val="20"/>
                <w:szCs w:val="20"/>
              </w:rPr>
            </w:pPr>
            <w:r>
              <w:rPr>
                <w:rFonts w:asciiTheme="majorHAnsi" w:hAnsiTheme="majorHAnsi" w:cstheme="majorHAnsi"/>
                <w:sz w:val="20"/>
                <w:szCs w:val="20"/>
              </w:rPr>
              <w:t>5.</w:t>
            </w:r>
          </w:p>
        </w:tc>
        <w:tc>
          <w:tcPr>
            <w:tcW w:w="1460" w:type="dxa"/>
            <w:vMerge/>
          </w:tcPr>
          <w:p w14:paraId="4BB4B0B4" w14:textId="77777777" w:rsidR="000B2768" w:rsidRPr="009623FA" w:rsidRDefault="000B2768" w:rsidP="00664348">
            <w:pPr>
              <w:rPr>
                <w:rFonts w:asciiTheme="majorHAnsi" w:hAnsiTheme="majorHAnsi" w:cstheme="majorHAnsi"/>
                <w:sz w:val="20"/>
                <w:szCs w:val="20"/>
              </w:rPr>
            </w:pPr>
          </w:p>
        </w:tc>
        <w:tc>
          <w:tcPr>
            <w:tcW w:w="7571" w:type="dxa"/>
          </w:tcPr>
          <w:p w14:paraId="18324C55" w14:textId="2B0A7845" w:rsidR="000B2768" w:rsidRDefault="000B2768" w:rsidP="00664348">
            <w:pPr>
              <w:rPr>
                <w:rFonts w:asciiTheme="majorHAnsi" w:hAnsiTheme="majorHAnsi" w:cstheme="majorHAnsi"/>
                <w:sz w:val="20"/>
                <w:szCs w:val="20"/>
              </w:rPr>
            </w:pPr>
            <w:r w:rsidRPr="009623FA">
              <w:rPr>
                <w:rFonts w:asciiTheme="majorHAnsi" w:hAnsiTheme="majorHAnsi" w:cstheme="majorHAnsi"/>
                <w:sz w:val="20"/>
                <w:szCs w:val="20"/>
              </w:rPr>
              <w:t>OŽIVLJAVANJE GRADSKIH KVARTOVA???....oživljavanje kojih „GRADSKIH KVARTOVA?”</w:t>
            </w:r>
          </w:p>
          <w:p w14:paraId="4FABD489" w14:textId="58824552" w:rsidR="000B2768" w:rsidRPr="00505D73" w:rsidRDefault="000B2768" w:rsidP="00664348">
            <w:pPr>
              <w:rPr>
                <w:rFonts w:asciiTheme="majorHAnsi" w:hAnsiTheme="majorHAnsi" w:cstheme="majorHAnsi"/>
                <w:sz w:val="20"/>
                <w:szCs w:val="20"/>
              </w:rPr>
            </w:pPr>
            <w:r w:rsidRPr="00633E34">
              <w:rPr>
                <w:rFonts w:asciiTheme="majorHAnsi" w:hAnsiTheme="majorHAnsi" w:cstheme="majorHAnsi"/>
                <w:sz w:val="20"/>
                <w:szCs w:val="20"/>
              </w:rPr>
              <w:t>U Gradu Pula-Pola nije službeno podijeljen teritorij na gradske kvartove od austrijskih vremena. Statutom Grada Pula-Pola grad je već 30 godina strukturiran ali ne po nekakvim „kvartovima”. Obveza je izrađivača ove Strategije POŠTIVATI STATUT GRADA PULE-POLA! Ukoliko autor ovog dokumenta nije iz našeg Grada treba mu dostaviti Statut našeg Grada.</w:t>
            </w:r>
            <w:r>
              <w:rPr>
                <w:rFonts w:asciiTheme="majorHAnsi" w:hAnsiTheme="majorHAnsi" w:cstheme="majorHAnsi"/>
                <w:sz w:val="20"/>
                <w:szCs w:val="20"/>
              </w:rPr>
              <w:t xml:space="preserve"> (…)</w:t>
            </w:r>
          </w:p>
        </w:tc>
        <w:tc>
          <w:tcPr>
            <w:tcW w:w="1389" w:type="dxa"/>
            <w:vAlign w:val="center"/>
          </w:tcPr>
          <w:p w14:paraId="0E056743" w14:textId="1E835856" w:rsidR="000B2768" w:rsidRPr="00505D73" w:rsidRDefault="000B2768" w:rsidP="00664348">
            <w:pPr>
              <w:jc w:val="center"/>
              <w:rPr>
                <w:rFonts w:asciiTheme="majorHAnsi" w:hAnsiTheme="majorHAnsi" w:cstheme="majorHAnsi"/>
                <w:sz w:val="20"/>
                <w:szCs w:val="20"/>
              </w:rPr>
            </w:pPr>
            <w:r>
              <w:rPr>
                <w:rFonts w:asciiTheme="majorHAnsi" w:hAnsiTheme="majorHAnsi" w:cstheme="majorHAnsi"/>
                <w:sz w:val="20"/>
                <w:szCs w:val="20"/>
              </w:rPr>
              <w:t>Prihvaća se</w:t>
            </w:r>
          </w:p>
        </w:tc>
        <w:tc>
          <w:tcPr>
            <w:tcW w:w="3084" w:type="dxa"/>
            <w:vAlign w:val="center"/>
          </w:tcPr>
          <w:p w14:paraId="00572081" w14:textId="3FB8737E" w:rsidR="000B2768" w:rsidRPr="00505D73" w:rsidRDefault="000B2768" w:rsidP="00664348">
            <w:pPr>
              <w:rPr>
                <w:rFonts w:asciiTheme="majorHAnsi" w:hAnsiTheme="majorHAnsi" w:cstheme="majorHAnsi"/>
                <w:sz w:val="20"/>
                <w:szCs w:val="20"/>
              </w:rPr>
            </w:pPr>
            <w:r>
              <w:rPr>
                <w:rFonts w:asciiTheme="majorHAnsi" w:hAnsiTheme="majorHAnsi" w:cstheme="majorHAnsi"/>
                <w:sz w:val="20"/>
                <w:szCs w:val="20"/>
              </w:rPr>
              <w:t>Tekst prilagođen na način da se umjesto formulacije „gradski kvartovi“ koristi formulacija „pojedine gradske cjeline“.</w:t>
            </w:r>
          </w:p>
        </w:tc>
      </w:tr>
      <w:tr w:rsidR="000B2768" w:rsidRPr="00505D73" w14:paraId="6151AA71" w14:textId="77777777" w:rsidTr="00C47C2F">
        <w:tc>
          <w:tcPr>
            <w:tcW w:w="490" w:type="dxa"/>
          </w:tcPr>
          <w:p w14:paraId="2BCCFC1C" w14:textId="275C938A" w:rsidR="000B2768" w:rsidRPr="00505D73" w:rsidRDefault="000B2768" w:rsidP="00C46F76">
            <w:pPr>
              <w:rPr>
                <w:rFonts w:asciiTheme="majorHAnsi" w:hAnsiTheme="majorHAnsi" w:cstheme="majorHAnsi"/>
                <w:sz w:val="20"/>
                <w:szCs w:val="20"/>
              </w:rPr>
            </w:pPr>
            <w:r>
              <w:rPr>
                <w:rFonts w:asciiTheme="majorHAnsi" w:hAnsiTheme="majorHAnsi" w:cstheme="majorHAnsi"/>
                <w:sz w:val="20"/>
                <w:szCs w:val="20"/>
              </w:rPr>
              <w:t>6.</w:t>
            </w:r>
          </w:p>
        </w:tc>
        <w:tc>
          <w:tcPr>
            <w:tcW w:w="1460" w:type="dxa"/>
            <w:vMerge/>
          </w:tcPr>
          <w:p w14:paraId="1FD7AFA9" w14:textId="77777777" w:rsidR="000B2768" w:rsidRPr="009226D6" w:rsidRDefault="000B2768" w:rsidP="009226D6">
            <w:pPr>
              <w:rPr>
                <w:rFonts w:asciiTheme="majorHAnsi" w:hAnsiTheme="majorHAnsi" w:cstheme="majorHAnsi"/>
                <w:sz w:val="20"/>
                <w:szCs w:val="20"/>
              </w:rPr>
            </w:pPr>
          </w:p>
        </w:tc>
        <w:tc>
          <w:tcPr>
            <w:tcW w:w="7571" w:type="dxa"/>
          </w:tcPr>
          <w:p w14:paraId="3204038D" w14:textId="5B9936C9" w:rsidR="000B2768" w:rsidRPr="009226D6" w:rsidRDefault="000B2768" w:rsidP="009226D6">
            <w:pPr>
              <w:rPr>
                <w:rFonts w:asciiTheme="majorHAnsi" w:hAnsiTheme="majorHAnsi" w:cstheme="majorHAnsi"/>
                <w:sz w:val="20"/>
                <w:szCs w:val="20"/>
              </w:rPr>
            </w:pPr>
            <w:r w:rsidRPr="009226D6">
              <w:rPr>
                <w:rFonts w:asciiTheme="majorHAnsi" w:hAnsiTheme="majorHAnsi" w:cstheme="majorHAnsi"/>
                <w:sz w:val="20"/>
                <w:szCs w:val="20"/>
              </w:rPr>
              <w:t xml:space="preserve">Str. 14.  Autor Strategije mora Ažurirati ovaj tabelarni prikaz ... </w:t>
            </w:r>
          </w:p>
          <w:p w14:paraId="71F0978F" w14:textId="5F08FDFB" w:rsidR="000B2768" w:rsidRPr="00505D73" w:rsidRDefault="000B2768" w:rsidP="009226D6">
            <w:pPr>
              <w:rPr>
                <w:rFonts w:asciiTheme="majorHAnsi" w:hAnsiTheme="majorHAnsi" w:cstheme="majorHAnsi"/>
                <w:sz w:val="20"/>
                <w:szCs w:val="20"/>
              </w:rPr>
            </w:pPr>
            <w:r w:rsidRPr="009226D6">
              <w:rPr>
                <w:rFonts w:asciiTheme="majorHAnsi" w:hAnsiTheme="majorHAnsi" w:cstheme="majorHAnsi"/>
                <w:sz w:val="20"/>
                <w:szCs w:val="20"/>
              </w:rPr>
              <w:t>Upravni odjel za opću upravu i mjesnu samoupravu?</w:t>
            </w:r>
          </w:p>
        </w:tc>
        <w:tc>
          <w:tcPr>
            <w:tcW w:w="1389" w:type="dxa"/>
            <w:vAlign w:val="center"/>
          </w:tcPr>
          <w:p w14:paraId="35F33D8A" w14:textId="7C20ACB9" w:rsidR="000B2768" w:rsidRPr="00505D73" w:rsidRDefault="000B2768" w:rsidP="00505D73">
            <w:pPr>
              <w:jc w:val="center"/>
              <w:rPr>
                <w:rFonts w:asciiTheme="majorHAnsi" w:hAnsiTheme="majorHAnsi" w:cstheme="majorHAnsi"/>
                <w:sz w:val="20"/>
                <w:szCs w:val="20"/>
              </w:rPr>
            </w:pPr>
            <w:r>
              <w:rPr>
                <w:rFonts w:asciiTheme="majorHAnsi" w:hAnsiTheme="majorHAnsi" w:cstheme="majorHAnsi"/>
                <w:sz w:val="20"/>
                <w:szCs w:val="20"/>
              </w:rPr>
              <w:t>Prihvaća se</w:t>
            </w:r>
          </w:p>
        </w:tc>
        <w:tc>
          <w:tcPr>
            <w:tcW w:w="3084" w:type="dxa"/>
            <w:vAlign w:val="center"/>
          </w:tcPr>
          <w:p w14:paraId="4F8CA2E2" w14:textId="3F582358" w:rsidR="000B2768" w:rsidRPr="00505D73" w:rsidRDefault="000B2768" w:rsidP="00146989">
            <w:pPr>
              <w:rPr>
                <w:rFonts w:asciiTheme="majorHAnsi" w:hAnsiTheme="majorHAnsi" w:cstheme="majorHAnsi"/>
                <w:sz w:val="20"/>
                <w:szCs w:val="20"/>
              </w:rPr>
            </w:pPr>
            <w:r w:rsidRPr="00F74C6C">
              <w:rPr>
                <w:rFonts w:asciiTheme="majorHAnsi" w:hAnsiTheme="majorHAnsi" w:cstheme="majorHAnsi"/>
                <w:i/>
                <w:iCs/>
                <w:sz w:val="20"/>
                <w:szCs w:val="20"/>
              </w:rPr>
              <w:t>Tablica 2.</w:t>
            </w:r>
            <w:r w:rsidRPr="009E1AF7">
              <w:rPr>
                <w:rFonts w:asciiTheme="majorHAnsi" w:hAnsiTheme="majorHAnsi" w:cstheme="majorHAnsi"/>
                <w:sz w:val="20"/>
                <w:szCs w:val="20"/>
              </w:rPr>
              <w:t xml:space="preserve"> </w:t>
            </w:r>
            <w:r w:rsidRPr="00F74C6C">
              <w:rPr>
                <w:rFonts w:asciiTheme="majorHAnsi" w:hAnsiTheme="majorHAnsi" w:cstheme="majorHAnsi"/>
                <w:i/>
                <w:iCs/>
                <w:sz w:val="20"/>
                <w:szCs w:val="20"/>
              </w:rPr>
              <w:t>Prikaz broja zaposlenika po upravnim tijelima Grada Pula-Pula u 2022. godini</w:t>
            </w:r>
            <w:r>
              <w:rPr>
                <w:rFonts w:asciiTheme="majorHAnsi" w:hAnsiTheme="majorHAnsi" w:cstheme="majorHAnsi"/>
                <w:sz w:val="20"/>
                <w:szCs w:val="20"/>
              </w:rPr>
              <w:t xml:space="preserve"> ažurirat će se za 2023. godinu, u kojoj se ukida </w:t>
            </w:r>
            <w:r w:rsidRPr="009226D6">
              <w:rPr>
                <w:rFonts w:asciiTheme="majorHAnsi" w:hAnsiTheme="majorHAnsi" w:cstheme="majorHAnsi"/>
                <w:sz w:val="20"/>
                <w:szCs w:val="20"/>
              </w:rPr>
              <w:t>Upravni odjel za opću upravu i mjesnu samoupravu</w:t>
            </w:r>
            <w:r>
              <w:rPr>
                <w:rFonts w:asciiTheme="majorHAnsi" w:hAnsiTheme="majorHAnsi" w:cstheme="majorHAnsi"/>
                <w:sz w:val="20"/>
                <w:szCs w:val="20"/>
              </w:rPr>
              <w:t>.</w:t>
            </w:r>
          </w:p>
        </w:tc>
      </w:tr>
      <w:tr w:rsidR="000B2768" w:rsidRPr="00505D73" w14:paraId="74B58727" w14:textId="77777777" w:rsidTr="00C47C2F">
        <w:tc>
          <w:tcPr>
            <w:tcW w:w="490" w:type="dxa"/>
          </w:tcPr>
          <w:p w14:paraId="0FDF9157" w14:textId="58B870A5" w:rsidR="000B2768" w:rsidRPr="00505D73" w:rsidRDefault="000B2768" w:rsidP="00EC3AD2">
            <w:pPr>
              <w:rPr>
                <w:rFonts w:asciiTheme="majorHAnsi" w:hAnsiTheme="majorHAnsi" w:cstheme="majorHAnsi"/>
                <w:sz w:val="20"/>
                <w:szCs w:val="20"/>
              </w:rPr>
            </w:pPr>
            <w:r>
              <w:rPr>
                <w:rFonts w:asciiTheme="majorHAnsi" w:hAnsiTheme="majorHAnsi" w:cstheme="majorHAnsi"/>
                <w:sz w:val="20"/>
                <w:szCs w:val="20"/>
              </w:rPr>
              <w:t>7.</w:t>
            </w:r>
          </w:p>
        </w:tc>
        <w:tc>
          <w:tcPr>
            <w:tcW w:w="1460" w:type="dxa"/>
            <w:vMerge/>
          </w:tcPr>
          <w:p w14:paraId="587F7385" w14:textId="77777777" w:rsidR="000B2768" w:rsidRPr="0069115A" w:rsidRDefault="000B2768" w:rsidP="00EC3AD2">
            <w:pPr>
              <w:rPr>
                <w:rFonts w:asciiTheme="majorHAnsi" w:hAnsiTheme="majorHAnsi" w:cstheme="majorHAnsi"/>
                <w:sz w:val="20"/>
                <w:szCs w:val="20"/>
              </w:rPr>
            </w:pPr>
          </w:p>
        </w:tc>
        <w:tc>
          <w:tcPr>
            <w:tcW w:w="7571" w:type="dxa"/>
          </w:tcPr>
          <w:p w14:paraId="5B499909" w14:textId="4E3EC103" w:rsidR="000B2768" w:rsidRPr="0069115A" w:rsidRDefault="000B2768" w:rsidP="00EC3AD2">
            <w:pPr>
              <w:rPr>
                <w:rFonts w:asciiTheme="majorHAnsi" w:hAnsiTheme="majorHAnsi" w:cstheme="majorHAnsi"/>
                <w:sz w:val="20"/>
                <w:szCs w:val="20"/>
              </w:rPr>
            </w:pPr>
            <w:r w:rsidRPr="0069115A">
              <w:rPr>
                <w:rFonts w:asciiTheme="majorHAnsi" w:hAnsiTheme="majorHAnsi" w:cstheme="majorHAnsi"/>
                <w:sz w:val="20"/>
                <w:szCs w:val="20"/>
              </w:rPr>
              <w:t>Str. 17</w:t>
            </w:r>
            <w:r>
              <w:rPr>
                <w:rFonts w:asciiTheme="majorHAnsi" w:hAnsiTheme="majorHAnsi" w:cstheme="majorHAnsi"/>
                <w:sz w:val="20"/>
                <w:szCs w:val="20"/>
              </w:rPr>
              <w:t>.</w:t>
            </w:r>
            <w:r w:rsidRPr="0069115A">
              <w:rPr>
                <w:rFonts w:asciiTheme="majorHAnsi" w:hAnsiTheme="majorHAnsi" w:cstheme="majorHAnsi"/>
                <w:sz w:val="20"/>
                <w:szCs w:val="20"/>
              </w:rPr>
              <w:t xml:space="preserve"> Općinski sud / Zemljišnoknjižni odjel Pula</w:t>
            </w:r>
          </w:p>
          <w:p w14:paraId="3180E110" w14:textId="77777777" w:rsidR="000B2768" w:rsidRPr="0069115A" w:rsidRDefault="000B2768" w:rsidP="00EC3AD2">
            <w:pPr>
              <w:rPr>
                <w:rFonts w:asciiTheme="majorHAnsi" w:hAnsiTheme="majorHAnsi" w:cstheme="majorHAnsi"/>
                <w:sz w:val="20"/>
                <w:szCs w:val="20"/>
              </w:rPr>
            </w:pPr>
            <w:r w:rsidRPr="0069115A">
              <w:rPr>
                <w:rFonts w:asciiTheme="majorHAnsi" w:hAnsiTheme="majorHAnsi" w:cstheme="majorHAnsi"/>
                <w:sz w:val="20"/>
                <w:szCs w:val="20"/>
              </w:rPr>
              <w:t>Pravnica iz Ministarstva pravosuđa i uprave uputila me je da napišem primjedbe na svaki KRIVO ISPISANI NAZIV mog Grada.</w:t>
            </w:r>
          </w:p>
          <w:p w14:paraId="34575341" w14:textId="77777777" w:rsidR="000B2768" w:rsidRDefault="000B2768" w:rsidP="00EC3AD2">
            <w:pPr>
              <w:rPr>
                <w:rFonts w:asciiTheme="majorHAnsi" w:hAnsiTheme="majorHAnsi" w:cstheme="majorHAnsi"/>
                <w:sz w:val="20"/>
                <w:szCs w:val="20"/>
              </w:rPr>
            </w:pPr>
            <w:r w:rsidRPr="0069115A">
              <w:rPr>
                <w:rFonts w:asciiTheme="majorHAnsi" w:hAnsiTheme="majorHAnsi" w:cstheme="majorHAnsi"/>
                <w:sz w:val="20"/>
                <w:szCs w:val="20"/>
              </w:rPr>
              <w:t>Molim vas da ukažete nadležnom tijelu RH da zakoni u Hrvatskoj vrijede za sve!</w:t>
            </w:r>
          </w:p>
          <w:p w14:paraId="0F36609F" w14:textId="304F1383" w:rsidR="000B2768" w:rsidRPr="0030176E" w:rsidRDefault="000B2768" w:rsidP="0030176E">
            <w:pPr>
              <w:rPr>
                <w:rFonts w:asciiTheme="majorHAnsi" w:hAnsiTheme="majorHAnsi" w:cstheme="majorHAnsi"/>
                <w:sz w:val="20"/>
                <w:szCs w:val="20"/>
              </w:rPr>
            </w:pPr>
            <w:r w:rsidRPr="0030176E">
              <w:rPr>
                <w:rFonts w:asciiTheme="majorHAnsi" w:hAnsiTheme="majorHAnsi" w:cstheme="majorHAnsi"/>
                <w:sz w:val="20"/>
                <w:szCs w:val="20"/>
              </w:rPr>
              <w:t>Ispraviti u tabeli naziv Grad Vodnjan u  Grad Vodnjan-Dignano</w:t>
            </w:r>
            <w:r>
              <w:rPr>
                <w:rFonts w:asciiTheme="majorHAnsi" w:hAnsiTheme="majorHAnsi" w:cstheme="majorHAnsi"/>
                <w:sz w:val="20"/>
                <w:szCs w:val="20"/>
              </w:rPr>
              <w:t xml:space="preserve"> </w:t>
            </w:r>
            <w:r w:rsidRPr="0030176E">
              <w:rPr>
                <w:rFonts w:asciiTheme="majorHAnsi" w:hAnsiTheme="majorHAnsi" w:cstheme="majorHAnsi"/>
                <w:sz w:val="20"/>
                <w:szCs w:val="20"/>
              </w:rPr>
              <w:t>i Općina Ližnjan u Općina Ližnjan-Lisignano</w:t>
            </w:r>
            <w:r>
              <w:rPr>
                <w:rFonts w:asciiTheme="majorHAnsi" w:hAnsiTheme="majorHAnsi" w:cstheme="majorHAnsi"/>
                <w:sz w:val="20"/>
                <w:szCs w:val="20"/>
              </w:rPr>
              <w:t>.</w:t>
            </w:r>
          </w:p>
          <w:p w14:paraId="0ED77C38" w14:textId="030A2518" w:rsidR="000B2768" w:rsidRPr="009226D6" w:rsidRDefault="000B2768" w:rsidP="0030176E">
            <w:pPr>
              <w:rPr>
                <w:rFonts w:asciiTheme="majorHAnsi" w:hAnsiTheme="majorHAnsi" w:cstheme="majorHAnsi"/>
                <w:sz w:val="20"/>
                <w:szCs w:val="20"/>
              </w:rPr>
            </w:pPr>
            <w:r w:rsidRPr="0030176E">
              <w:rPr>
                <w:rFonts w:asciiTheme="majorHAnsi" w:hAnsiTheme="majorHAnsi" w:cstheme="majorHAnsi"/>
                <w:sz w:val="20"/>
                <w:szCs w:val="20"/>
              </w:rPr>
              <w:lastRenderedPageBreak/>
              <w:t>str. 18 proračunski korisnici Grada moraju pristupiti izmjeni naziva Grada u nazivu svoje ustanove nakon 17 godina! Visoko obrazovani kadrovi koji rukovode tim ustanovama znaju odavno kao i zaposlenici Grada da je naziv našem Gradu:</w:t>
            </w:r>
            <w:r>
              <w:rPr>
                <w:rFonts w:asciiTheme="majorHAnsi" w:hAnsiTheme="majorHAnsi" w:cstheme="majorHAnsi"/>
                <w:sz w:val="20"/>
                <w:szCs w:val="20"/>
              </w:rPr>
              <w:t xml:space="preserve"> </w:t>
            </w:r>
            <w:r w:rsidRPr="0030176E">
              <w:rPr>
                <w:rFonts w:asciiTheme="majorHAnsi" w:hAnsiTheme="majorHAnsi" w:cstheme="majorHAnsi"/>
                <w:sz w:val="20"/>
                <w:szCs w:val="20"/>
              </w:rPr>
              <w:t>Pula-Pola</w:t>
            </w:r>
          </w:p>
        </w:tc>
        <w:tc>
          <w:tcPr>
            <w:tcW w:w="1389" w:type="dxa"/>
            <w:vAlign w:val="center"/>
          </w:tcPr>
          <w:p w14:paraId="7BC51A00" w14:textId="52D24298" w:rsidR="000B2768" w:rsidRDefault="000B2768" w:rsidP="00EC3AD2">
            <w:pPr>
              <w:jc w:val="center"/>
              <w:rPr>
                <w:rFonts w:asciiTheme="majorHAnsi" w:hAnsiTheme="majorHAnsi" w:cstheme="majorHAnsi"/>
                <w:sz w:val="20"/>
                <w:szCs w:val="20"/>
              </w:rPr>
            </w:pPr>
            <w:r>
              <w:rPr>
                <w:rFonts w:asciiTheme="majorHAnsi" w:hAnsiTheme="majorHAnsi" w:cstheme="majorHAnsi"/>
                <w:sz w:val="20"/>
                <w:szCs w:val="20"/>
              </w:rPr>
              <w:lastRenderedPageBreak/>
              <w:t>Prihvaća se</w:t>
            </w:r>
          </w:p>
        </w:tc>
        <w:tc>
          <w:tcPr>
            <w:tcW w:w="3084" w:type="dxa"/>
            <w:vAlign w:val="center"/>
          </w:tcPr>
          <w:p w14:paraId="538371E7" w14:textId="6751B02F" w:rsidR="000B2768" w:rsidRPr="00F74C6C" w:rsidRDefault="000B2768" w:rsidP="00EC3AD2">
            <w:pPr>
              <w:rPr>
                <w:rFonts w:asciiTheme="majorHAnsi" w:hAnsiTheme="majorHAnsi" w:cstheme="majorHAnsi"/>
                <w:i/>
                <w:iCs/>
                <w:sz w:val="20"/>
                <w:szCs w:val="20"/>
              </w:rPr>
            </w:pPr>
            <w:r>
              <w:rPr>
                <w:rFonts w:asciiTheme="majorHAnsi" w:hAnsiTheme="majorHAnsi" w:cstheme="majorHAnsi"/>
                <w:sz w:val="20"/>
                <w:szCs w:val="20"/>
              </w:rPr>
              <w:t>Tekst prilagođen.</w:t>
            </w:r>
          </w:p>
        </w:tc>
      </w:tr>
      <w:tr w:rsidR="000B2768" w:rsidRPr="00505D73" w14:paraId="3D1F2E7C" w14:textId="77777777" w:rsidTr="00C47C2F">
        <w:tc>
          <w:tcPr>
            <w:tcW w:w="490" w:type="dxa"/>
          </w:tcPr>
          <w:p w14:paraId="40F87E30" w14:textId="7D314337" w:rsidR="000B2768" w:rsidRPr="00505D73" w:rsidRDefault="000B2768" w:rsidP="00C46F76">
            <w:pPr>
              <w:rPr>
                <w:rFonts w:asciiTheme="majorHAnsi" w:hAnsiTheme="majorHAnsi" w:cstheme="majorHAnsi"/>
                <w:sz w:val="20"/>
                <w:szCs w:val="20"/>
              </w:rPr>
            </w:pPr>
            <w:r>
              <w:rPr>
                <w:rFonts w:asciiTheme="majorHAnsi" w:hAnsiTheme="majorHAnsi" w:cstheme="majorHAnsi"/>
                <w:sz w:val="20"/>
                <w:szCs w:val="20"/>
              </w:rPr>
              <w:t>8.</w:t>
            </w:r>
          </w:p>
        </w:tc>
        <w:tc>
          <w:tcPr>
            <w:tcW w:w="1460" w:type="dxa"/>
            <w:vMerge/>
          </w:tcPr>
          <w:p w14:paraId="79243B3B" w14:textId="77777777" w:rsidR="000B2768" w:rsidRPr="00BD6B3F" w:rsidRDefault="000B2768" w:rsidP="009226D6">
            <w:pPr>
              <w:rPr>
                <w:rFonts w:asciiTheme="majorHAnsi" w:hAnsiTheme="majorHAnsi" w:cstheme="majorHAnsi"/>
                <w:sz w:val="20"/>
                <w:szCs w:val="20"/>
              </w:rPr>
            </w:pPr>
          </w:p>
        </w:tc>
        <w:tc>
          <w:tcPr>
            <w:tcW w:w="7571" w:type="dxa"/>
          </w:tcPr>
          <w:p w14:paraId="180DDEC4" w14:textId="38BE5734" w:rsidR="000B2768" w:rsidRPr="009226D6" w:rsidRDefault="000B2768" w:rsidP="009226D6">
            <w:pPr>
              <w:rPr>
                <w:rFonts w:asciiTheme="majorHAnsi" w:hAnsiTheme="majorHAnsi" w:cstheme="majorHAnsi"/>
                <w:sz w:val="20"/>
                <w:szCs w:val="20"/>
              </w:rPr>
            </w:pPr>
            <w:r w:rsidRPr="00BD6B3F">
              <w:rPr>
                <w:rFonts w:asciiTheme="majorHAnsi" w:hAnsiTheme="majorHAnsi" w:cstheme="majorHAnsi"/>
                <w:sz w:val="20"/>
                <w:szCs w:val="20"/>
              </w:rPr>
              <w:t>U gradu Pula-Pola provodi se projekt pod nazivom „Pulski fortifikacijski sustav kao novi kulturno turistički proizvod” Budući da naziv sigurno nema i prijevod na talijanski, zar nije bilo racionalnije napisati: „Fortifikacijski sustav grada Pula-Pola kao novi kulturno turistički proizvod” ???</w:t>
            </w:r>
            <w:r>
              <w:rPr>
                <w:rFonts w:asciiTheme="majorHAnsi" w:hAnsiTheme="majorHAnsi" w:cstheme="majorHAnsi"/>
                <w:sz w:val="20"/>
                <w:szCs w:val="20"/>
              </w:rPr>
              <w:t xml:space="preserve"> (…)</w:t>
            </w:r>
          </w:p>
        </w:tc>
        <w:tc>
          <w:tcPr>
            <w:tcW w:w="1389" w:type="dxa"/>
            <w:vAlign w:val="center"/>
          </w:tcPr>
          <w:p w14:paraId="6727CB2F" w14:textId="21804B1A" w:rsidR="000B2768" w:rsidRDefault="000B2768" w:rsidP="00505D73">
            <w:pPr>
              <w:jc w:val="center"/>
              <w:rPr>
                <w:rFonts w:asciiTheme="majorHAnsi" w:hAnsiTheme="majorHAnsi" w:cstheme="majorHAnsi"/>
                <w:sz w:val="20"/>
                <w:szCs w:val="20"/>
              </w:rPr>
            </w:pPr>
            <w:r>
              <w:rPr>
                <w:rFonts w:asciiTheme="majorHAnsi" w:hAnsiTheme="majorHAnsi" w:cstheme="majorHAnsi"/>
                <w:sz w:val="20"/>
                <w:szCs w:val="20"/>
              </w:rPr>
              <w:t>Pojašnjeno</w:t>
            </w:r>
          </w:p>
        </w:tc>
        <w:tc>
          <w:tcPr>
            <w:tcW w:w="3084" w:type="dxa"/>
            <w:vAlign w:val="center"/>
          </w:tcPr>
          <w:p w14:paraId="7CAABCF0" w14:textId="153C4E4B" w:rsidR="000B2768" w:rsidRPr="00505747" w:rsidRDefault="000B2768" w:rsidP="00146989">
            <w:pPr>
              <w:rPr>
                <w:rFonts w:asciiTheme="majorHAnsi" w:hAnsiTheme="majorHAnsi" w:cstheme="majorHAnsi"/>
                <w:sz w:val="20"/>
                <w:szCs w:val="20"/>
              </w:rPr>
            </w:pPr>
            <w:r>
              <w:rPr>
                <w:rFonts w:asciiTheme="majorHAnsi" w:hAnsiTheme="majorHAnsi" w:cstheme="majorHAnsi"/>
                <w:sz w:val="20"/>
                <w:szCs w:val="20"/>
              </w:rPr>
              <w:t xml:space="preserve">Naziv projekta </w:t>
            </w:r>
            <w:r w:rsidRPr="00B82047">
              <w:rPr>
                <w:rFonts w:asciiTheme="majorHAnsi" w:hAnsiTheme="majorHAnsi" w:cstheme="majorHAnsi"/>
                <w:sz w:val="20"/>
                <w:szCs w:val="20"/>
              </w:rPr>
              <w:t>„Pulski fortifikacijski sustav kao novi kulturno turistički proizvod”</w:t>
            </w:r>
            <w:r>
              <w:rPr>
                <w:rFonts w:asciiTheme="majorHAnsi" w:hAnsiTheme="majorHAnsi" w:cstheme="majorHAnsi"/>
                <w:sz w:val="20"/>
                <w:szCs w:val="20"/>
              </w:rPr>
              <w:t xml:space="preserve"> službeni je naziv te je projekt završen krajem listopada 2022. godine, stoga nije moguće (niti u okvirima ovlasti izrađivača Strategije) izmijeniti njegov naziv.</w:t>
            </w:r>
          </w:p>
        </w:tc>
      </w:tr>
      <w:tr w:rsidR="000B2768" w:rsidRPr="00505D73" w14:paraId="60F7A930" w14:textId="77777777" w:rsidTr="00C47C2F">
        <w:tc>
          <w:tcPr>
            <w:tcW w:w="490" w:type="dxa"/>
          </w:tcPr>
          <w:p w14:paraId="70ED5058" w14:textId="3D3B7F3E" w:rsidR="000B2768" w:rsidRPr="00505D73" w:rsidRDefault="000B2768" w:rsidP="00C46F76">
            <w:pPr>
              <w:rPr>
                <w:rFonts w:asciiTheme="majorHAnsi" w:hAnsiTheme="majorHAnsi" w:cstheme="majorHAnsi"/>
                <w:sz w:val="20"/>
                <w:szCs w:val="20"/>
              </w:rPr>
            </w:pPr>
            <w:r>
              <w:rPr>
                <w:rFonts w:asciiTheme="majorHAnsi" w:hAnsiTheme="majorHAnsi" w:cstheme="majorHAnsi"/>
                <w:sz w:val="20"/>
                <w:szCs w:val="20"/>
              </w:rPr>
              <w:t>9.</w:t>
            </w:r>
          </w:p>
        </w:tc>
        <w:tc>
          <w:tcPr>
            <w:tcW w:w="1460" w:type="dxa"/>
            <w:vMerge/>
          </w:tcPr>
          <w:p w14:paraId="484DCCE1" w14:textId="77777777" w:rsidR="000B2768" w:rsidRPr="00A55E86" w:rsidRDefault="000B2768" w:rsidP="009226D6">
            <w:pPr>
              <w:rPr>
                <w:rFonts w:asciiTheme="majorHAnsi" w:hAnsiTheme="majorHAnsi" w:cstheme="majorHAnsi"/>
                <w:sz w:val="20"/>
                <w:szCs w:val="20"/>
              </w:rPr>
            </w:pPr>
          </w:p>
        </w:tc>
        <w:tc>
          <w:tcPr>
            <w:tcW w:w="7571" w:type="dxa"/>
          </w:tcPr>
          <w:p w14:paraId="5B304138" w14:textId="0AF085E8" w:rsidR="000B2768" w:rsidRPr="009226D6" w:rsidRDefault="000B2768" w:rsidP="009226D6">
            <w:pPr>
              <w:rPr>
                <w:rFonts w:asciiTheme="majorHAnsi" w:hAnsiTheme="majorHAnsi" w:cstheme="majorHAnsi"/>
                <w:sz w:val="20"/>
                <w:szCs w:val="20"/>
              </w:rPr>
            </w:pPr>
            <w:r w:rsidRPr="00A55E86">
              <w:rPr>
                <w:rFonts w:asciiTheme="majorHAnsi" w:hAnsiTheme="majorHAnsi" w:cstheme="majorHAnsi"/>
                <w:sz w:val="20"/>
                <w:szCs w:val="20"/>
              </w:rPr>
              <w:t>Moramo se samo nadati da se u gradskim trgovačkim društvima  pokrene postupak izmijene imena našeg Grada u njihovim nazivima  Pula-Pola promet d.o.o.;Pula-Pola Parking d.o.o.; Luka Pula-Pola d.o.o.; Dječji vrtić – Scuola dell'infanzia Rin Tin Tin – Pula-Pola ( NAPOMENA. Naziv Grada Pula-Pola moraju poštivati i pripadnici nacionalnih manjina!); Dječji vrtić Pula-Pola; INK-Gradsko kazalište Pula-Pola; OŠ Tone Peruška Pula-Pola; OŠ Veli Vrh Pula-Pola; Škola za odgoj i obrazovanje Pula-Pola; OŠ Šijana Pula-Pola; OŠ Veruda Pula-PolaOŠ Kaštanjer Pula-Pola;Pučko otvoreno učilište Pula-Pola; Gradska knjižnica i čitaonica Pula-Pola; Javna vatrogasna postrojba Pula-Pola , no ukoliko se naziv postrojbe odnosi na bivšu općinu jedini ispravni naziv je „Javna vatrogasna postrojba Puljštine”; Dnevni centar za rehabilitaciju Veruda – Pula-Pola; Javna ustanova Pula Film Festival je osnovana 2003., a naš  Grad zakonski mijenja ime 2006.???</w:t>
            </w:r>
          </w:p>
        </w:tc>
        <w:tc>
          <w:tcPr>
            <w:tcW w:w="1389" w:type="dxa"/>
            <w:vAlign w:val="center"/>
          </w:tcPr>
          <w:p w14:paraId="6542E7EB" w14:textId="0B9D2E10" w:rsidR="000B2768" w:rsidRDefault="000B2768" w:rsidP="00505D73">
            <w:pPr>
              <w:jc w:val="center"/>
              <w:rPr>
                <w:rFonts w:asciiTheme="majorHAnsi" w:hAnsiTheme="majorHAnsi" w:cstheme="majorHAnsi"/>
                <w:sz w:val="20"/>
                <w:szCs w:val="20"/>
              </w:rPr>
            </w:pPr>
            <w:r>
              <w:rPr>
                <w:rFonts w:asciiTheme="majorHAnsi" w:hAnsiTheme="majorHAnsi" w:cstheme="majorHAnsi"/>
                <w:sz w:val="20"/>
                <w:szCs w:val="20"/>
              </w:rPr>
              <w:t>Pojašnjeno</w:t>
            </w:r>
          </w:p>
        </w:tc>
        <w:tc>
          <w:tcPr>
            <w:tcW w:w="3084" w:type="dxa"/>
            <w:vAlign w:val="center"/>
          </w:tcPr>
          <w:p w14:paraId="52C815C3" w14:textId="5552BC0F" w:rsidR="000B2768" w:rsidRPr="00A55E86" w:rsidRDefault="000B2768" w:rsidP="00146989">
            <w:pPr>
              <w:rPr>
                <w:rFonts w:asciiTheme="majorHAnsi" w:hAnsiTheme="majorHAnsi" w:cstheme="majorHAnsi"/>
                <w:sz w:val="20"/>
                <w:szCs w:val="20"/>
              </w:rPr>
            </w:pPr>
            <w:r>
              <w:rPr>
                <w:rFonts w:asciiTheme="majorHAnsi" w:hAnsiTheme="majorHAnsi" w:cstheme="majorHAnsi"/>
                <w:sz w:val="20"/>
                <w:szCs w:val="20"/>
              </w:rPr>
              <w:t>Nazivi navedenih ustanova i trgovačkih društava preuzeti su iz Sudskog registra kao službeni nazivi.</w:t>
            </w:r>
          </w:p>
        </w:tc>
      </w:tr>
      <w:tr w:rsidR="000B2768" w:rsidRPr="00505D73" w14:paraId="0791DD32" w14:textId="77777777" w:rsidTr="00C47C2F">
        <w:tc>
          <w:tcPr>
            <w:tcW w:w="490" w:type="dxa"/>
          </w:tcPr>
          <w:p w14:paraId="6F3A5AFC" w14:textId="77261E7F" w:rsidR="000B2768" w:rsidRPr="00505D73" w:rsidRDefault="000B2768" w:rsidP="00C46F76">
            <w:pPr>
              <w:rPr>
                <w:rFonts w:asciiTheme="majorHAnsi" w:hAnsiTheme="majorHAnsi" w:cstheme="majorHAnsi"/>
                <w:sz w:val="20"/>
                <w:szCs w:val="20"/>
              </w:rPr>
            </w:pPr>
            <w:r>
              <w:rPr>
                <w:rFonts w:asciiTheme="majorHAnsi" w:hAnsiTheme="majorHAnsi" w:cstheme="majorHAnsi"/>
                <w:sz w:val="20"/>
                <w:szCs w:val="20"/>
              </w:rPr>
              <w:t>10.</w:t>
            </w:r>
          </w:p>
        </w:tc>
        <w:tc>
          <w:tcPr>
            <w:tcW w:w="1460" w:type="dxa"/>
            <w:vMerge/>
          </w:tcPr>
          <w:p w14:paraId="09698861" w14:textId="77777777" w:rsidR="000B2768" w:rsidRPr="00BB2E78" w:rsidRDefault="000B2768" w:rsidP="009226D6">
            <w:pPr>
              <w:rPr>
                <w:rFonts w:asciiTheme="majorHAnsi" w:hAnsiTheme="majorHAnsi" w:cstheme="majorHAnsi"/>
                <w:sz w:val="20"/>
                <w:szCs w:val="20"/>
              </w:rPr>
            </w:pPr>
          </w:p>
        </w:tc>
        <w:tc>
          <w:tcPr>
            <w:tcW w:w="7571" w:type="dxa"/>
          </w:tcPr>
          <w:p w14:paraId="2CC179CC" w14:textId="49D4F28B" w:rsidR="000B2768" w:rsidRPr="009226D6" w:rsidRDefault="000B2768" w:rsidP="009226D6">
            <w:pPr>
              <w:rPr>
                <w:rFonts w:asciiTheme="majorHAnsi" w:hAnsiTheme="majorHAnsi" w:cstheme="majorHAnsi"/>
                <w:sz w:val="20"/>
                <w:szCs w:val="20"/>
              </w:rPr>
            </w:pPr>
            <w:r w:rsidRPr="00BB2E78">
              <w:rPr>
                <w:rFonts w:asciiTheme="majorHAnsi" w:hAnsiTheme="majorHAnsi" w:cstheme="majorHAnsi"/>
                <w:sz w:val="20"/>
                <w:szCs w:val="20"/>
              </w:rPr>
              <w:t>Str. 33   i Odluka o kriterijima, mjerilima i postupku dodjele na uporabu poslovnih prostora Grada Pule??? ...omaškom je samo kod te odluke naziv grada GRAD PULA???</w:t>
            </w:r>
          </w:p>
        </w:tc>
        <w:tc>
          <w:tcPr>
            <w:tcW w:w="1389" w:type="dxa"/>
            <w:vAlign w:val="center"/>
          </w:tcPr>
          <w:p w14:paraId="156A5184" w14:textId="56F7BA88" w:rsidR="000B2768" w:rsidRDefault="000B2768" w:rsidP="00505D73">
            <w:pPr>
              <w:jc w:val="center"/>
              <w:rPr>
                <w:rFonts w:asciiTheme="majorHAnsi" w:hAnsiTheme="majorHAnsi" w:cstheme="majorHAnsi"/>
                <w:sz w:val="20"/>
                <w:szCs w:val="20"/>
              </w:rPr>
            </w:pPr>
            <w:r>
              <w:rPr>
                <w:rFonts w:asciiTheme="majorHAnsi" w:hAnsiTheme="majorHAnsi" w:cstheme="majorHAnsi"/>
                <w:sz w:val="20"/>
                <w:szCs w:val="20"/>
              </w:rPr>
              <w:t>Pojašnjeno</w:t>
            </w:r>
          </w:p>
        </w:tc>
        <w:tc>
          <w:tcPr>
            <w:tcW w:w="3084" w:type="dxa"/>
            <w:vAlign w:val="center"/>
          </w:tcPr>
          <w:p w14:paraId="2AC5F698" w14:textId="58D3A874" w:rsidR="000B2768" w:rsidRPr="00A55E86" w:rsidRDefault="000B2768" w:rsidP="00146989">
            <w:pPr>
              <w:rPr>
                <w:rFonts w:asciiTheme="majorHAnsi" w:hAnsiTheme="majorHAnsi" w:cstheme="majorHAnsi"/>
                <w:sz w:val="20"/>
                <w:szCs w:val="20"/>
              </w:rPr>
            </w:pPr>
            <w:r>
              <w:rPr>
                <w:rFonts w:asciiTheme="majorHAnsi" w:hAnsiTheme="majorHAnsi" w:cstheme="majorHAnsi"/>
                <w:sz w:val="20"/>
                <w:szCs w:val="20"/>
              </w:rPr>
              <w:t xml:space="preserve">U Strategiji se navodi službeni i puni naziv Odluke, odnosno </w:t>
            </w:r>
            <w:r w:rsidRPr="005C0BCA">
              <w:rPr>
                <w:rFonts w:asciiTheme="majorHAnsi" w:hAnsiTheme="majorHAnsi" w:cstheme="majorHAnsi"/>
                <w:i/>
                <w:iCs/>
                <w:sz w:val="20"/>
                <w:szCs w:val="20"/>
              </w:rPr>
              <w:t>Odluka o kriterijima, mjerilima i postupku dodjele na uporabu poslovnih prostora Grada Pule</w:t>
            </w:r>
            <w:r>
              <w:rPr>
                <w:rFonts w:asciiTheme="majorHAnsi" w:hAnsiTheme="majorHAnsi" w:cstheme="majorHAnsi"/>
                <w:sz w:val="20"/>
                <w:szCs w:val="20"/>
              </w:rPr>
              <w:t>.</w:t>
            </w:r>
          </w:p>
        </w:tc>
      </w:tr>
      <w:tr w:rsidR="000B2768" w:rsidRPr="00505D73" w14:paraId="69B550EC" w14:textId="77777777" w:rsidTr="00C47C2F">
        <w:tc>
          <w:tcPr>
            <w:tcW w:w="490" w:type="dxa"/>
          </w:tcPr>
          <w:p w14:paraId="50CB6609" w14:textId="6608D80C" w:rsidR="000B2768" w:rsidRPr="00505D73" w:rsidRDefault="000B2768" w:rsidP="00C46F76">
            <w:pPr>
              <w:rPr>
                <w:rFonts w:asciiTheme="majorHAnsi" w:hAnsiTheme="majorHAnsi" w:cstheme="majorHAnsi"/>
                <w:sz w:val="20"/>
                <w:szCs w:val="20"/>
              </w:rPr>
            </w:pPr>
            <w:r>
              <w:rPr>
                <w:rFonts w:asciiTheme="majorHAnsi" w:hAnsiTheme="majorHAnsi" w:cstheme="majorHAnsi"/>
                <w:sz w:val="20"/>
                <w:szCs w:val="20"/>
              </w:rPr>
              <w:t>11.</w:t>
            </w:r>
          </w:p>
        </w:tc>
        <w:tc>
          <w:tcPr>
            <w:tcW w:w="1460" w:type="dxa"/>
            <w:vMerge/>
          </w:tcPr>
          <w:p w14:paraId="0DC11551" w14:textId="77777777" w:rsidR="000B2768" w:rsidRPr="007831C4" w:rsidRDefault="000B2768" w:rsidP="007831C4">
            <w:pPr>
              <w:rPr>
                <w:rFonts w:asciiTheme="majorHAnsi" w:hAnsiTheme="majorHAnsi" w:cstheme="majorHAnsi"/>
                <w:sz w:val="20"/>
                <w:szCs w:val="20"/>
              </w:rPr>
            </w:pPr>
          </w:p>
        </w:tc>
        <w:tc>
          <w:tcPr>
            <w:tcW w:w="7571" w:type="dxa"/>
          </w:tcPr>
          <w:p w14:paraId="55D67802" w14:textId="5CA3AA17" w:rsidR="000B2768" w:rsidRPr="007831C4" w:rsidRDefault="000B2768" w:rsidP="007831C4">
            <w:pPr>
              <w:rPr>
                <w:rFonts w:asciiTheme="majorHAnsi" w:hAnsiTheme="majorHAnsi" w:cstheme="majorHAnsi"/>
                <w:sz w:val="20"/>
                <w:szCs w:val="20"/>
              </w:rPr>
            </w:pPr>
            <w:r w:rsidRPr="007831C4">
              <w:rPr>
                <w:rFonts w:asciiTheme="majorHAnsi" w:hAnsiTheme="majorHAnsi" w:cstheme="majorHAnsi"/>
                <w:sz w:val="20"/>
                <w:szCs w:val="20"/>
              </w:rPr>
              <w:t>str. 56...poticanje i kontinuirano uključivanje lokalnog stanovništva i lokalne zajednice u planiranje razvoja??? zar to nije Strategija Grada Pule-Pola??? o kojem je to lokalnom stanovništvu riječ, a koja je to lokalna zajednica ako nije naš Grad koja se mora uključiti u planiranje razvoja...</w:t>
            </w:r>
          </w:p>
          <w:p w14:paraId="41940447" w14:textId="77777777" w:rsidR="000B2768" w:rsidRDefault="000B2768" w:rsidP="007831C4">
            <w:pPr>
              <w:rPr>
                <w:rFonts w:asciiTheme="majorHAnsi" w:hAnsiTheme="majorHAnsi" w:cstheme="majorHAnsi"/>
                <w:sz w:val="20"/>
                <w:szCs w:val="20"/>
              </w:rPr>
            </w:pPr>
            <w:r w:rsidRPr="007831C4">
              <w:rPr>
                <w:rFonts w:asciiTheme="majorHAnsi" w:hAnsiTheme="majorHAnsi" w:cstheme="majorHAnsi"/>
                <w:sz w:val="20"/>
                <w:szCs w:val="20"/>
              </w:rPr>
              <w:t>svu tu FRAZEOLUGIJU kontinuirano čitamo u svim dokumentima...zar izrađivač uistinu misli da u Puli-Pola nema zainteresirane javnosti???</w:t>
            </w:r>
          </w:p>
          <w:p w14:paraId="26163B1E" w14:textId="62E80A7E" w:rsidR="000B2768" w:rsidRPr="009226D6" w:rsidRDefault="000B2768" w:rsidP="007831C4">
            <w:pPr>
              <w:rPr>
                <w:rFonts w:asciiTheme="majorHAnsi" w:hAnsiTheme="majorHAnsi" w:cstheme="majorHAnsi"/>
                <w:sz w:val="20"/>
                <w:szCs w:val="20"/>
              </w:rPr>
            </w:pPr>
            <w:r w:rsidRPr="00743828">
              <w:rPr>
                <w:rFonts w:asciiTheme="majorHAnsi" w:hAnsiTheme="majorHAnsi" w:cstheme="majorHAnsi"/>
                <w:sz w:val="20"/>
                <w:szCs w:val="20"/>
              </w:rPr>
              <w:t>str. 57.  postupci izrade planova sanacije moraju biti otvoreni prema lokalnom stanovništvu...pa zar nismo mi građani, stanovnici grada Pule-Pola ...o kojem se opet „LOKALNO” stanovništvu radi???</w:t>
            </w:r>
          </w:p>
        </w:tc>
        <w:tc>
          <w:tcPr>
            <w:tcW w:w="1389" w:type="dxa"/>
            <w:vAlign w:val="center"/>
          </w:tcPr>
          <w:p w14:paraId="3DE6AB31" w14:textId="0BB64C48" w:rsidR="000B2768" w:rsidRDefault="000B2768" w:rsidP="00505D73">
            <w:pPr>
              <w:jc w:val="center"/>
              <w:rPr>
                <w:rFonts w:asciiTheme="majorHAnsi" w:hAnsiTheme="majorHAnsi" w:cstheme="majorHAnsi"/>
                <w:sz w:val="20"/>
                <w:szCs w:val="20"/>
              </w:rPr>
            </w:pPr>
            <w:r>
              <w:rPr>
                <w:rFonts w:asciiTheme="majorHAnsi" w:hAnsiTheme="majorHAnsi" w:cstheme="majorHAnsi"/>
                <w:sz w:val="20"/>
                <w:szCs w:val="20"/>
              </w:rPr>
              <w:t>Pojašnjeno</w:t>
            </w:r>
          </w:p>
        </w:tc>
        <w:tc>
          <w:tcPr>
            <w:tcW w:w="3084" w:type="dxa"/>
            <w:vAlign w:val="center"/>
          </w:tcPr>
          <w:p w14:paraId="5542409B" w14:textId="02FBB7B0" w:rsidR="000B2768" w:rsidRPr="00A55E86" w:rsidRDefault="000B2768" w:rsidP="00146989">
            <w:pPr>
              <w:rPr>
                <w:rFonts w:asciiTheme="majorHAnsi" w:hAnsiTheme="majorHAnsi" w:cstheme="majorHAnsi"/>
                <w:sz w:val="20"/>
                <w:szCs w:val="20"/>
              </w:rPr>
            </w:pPr>
            <w:r>
              <w:rPr>
                <w:rFonts w:asciiTheme="majorHAnsi" w:hAnsiTheme="majorHAnsi" w:cstheme="majorHAnsi"/>
                <w:sz w:val="20"/>
                <w:szCs w:val="20"/>
              </w:rPr>
              <w:t>Pojam „lokalno stanovništvo“ široko je uvriježeni pojam koji se koristi, između ostalog, u aktima strateškog planiranja. Pod pojmom „lokalno stanovništvo“ misli se na građane Grada Pule-Pola.</w:t>
            </w:r>
          </w:p>
        </w:tc>
      </w:tr>
      <w:tr w:rsidR="000B2768" w:rsidRPr="00505D73" w14:paraId="3C6F38DA" w14:textId="77777777" w:rsidTr="00C47C2F">
        <w:tc>
          <w:tcPr>
            <w:tcW w:w="490" w:type="dxa"/>
          </w:tcPr>
          <w:p w14:paraId="26063BCA" w14:textId="46DDE2E4" w:rsidR="000B2768" w:rsidRPr="00505D73" w:rsidRDefault="000B2768" w:rsidP="00C46F76">
            <w:pPr>
              <w:rPr>
                <w:rFonts w:asciiTheme="majorHAnsi" w:hAnsiTheme="majorHAnsi" w:cstheme="majorHAnsi"/>
                <w:sz w:val="20"/>
                <w:szCs w:val="20"/>
              </w:rPr>
            </w:pPr>
            <w:r>
              <w:rPr>
                <w:rFonts w:asciiTheme="majorHAnsi" w:hAnsiTheme="majorHAnsi" w:cstheme="majorHAnsi"/>
                <w:sz w:val="20"/>
                <w:szCs w:val="20"/>
              </w:rPr>
              <w:lastRenderedPageBreak/>
              <w:t>12.</w:t>
            </w:r>
          </w:p>
        </w:tc>
        <w:tc>
          <w:tcPr>
            <w:tcW w:w="1460" w:type="dxa"/>
            <w:vMerge/>
          </w:tcPr>
          <w:p w14:paraId="0C96EF94" w14:textId="77777777" w:rsidR="000B2768" w:rsidRPr="00C84AEC" w:rsidRDefault="000B2768" w:rsidP="00C84AEC">
            <w:pPr>
              <w:rPr>
                <w:rFonts w:asciiTheme="majorHAnsi" w:hAnsiTheme="majorHAnsi" w:cstheme="majorHAnsi"/>
                <w:sz w:val="20"/>
                <w:szCs w:val="20"/>
              </w:rPr>
            </w:pPr>
          </w:p>
        </w:tc>
        <w:tc>
          <w:tcPr>
            <w:tcW w:w="7571" w:type="dxa"/>
          </w:tcPr>
          <w:p w14:paraId="34D6F63C" w14:textId="329155D7" w:rsidR="000B2768" w:rsidRPr="00C84AEC" w:rsidRDefault="000B2768" w:rsidP="00C84AEC">
            <w:pPr>
              <w:rPr>
                <w:rFonts w:asciiTheme="majorHAnsi" w:hAnsiTheme="majorHAnsi" w:cstheme="majorHAnsi"/>
                <w:sz w:val="20"/>
                <w:szCs w:val="20"/>
              </w:rPr>
            </w:pPr>
            <w:r w:rsidRPr="00C84AEC">
              <w:rPr>
                <w:rFonts w:asciiTheme="majorHAnsi" w:hAnsiTheme="majorHAnsi" w:cstheme="majorHAnsi"/>
                <w:sz w:val="20"/>
                <w:szCs w:val="20"/>
              </w:rPr>
              <w:t>Ukoliko Grad Pula-Pola pokrene više kapitalnih projekata, zar će se upravni odjeli baviti INVESTICIJAMA???, a ne svojom primarnom zadaćom...</w:t>
            </w:r>
          </w:p>
          <w:p w14:paraId="583081B5" w14:textId="0160823D" w:rsidR="000B2768" w:rsidRPr="009226D6" w:rsidRDefault="000B2768" w:rsidP="00C84AEC">
            <w:pPr>
              <w:rPr>
                <w:rFonts w:asciiTheme="majorHAnsi" w:hAnsiTheme="majorHAnsi" w:cstheme="majorHAnsi"/>
                <w:sz w:val="20"/>
                <w:szCs w:val="20"/>
              </w:rPr>
            </w:pPr>
            <w:r w:rsidRPr="00C84AEC">
              <w:rPr>
                <w:rFonts w:asciiTheme="majorHAnsi" w:hAnsiTheme="majorHAnsi" w:cstheme="majorHAnsi"/>
                <w:sz w:val="20"/>
                <w:szCs w:val="20"/>
              </w:rPr>
              <w:t>Predlažem da se razmotri mogućnost osnivanja javne gradske tvrtke koja će obavljati sve te zahtjevne radnje pa na taj način smanjiti broj zaposlenih u gradskoj upravi, a kvalitetne kadrove preraspodjeliti na poslove u toj novoj tvrtki koja će nam garantirati uspješne rezultate jer će se moći valorizirati uspješne menadžere.</w:t>
            </w:r>
            <w:r>
              <w:rPr>
                <w:rFonts w:asciiTheme="majorHAnsi" w:hAnsiTheme="majorHAnsi" w:cstheme="majorHAnsi"/>
                <w:sz w:val="20"/>
                <w:szCs w:val="20"/>
              </w:rPr>
              <w:t xml:space="preserve"> (…)</w:t>
            </w:r>
          </w:p>
        </w:tc>
        <w:tc>
          <w:tcPr>
            <w:tcW w:w="1389" w:type="dxa"/>
            <w:vAlign w:val="center"/>
          </w:tcPr>
          <w:p w14:paraId="57ECE7FA" w14:textId="2FC4424B" w:rsidR="000B2768" w:rsidRDefault="000B2768" w:rsidP="00505D73">
            <w:pPr>
              <w:jc w:val="center"/>
              <w:rPr>
                <w:rFonts w:asciiTheme="majorHAnsi" w:hAnsiTheme="majorHAnsi" w:cstheme="majorHAnsi"/>
                <w:sz w:val="20"/>
                <w:szCs w:val="20"/>
              </w:rPr>
            </w:pPr>
            <w:r>
              <w:rPr>
                <w:rFonts w:asciiTheme="majorHAnsi" w:hAnsiTheme="majorHAnsi" w:cstheme="majorHAnsi"/>
                <w:sz w:val="20"/>
                <w:szCs w:val="20"/>
              </w:rPr>
              <w:t>Pojašnjeno</w:t>
            </w:r>
          </w:p>
        </w:tc>
        <w:tc>
          <w:tcPr>
            <w:tcW w:w="3084" w:type="dxa"/>
            <w:vAlign w:val="center"/>
          </w:tcPr>
          <w:p w14:paraId="368C38E3" w14:textId="4A9DBAAC" w:rsidR="000B2768" w:rsidRPr="00A55E86" w:rsidRDefault="000B2768" w:rsidP="00146989">
            <w:pPr>
              <w:rPr>
                <w:rFonts w:asciiTheme="majorHAnsi" w:hAnsiTheme="majorHAnsi" w:cstheme="majorHAnsi"/>
                <w:sz w:val="20"/>
                <w:szCs w:val="20"/>
              </w:rPr>
            </w:pPr>
            <w:r>
              <w:rPr>
                <w:rFonts w:asciiTheme="majorHAnsi" w:hAnsiTheme="majorHAnsi" w:cstheme="majorHAnsi"/>
                <w:sz w:val="20"/>
                <w:szCs w:val="20"/>
              </w:rPr>
              <w:t>Navedeni prijedlog primljen je na znanje.</w:t>
            </w:r>
          </w:p>
        </w:tc>
      </w:tr>
      <w:tr w:rsidR="00870995" w:rsidRPr="00505D73" w14:paraId="3030FCD8" w14:textId="77777777" w:rsidTr="00C47C2F">
        <w:tc>
          <w:tcPr>
            <w:tcW w:w="490" w:type="dxa"/>
          </w:tcPr>
          <w:p w14:paraId="097D8510" w14:textId="2981D7F1" w:rsidR="00870995" w:rsidRPr="00505D73" w:rsidRDefault="00870995" w:rsidP="00C46F76">
            <w:pPr>
              <w:rPr>
                <w:rFonts w:asciiTheme="majorHAnsi" w:hAnsiTheme="majorHAnsi" w:cstheme="majorHAnsi"/>
                <w:sz w:val="20"/>
                <w:szCs w:val="20"/>
              </w:rPr>
            </w:pPr>
            <w:r>
              <w:rPr>
                <w:rFonts w:asciiTheme="majorHAnsi" w:hAnsiTheme="majorHAnsi" w:cstheme="majorHAnsi"/>
                <w:sz w:val="20"/>
                <w:szCs w:val="20"/>
              </w:rPr>
              <w:t>13.</w:t>
            </w:r>
          </w:p>
        </w:tc>
        <w:tc>
          <w:tcPr>
            <w:tcW w:w="1460" w:type="dxa"/>
            <w:vMerge w:val="restart"/>
          </w:tcPr>
          <w:p w14:paraId="004A28AB" w14:textId="0CA41A27" w:rsidR="00870995" w:rsidRPr="00196EE1" w:rsidRDefault="00870995" w:rsidP="001B22E0">
            <w:pPr>
              <w:rPr>
                <w:rFonts w:asciiTheme="majorHAnsi" w:hAnsiTheme="majorHAnsi" w:cstheme="majorHAnsi"/>
                <w:b/>
                <w:bCs/>
                <w:sz w:val="20"/>
                <w:szCs w:val="20"/>
              </w:rPr>
            </w:pPr>
            <w:r w:rsidRPr="00196EE1">
              <w:rPr>
                <w:rFonts w:asciiTheme="majorHAnsi" w:hAnsiTheme="majorHAnsi" w:cstheme="majorHAnsi"/>
                <w:b/>
                <w:bCs/>
              </w:rPr>
              <w:t>Možemo! Pula</w:t>
            </w:r>
          </w:p>
        </w:tc>
        <w:tc>
          <w:tcPr>
            <w:tcW w:w="7571" w:type="dxa"/>
          </w:tcPr>
          <w:p w14:paraId="62F1AC8D" w14:textId="03F8F135" w:rsidR="00870995" w:rsidRPr="001B22E0" w:rsidRDefault="00870995" w:rsidP="001B22E0">
            <w:pPr>
              <w:rPr>
                <w:rFonts w:asciiTheme="majorHAnsi" w:hAnsiTheme="majorHAnsi" w:cstheme="majorHAnsi"/>
                <w:sz w:val="20"/>
                <w:szCs w:val="20"/>
              </w:rPr>
            </w:pPr>
            <w:r w:rsidRPr="001B22E0">
              <w:rPr>
                <w:rFonts w:asciiTheme="majorHAnsi" w:hAnsiTheme="majorHAnsi" w:cstheme="majorHAnsi"/>
                <w:sz w:val="20"/>
                <w:szCs w:val="20"/>
              </w:rPr>
              <w:t>IZOSTANAK UKLJUČIVANJA DIONIKA U IZRADU STRATEGIJE UPRAVLJANJA IMOVINOM</w:t>
            </w:r>
            <w:r w:rsidRPr="001B22E0">
              <w:rPr>
                <w:rFonts w:asciiTheme="majorHAnsi" w:hAnsiTheme="majorHAnsi" w:cstheme="majorHAnsi"/>
                <w:sz w:val="20"/>
                <w:szCs w:val="20"/>
              </w:rPr>
              <w:tab/>
              <w:t xml:space="preserve"> </w:t>
            </w:r>
          </w:p>
          <w:p w14:paraId="2F666559" w14:textId="6C759B53" w:rsidR="00870995" w:rsidRPr="009226D6" w:rsidRDefault="00870995" w:rsidP="001B22E0">
            <w:pPr>
              <w:rPr>
                <w:rFonts w:asciiTheme="majorHAnsi" w:hAnsiTheme="majorHAnsi" w:cstheme="majorHAnsi"/>
                <w:sz w:val="20"/>
                <w:szCs w:val="20"/>
              </w:rPr>
            </w:pPr>
            <w:r w:rsidRPr="001B22E0">
              <w:rPr>
                <w:rFonts w:asciiTheme="majorHAnsi" w:hAnsiTheme="majorHAnsi" w:cstheme="majorHAnsi"/>
                <w:sz w:val="20"/>
                <w:szCs w:val="20"/>
              </w:rPr>
              <w:t>Taj se važni nedostatak najviše očituje u loše postavljenim strateškim ciljevima i nekim bitnim nedostacima same Strategije, koji su se mogli izbjeći da je uključen širi krug dionika. U ovoj fazi te bitne nedostatke nije moguće ispraviti jer bi to značilo značajno mijenjanje cjelokupnog dokumenta.</w:t>
            </w:r>
          </w:p>
        </w:tc>
        <w:tc>
          <w:tcPr>
            <w:tcW w:w="1389" w:type="dxa"/>
            <w:vAlign w:val="center"/>
          </w:tcPr>
          <w:p w14:paraId="064ACA16" w14:textId="4C5C22D4" w:rsidR="00870995" w:rsidRDefault="00870995" w:rsidP="00505D73">
            <w:pPr>
              <w:jc w:val="center"/>
              <w:rPr>
                <w:rFonts w:asciiTheme="majorHAnsi" w:hAnsiTheme="majorHAnsi" w:cstheme="majorHAnsi"/>
                <w:sz w:val="20"/>
                <w:szCs w:val="20"/>
              </w:rPr>
            </w:pPr>
            <w:r>
              <w:rPr>
                <w:rFonts w:asciiTheme="majorHAnsi" w:hAnsiTheme="majorHAnsi" w:cstheme="majorHAnsi"/>
                <w:sz w:val="20"/>
                <w:szCs w:val="20"/>
              </w:rPr>
              <w:t>Ne prihvaća se</w:t>
            </w:r>
          </w:p>
        </w:tc>
        <w:tc>
          <w:tcPr>
            <w:tcW w:w="3084" w:type="dxa"/>
            <w:vAlign w:val="center"/>
          </w:tcPr>
          <w:p w14:paraId="7E377283" w14:textId="6E09A474" w:rsidR="00870995" w:rsidRPr="00A55E86" w:rsidRDefault="00870995" w:rsidP="00033367">
            <w:pPr>
              <w:rPr>
                <w:rFonts w:asciiTheme="majorHAnsi" w:hAnsiTheme="majorHAnsi" w:cstheme="majorHAnsi"/>
                <w:sz w:val="20"/>
                <w:szCs w:val="20"/>
              </w:rPr>
            </w:pPr>
            <w:r>
              <w:rPr>
                <w:rFonts w:asciiTheme="majorHAnsi" w:hAnsiTheme="majorHAnsi" w:cstheme="majorHAnsi"/>
                <w:sz w:val="20"/>
                <w:szCs w:val="20"/>
              </w:rPr>
              <w:t xml:space="preserve">Strategija </w:t>
            </w:r>
            <w:r w:rsidRPr="00033367">
              <w:rPr>
                <w:rFonts w:asciiTheme="majorHAnsi" w:hAnsiTheme="majorHAnsi" w:cstheme="majorHAnsi"/>
                <w:sz w:val="20"/>
                <w:szCs w:val="20"/>
              </w:rPr>
              <w:t>upravljanja imovinom</w:t>
            </w:r>
            <w:r>
              <w:rPr>
                <w:rFonts w:asciiTheme="majorHAnsi" w:hAnsiTheme="majorHAnsi" w:cstheme="majorHAnsi"/>
                <w:sz w:val="20"/>
                <w:szCs w:val="20"/>
              </w:rPr>
              <w:t xml:space="preserve"> </w:t>
            </w:r>
            <w:r w:rsidRPr="00033367">
              <w:rPr>
                <w:rFonts w:asciiTheme="majorHAnsi" w:hAnsiTheme="majorHAnsi" w:cstheme="majorHAnsi"/>
                <w:sz w:val="20"/>
                <w:szCs w:val="20"/>
              </w:rPr>
              <w:t xml:space="preserve">Grada </w:t>
            </w:r>
            <w:r>
              <w:rPr>
                <w:rFonts w:asciiTheme="majorHAnsi" w:hAnsiTheme="majorHAnsi" w:cstheme="majorHAnsi"/>
                <w:sz w:val="20"/>
                <w:szCs w:val="20"/>
              </w:rPr>
              <w:t>P</w:t>
            </w:r>
            <w:r w:rsidRPr="00033367">
              <w:rPr>
                <w:rFonts w:asciiTheme="majorHAnsi" w:hAnsiTheme="majorHAnsi" w:cstheme="majorHAnsi"/>
                <w:sz w:val="20"/>
                <w:szCs w:val="20"/>
              </w:rPr>
              <w:t xml:space="preserve">ula – </w:t>
            </w:r>
            <w:r>
              <w:rPr>
                <w:rFonts w:asciiTheme="majorHAnsi" w:hAnsiTheme="majorHAnsi" w:cstheme="majorHAnsi"/>
                <w:sz w:val="20"/>
                <w:szCs w:val="20"/>
              </w:rPr>
              <w:t>P</w:t>
            </w:r>
            <w:r w:rsidRPr="00033367">
              <w:rPr>
                <w:rFonts w:asciiTheme="majorHAnsi" w:hAnsiTheme="majorHAnsi" w:cstheme="majorHAnsi"/>
                <w:sz w:val="20"/>
                <w:szCs w:val="20"/>
              </w:rPr>
              <w:t>ola</w:t>
            </w:r>
            <w:r>
              <w:rPr>
                <w:rFonts w:asciiTheme="majorHAnsi" w:hAnsiTheme="majorHAnsi" w:cstheme="majorHAnsi"/>
                <w:sz w:val="20"/>
                <w:szCs w:val="20"/>
              </w:rPr>
              <w:t xml:space="preserve"> </w:t>
            </w:r>
            <w:r w:rsidRPr="00033367">
              <w:rPr>
                <w:rFonts w:asciiTheme="majorHAnsi" w:hAnsiTheme="majorHAnsi" w:cstheme="majorHAnsi"/>
                <w:sz w:val="20"/>
                <w:szCs w:val="20"/>
              </w:rPr>
              <w:t>za razdoblje 2023. – 2028. godine</w:t>
            </w:r>
            <w:r>
              <w:rPr>
                <w:rFonts w:asciiTheme="majorHAnsi" w:hAnsiTheme="majorHAnsi" w:cstheme="majorHAnsi"/>
                <w:sz w:val="20"/>
                <w:szCs w:val="20"/>
              </w:rPr>
              <w:t xml:space="preserve"> predstavlja k</w:t>
            </w:r>
            <w:r w:rsidRPr="00033367">
              <w:rPr>
                <w:rFonts w:asciiTheme="majorHAnsi" w:hAnsiTheme="majorHAnsi" w:cstheme="majorHAnsi"/>
                <w:sz w:val="20"/>
                <w:szCs w:val="20"/>
              </w:rPr>
              <w:t>ompleksan strateški dokument kojim uprava definira</w:t>
            </w:r>
            <w:r>
              <w:rPr>
                <w:rFonts w:asciiTheme="majorHAnsi" w:hAnsiTheme="majorHAnsi" w:cstheme="majorHAnsi"/>
                <w:sz w:val="20"/>
                <w:szCs w:val="20"/>
              </w:rPr>
              <w:t xml:space="preserve"> </w:t>
            </w:r>
            <w:r w:rsidRPr="00033367">
              <w:rPr>
                <w:rFonts w:asciiTheme="majorHAnsi" w:hAnsiTheme="majorHAnsi" w:cstheme="majorHAnsi"/>
                <w:sz w:val="20"/>
                <w:szCs w:val="20"/>
              </w:rPr>
              <w:t>(svoje) ciljeve upravljanja</w:t>
            </w:r>
            <w:r>
              <w:rPr>
                <w:rFonts w:asciiTheme="majorHAnsi" w:hAnsiTheme="majorHAnsi" w:cstheme="majorHAnsi"/>
                <w:sz w:val="20"/>
                <w:szCs w:val="20"/>
              </w:rPr>
              <w:t>.</w:t>
            </w:r>
          </w:p>
        </w:tc>
      </w:tr>
      <w:tr w:rsidR="00870995" w:rsidRPr="00505D73" w14:paraId="00F57ED0" w14:textId="77777777" w:rsidTr="00C47C2F">
        <w:tc>
          <w:tcPr>
            <w:tcW w:w="490" w:type="dxa"/>
          </w:tcPr>
          <w:p w14:paraId="7CFC275D" w14:textId="2CECFB79" w:rsidR="00870995" w:rsidRPr="00505D73" w:rsidRDefault="00870995" w:rsidP="00C46F76">
            <w:pPr>
              <w:rPr>
                <w:rFonts w:asciiTheme="majorHAnsi" w:hAnsiTheme="majorHAnsi" w:cstheme="majorHAnsi"/>
                <w:sz w:val="20"/>
                <w:szCs w:val="20"/>
              </w:rPr>
            </w:pPr>
            <w:r>
              <w:rPr>
                <w:rFonts w:asciiTheme="majorHAnsi" w:hAnsiTheme="majorHAnsi" w:cstheme="majorHAnsi"/>
                <w:sz w:val="20"/>
                <w:szCs w:val="20"/>
              </w:rPr>
              <w:t>14.</w:t>
            </w:r>
          </w:p>
        </w:tc>
        <w:tc>
          <w:tcPr>
            <w:tcW w:w="1460" w:type="dxa"/>
            <w:vMerge/>
          </w:tcPr>
          <w:p w14:paraId="33EB40F6" w14:textId="77777777" w:rsidR="00870995" w:rsidRPr="00752297" w:rsidRDefault="00870995" w:rsidP="00752297">
            <w:pPr>
              <w:rPr>
                <w:rFonts w:asciiTheme="majorHAnsi" w:hAnsiTheme="majorHAnsi" w:cstheme="majorHAnsi"/>
                <w:sz w:val="20"/>
                <w:szCs w:val="20"/>
              </w:rPr>
            </w:pPr>
          </w:p>
        </w:tc>
        <w:tc>
          <w:tcPr>
            <w:tcW w:w="7571" w:type="dxa"/>
          </w:tcPr>
          <w:p w14:paraId="23FE1F41" w14:textId="0089721C" w:rsidR="00870995" w:rsidRPr="00752297" w:rsidRDefault="00870995" w:rsidP="00752297">
            <w:pPr>
              <w:rPr>
                <w:rFonts w:asciiTheme="majorHAnsi" w:hAnsiTheme="majorHAnsi" w:cstheme="majorHAnsi"/>
                <w:sz w:val="20"/>
                <w:szCs w:val="20"/>
              </w:rPr>
            </w:pPr>
            <w:r w:rsidRPr="00752297">
              <w:rPr>
                <w:rFonts w:asciiTheme="majorHAnsi" w:hAnsiTheme="majorHAnsi" w:cstheme="majorHAnsi"/>
                <w:sz w:val="20"/>
                <w:szCs w:val="20"/>
              </w:rPr>
              <w:t>NAČELO JAVNOSTI NEPOTPUNO I NEDOVOLJNO</w:t>
            </w:r>
          </w:p>
          <w:p w14:paraId="6701CF10" w14:textId="7234FFB4" w:rsidR="00870995" w:rsidRPr="00752297" w:rsidRDefault="00870995" w:rsidP="00752297">
            <w:pPr>
              <w:rPr>
                <w:rFonts w:asciiTheme="majorHAnsi" w:hAnsiTheme="majorHAnsi" w:cstheme="majorHAnsi"/>
                <w:sz w:val="20"/>
                <w:szCs w:val="20"/>
              </w:rPr>
            </w:pPr>
            <w:r w:rsidRPr="00752297">
              <w:rPr>
                <w:rFonts w:asciiTheme="majorHAnsi" w:hAnsiTheme="majorHAnsi" w:cstheme="majorHAnsi"/>
                <w:sz w:val="20"/>
                <w:szCs w:val="20"/>
              </w:rPr>
              <w:t>U Strategiji se navodi načelo javnosti kao propisivanje pravila i kriterija upravljanja imovinom u aktima Grada te njihova javna objava, određivanje ciljeva upravljanja imovinom u Strategiji, redovito upoznavanje javnosti s aktivnostima tijela koja upravljaju imovinom i javnom objavom odluka o upravljanju imovinom.</w:t>
            </w:r>
          </w:p>
          <w:p w14:paraId="4B717978" w14:textId="77777777" w:rsidR="00870995" w:rsidRPr="00752297" w:rsidRDefault="00870995" w:rsidP="00752297">
            <w:pPr>
              <w:rPr>
                <w:rFonts w:asciiTheme="majorHAnsi" w:hAnsiTheme="majorHAnsi" w:cstheme="majorHAnsi"/>
                <w:sz w:val="20"/>
                <w:szCs w:val="20"/>
              </w:rPr>
            </w:pPr>
            <w:r w:rsidRPr="00752297">
              <w:rPr>
                <w:rFonts w:asciiTheme="majorHAnsi" w:hAnsiTheme="majorHAnsi" w:cstheme="majorHAnsi"/>
                <w:sz w:val="20"/>
                <w:szCs w:val="20"/>
              </w:rPr>
              <w:t>Taj je opis zastario i nedovoljan. Popis gradske imovine mora biti u elektroničkom obliku javan i svima dostupan i to bez ograničenja. Oblik objave moraju biti strojno čitljivi otvoreni podaci, kojima se stvara dodana vrijednost i ekonomska korist.</w:t>
            </w:r>
          </w:p>
          <w:p w14:paraId="707F130B" w14:textId="764282AA" w:rsidR="00870995" w:rsidRPr="009226D6" w:rsidRDefault="00870995" w:rsidP="00752297">
            <w:pPr>
              <w:rPr>
                <w:rFonts w:asciiTheme="majorHAnsi" w:hAnsiTheme="majorHAnsi" w:cstheme="majorHAnsi"/>
                <w:sz w:val="20"/>
                <w:szCs w:val="20"/>
              </w:rPr>
            </w:pPr>
            <w:r w:rsidRPr="00752297">
              <w:rPr>
                <w:rFonts w:asciiTheme="majorHAnsi" w:hAnsiTheme="majorHAnsi" w:cstheme="majorHAnsi"/>
                <w:sz w:val="20"/>
                <w:szCs w:val="20"/>
              </w:rPr>
              <w:t>Grad Pula konačno bi trebao uspostaviti funkcionalni portal otvorenih podataka (postoji jedan neuspjeli pokušaj).</w:t>
            </w:r>
          </w:p>
        </w:tc>
        <w:tc>
          <w:tcPr>
            <w:tcW w:w="1389" w:type="dxa"/>
            <w:vAlign w:val="center"/>
          </w:tcPr>
          <w:p w14:paraId="560A7B5D" w14:textId="413AC80B" w:rsidR="00870995" w:rsidRDefault="00870995" w:rsidP="00505D73">
            <w:pPr>
              <w:jc w:val="center"/>
              <w:rPr>
                <w:rFonts w:asciiTheme="majorHAnsi" w:hAnsiTheme="majorHAnsi" w:cstheme="majorHAnsi"/>
                <w:sz w:val="20"/>
                <w:szCs w:val="20"/>
              </w:rPr>
            </w:pPr>
            <w:r>
              <w:rPr>
                <w:rFonts w:asciiTheme="majorHAnsi" w:hAnsiTheme="majorHAnsi" w:cstheme="majorHAnsi"/>
                <w:sz w:val="20"/>
                <w:szCs w:val="20"/>
              </w:rPr>
              <w:t>Prihvaća se</w:t>
            </w:r>
          </w:p>
        </w:tc>
        <w:tc>
          <w:tcPr>
            <w:tcW w:w="3084" w:type="dxa"/>
            <w:vAlign w:val="center"/>
          </w:tcPr>
          <w:p w14:paraId="6B2B8E0D" w14:textId="14B97693" w:rsidR="00870995" w:rsidRPr="00A55E86" w:rsidRDefault="00870995" w:rsidP="00146989">
            <w:pPr>
              <w:rPr>
                <w:rFonts w:asciiTheme="majorHAnsi" w:hAnsiTheme="majorHAnsi" w:cstheme="majorHAnsi"/>
                <w:sz w:val="20"/>
                <w:szCs w:val="20"/>
              </w:rPr>
            </w:pPr>
            <w:r>
              <w:rPr>
                <w:rFonts w:asciiTheme="majorHAnsi" w:hAnsiTheme="majorHAnsi" w:cstheme="majorHAnsi"/>
                <w:sz w:val="20"/>
                <w:szCs w:val="20"/>
              </w:rPr>
              <w:t>Grad Pula-Pola će pristupiti uspostavljanju portala za javnu objavu popisa gradske imovine te će u tom kontekstu dopuniti opis načela javnosti unutar teksta Strategije.</w:t>
            </w:r>
          </w:p>
        </w:tc>
      </w:tr>
      <w:tr w:rsidR="00870995" w:rsidRPr="00505D73" w14:paraId="3438E8CC" w14:textId="77777777" w:rsidTr="00C47C2F">
        <w:tc>
          <w:tcPr>
            <w:tcW w:w="490" w:type="dxa"/>
          </w:tcPr>
          <w:p w14:paraId="4EE59075" w14:textId="6DCA2F54" w:rsidR="00870995" w:rsidRPr="00505D73" w:rsidRDefault="00870995" w:rsidP="00C46F76">
            <w:pPr>
              <w:rPr>
                <w:rFonts w:asciiTheme="majorHAnsi" w:hAnsiTheme="majorHAnsi" w:cstheme="majorHAnsi"/>
                <w:sz w:val="20"/>
                <w:szCs w:val="20"/>
              </w:rPr>
            </w:pPr>
            <w:r>
              <w:rPr>
                <w:rFonts w:asciiTheme="majorHAnsi" w:hAnsiTheme="majorHAnsi" w:cstheme="majorHAnsi"/>
                <w:sz w:val="20"/>
                <w:szCs w:val="20"/>
              </w:rPr>
              <w:t>15.</w:t>
            </w:r>
          </w:p>
        </w:tc>
        <w:tc>
          <w:tcPr>
            <w:tcW w:w="1460" w:type="dxa"/>
            <w:vMerge/>
          </w:tcPr>
          <w:p w14:paraId="1451290E" w14:textId="77777777" w:rsidR="00870995" w:rsidRPr="00C43BF9" w:rsidRDefault="00870995" w:rsidP="00C43BF9">
            <w:pPr>
              <w:rPr>
                <w:rFonts w:asciiTheme="majorHAnsi" w:hAnsiTheme="majorHAnsi" w:cstheme="majorHAnsi"/>
                <w:sz w:val="20"/>
                <w:szCs w:val="20"/>
              </w:rPr>
            </w:pPr>
          </w:p>
        </w:tc>
        <w:tc>
          <w:tcPr>
            <w:tcW w:w="7571" w:type="dxa"/>
          </w:tcPr>
          <w:p w14:paraId="63C52F4B" w14:textId="191D4E4A" w:rsidR="00870995" w:rsidRPr="00C43BF9" w:rsidRDefault="00870995" w:rsidP="00C43BF9">
            <w:pPr>
              <w:rPr>
                <w:rFonts w:asciiTheme="majorHAnsi" w:hAnsiTheme="majorHAnsi" w:cstheme="majorHAnsi"/>
                <w:sz w:val="20"/>
                <w:szCs w:val="20"/>
              </w:rPr>
            </w:pPr>
            <w:r w:rsidRPr="00C43BF9">
              <w:rPr>
                <w:rFonts w:asciiTheme="majorHAnsi" w:hAnsiTheme="majorHAnsi" w:cstheme="majorHAnsi"/>
                <w:sz w:val="20"/>
                <w:szCs w:val="20"/>
              </w:rPr>
              <w:t xml:space="preserve">NE POSTOJE CILJEVI I VIZIJA UPRAVLJANJA IMOVINOM, ČEMU TEŽIMO, ŠTO DUGOROČNO ŽELIMO POSTIĆI? </w:t>
            </w:r>
          </w:p>
          <w:p w14:paraId="6E10976B" w14:textId="77777777" w:rsidR="00870995" w:rsidRDefault="00870995" w:rsidP="00C43BF9">
            <w:pPr>
              <w:rPr>
                <w:rFonts w:asciiTheme="majorHAnsi" w:hAnsiTheme="majorHAnsi" w:cstheme="majorHAnsi"/>
                <w:sz w:val="20"/>
                <w:szCs w:val="20"/>
              </w:rPr>
            </w:pPr>
            <w:r w:rsidRPr="00C43BF9">
              <w:rPr>
                <w:rFonts w:asciiTheme="majorHAnsi" w:hAnsiTheme="majorHAnsi" w:cstheme="majorHAnsi"/>
                <w:sz w:val="20"/>
                <w:szCs w:val="20"/>
              </w:rPr>
              <w:t>Ona što odmah upada u oči, ono što svaka strategija kao dugoročni planski dokument sadrži, a u predloženoj Strategiji nedostaje, jesu svrha Strategije, te vizija i misija Grada Pule pri upravljanju imovinom</w:t>
            </w:r>
            <w:r>
              <w:rPr>
                <w:rFonts w:asciiTheme="majorHAnsi" w:hAnsiTheme="majorHAnsi" w:cstheme="majorHAnsi"/>
                <w:sz w:val="20"/>
                <w:szCs w:val="20"/>
              </w:rPr>
              <w:t>.</w:t>
            </w:r>
          </w:p>
          <w:p w14:paraId="32D2C1E7" w14:textId="4ECA5708" w:rsidR="00870995" w:rsidRPr="00956FD7" w:rsidRDefault="00870995" w:rsidP="00956FD7">
            <w:pPr>
              <w:rPr>
                <w:rFonts w:asciiTheme="majorHAnsi" w:hAnsiTheme="majorHAnsi" w:cstheme="majorHAnsi"/>
                <w:sz w:val="20"/>
                <w:szCs w:val="20"/>
              </w:rPr>
            </w:pPr>
            <w:r w:rsidRPr="00956FD7">
              <w:rPr>
                <w:rFonts w:asciiTheme="majorHAnsi" w:hAnsiTheme="majorHAnsi" w:cstheme="majorHAnsi"/>
                <w:sz w:val="20"/>
                <w:szCs w:val="20"/>
              </w:rPr>
              <w:t>Taj nedostatak potvrđuju i ciljevi i smjernice za raspolaganje i upravljanje imovinom od 2023. Do 2028. Tako su kao dugoročni strateški ciljevi postavljeni:</w:t>
            </w:r>
          </w:p>
          <w:p w14:paraId="5A659774" w14:textId="77777777" w:rsidR="00870995" w:rsidRPr="00956FD7" w:rsidRDefault="00870995" w:rsidP="00956FD7">
            <w:pPr>
              <w:rPr>
                <w:rFonts w:asciiTheme="majorHAnsi" w:hAnsiTheme="majorHAnsi" w:cstheme="majorHAnsi"/>
                <w:sz w:val="20"/>
                <w:szCs w:val="20"/>
              </w:rPr>
            </w:pPr>
            <w:r w:rsidRPr="00956FD7">
              <w:rPr>
                <w:rFonts w:asciiTheme="majorHAnsi" w:hAnsiTheme="majorHAnsi" w:cstheme="majorHAnsi"/>
                <w:sz w:val="20"/>
                <w:szCs w:val="20"/>
              </w:rPr>
              <w:t>Strateški cilj 1 - Menadžersko upravljanje imovinom</w:t>
            </w:r>
          </w:p>
          <w:p w14:paraId="0670237F" w14:textId="77777777" w:rsidR="00870995" w:rsidRPr="00956FD7" w:rsidRDefault="00870995" w:rsidP="00956FD7">
            <w:pPr>
              <w:rPr>
                <w:rFonts w:asciiTheme="majorHAnsi" w:hAnsiTheme="majorHAnsi" w:cstheme="majorHAnsi"/>
                <w:sz w:val="20"/>
                <w:szCs w:val="20"/>
              </w:rPr>
            </w:pPr>
            <w:r w:rsidRPr="00956FD7">
              <w:rPr>
                <w:rFonts w:asciiTheme="majorHAnsi" w:hAnsiTheme="majorHAnsi" w:cstheme="majorHAnsi"/>
                <w:sz w:val="20"/>
                <w:szCs w:val="20"/>
              </w:rPr>
              <w:t>Strateški cilj 2 - Unapređenje unutarnje organizacije</w:t>
            </w:r>
          </w:p>
          <w:p w14:paraId="170E7743" w14:textId="77777777" w:rsidR="00870995" w:rsidRPr="00956FD7" w:rsidRDefault="00870995" w:rsidP="00956FD7">
            <w:pPr>
              <w:rPr>
                <w:rFonts w:asciiTheme="majorHAnsi" w:hAnsiTheme="majorHAnsi" w:cstheme="majorHAnsi"/>
                <w:sz w:val="20"/>
                <w:szCs w:val="20"/>
              </w:rPr>
            </w:pPr>
            <w:r w:rsidRPr="00956FD7">
              <w:rPr>
                <w:rFonts w:asciiTheme="majorHAnsi" w:hAnsiTheme="majorHAnsi" w:cstheme="majorHAnsi"/>
                <w:sz w:val="20"/>
                <w:szCs w:val="20"/>
              </w:rPr>
              <w:t>Strateški cilj 3 - Uređenje normativnog okvira i imovinskopravnih odnosa</w:t>
            </w:r>
          </w:p>
          <w:p w14:paraId="63FB185D" w14:textId="413F0887" w:rsidR="00870995" w:rsidRPr="00956FD7" w:rsidRDefault="00870995" w:rsidP="00956FD7">
            <w:pPr>
              <w:rPr>
                <w:rFonts w:asciiTheme="majorHAnsi" w:hAnsiTheme="majorHAnsi" w:cstheme="majorHAnsi"/>
                <w:sz w:val="20"/>
                <w:szCs w:val="20"/>
              </w:rPr>
            </w:pPr>
            <w:r w:rsidRPr="00956FD7">
              <w:rPr>
                <w:rFonts w:asciiTheme="majorHAnsi" w:hAnsiTheme="majorHAnsi" w:cstheme="majorHAnsi"/>
                <w:sz w:val="20"/>
                <w:szCs w:val="20"/>
              </w:rPr>
              <w:t>Strateški cilj 4 - Regeneracija izgrađenog urbanog prostora</w:t>
            </w:r>
            <w:r>
              <w:rPr>
                <w:rFonts w:asciiTheme="majorHAnsi" w:hAnsiTheme="majorHAnsi" w:cstheme="majorHAnsi"/>
                <w:sz w:val="20"/>
                <w:szCs w:val="20"/>
              </w:rPr>
              <w:t>.</w:t>
            </w:r>
            <w:r w:rsidRPr="00956FD7">
              <w:rPr>
                <w:rFonts w:asciiTheme="majorHAnsi" w:hAnsiTheme="majorHAnsi" w:cstheme="majorHAnsi"/>
                <w:sz w:val="20"/>
                <w:szCs w:val="20"/>
              </w:rPr>
              <w:tab/>
            </w:r>
            <w:r w:rsidRPr="00956FD7">
              <w:rPr>
                <w:rFonts w:asciiTheme="majorHAnsi" w:hAnsiTheme="majorHAnsi" w:cstheme="majorHAnsi"/>
                <w:sz w:val="20"/>
                <w:szCs w:val="20"/>
              </w:rPr>
              <w:tab/>
            </w:r>
          </w:p>
          <w:p w14:paraId="32E28D3D" w14:textId="77777777" w:rsidR="00870995" w:rsidRPr="00956FD7" w:rsidRDefault="00870995" w:rsidP="00956FD7">
            <w:pPr>
              <w:rPr>
                <w:rFonts w:asciiTheme="majorHAnsi" w:hAnsiTheme="majorHAnsi" w:cstheme="majorHAnsi"/>
                <w:sz w:val="20"/>
                <w:szCs w:val="20"/>
              </w:rPr>
            </w:pPr>
            <w:r w:rsidRPr="00956FD7">
              <w:rPr>
                <w:rFonts w:asciiTheme="majorHAnsi" w:hAnsiTheme="majorHAnsi" w:cstheme="majorHAnsi"/>
                <w:sz w:val="20"/>
                <w:szCs w:val="20"/>
              </w:rPr>
              <w:t>Prva tri cilja više su mjera za ostvarivanje cilja, negoli sam strateški cilj.</w:t>
            </w:r>
          </w:p>
          <w:p w14:paraId="385134C1" w14:textId="77777777" w:rsidR="00870995" w:rsidRPr="00956FD7" w:rsidRDefault="00870995" w:rsidP="00956FD7">
            <w:pPr>
              <w:rPr>
                <w:rFonts w:asciiTheme="majorHAnsi" w:hAnsiTheme="majorHAnsi" w:cstheme="majorHAnsi"/>
                <w:sz w:val="20"/>
                <w:szCs w:val="20"/>
              </w:rPr>
            </w:pPr>
            <w:r w:rsidRPr="00956FD7">
              <w:rPr>
                <w:rFonts w:asciiTheme="majorHAnsi" w:hAnsiTheme="majorHAnsi" w:cstheme="majorHAnsi"/>
                <w:sz w:val="20"/>
                <w:szCs w:val="20"/>
              </w:rPr>
              <w:t xml:space="preserve">Tek se pod 4. nalazi se jedan od mogućih pravih strateških ciljeva. Ovako postavljeni strateški ciljevi govore o zaista vrlo lošem stanju upravljanja imovinom jer je, izgleda, potrebno </w:t>
            </w:r>
            <w:r w:rsidRPr="00956FD7">
              <w:rPr>
                <w:rFonts w:asciiTheme="majorHAnsi" w:hAnsiTheme="majorHAnsi" w:cstheme="majorHAnsi"/>
                <w:sz w:val="20"/>
                <w:szCs w:val="20"/>
              </w:rPr>
              <w:lastRenderedPageBreak/>
              <w:t xml:space="preserve">postaviti same temelje upravljanja, počevši od popisa imovine koji nedostaje, ali i o neambicioznosti gradske uprave koja se u cijelom petogodišnjem periodu planira posvetiti ostvarivanju pretpostavki za uspostavljanje registra imovine i racionalno i djelotvorno upravljanje imovinom - a ne postizanju npr. nekih društvenih ciljeva. </w:t>
            </w:r>
            <w:r w:rsidRPr="00956FD7">
              <w:rPr>
                <w:rFonts w:asciiTheme="majorHAnsi" w:hAnsiTheme="majorHAnsi" w:cstheme="majorHAnsi"/>
                <w:sz w:val="20"/>
                <w:szCs w:val="20"/>
              </w:rPr>
              <w:tab/>
            </w:r>
            <w:r w:rsidRPr="00956FD7">
              <w:rPr>
                <w:rFonts w:asciiTheme="majorHAnsi" w:hAnsiTheme="majorHAnsi" w:cstheme="majorHAnsi"/>
                <w:sz w:val="20"/>
                <w:szCs w:val="20"/>
              </w:rPr>
              <w:tab/>
            </w:r>
          </w:p>
          <w:p w14:paraId="64104F9F" w14:textId="77777777" w:rsidR="00870995" w:rsidRDefault="00870995" w:rsidP="00956FD7">
            <w:pPr>
              <w:rPr>
                <w:rFonts w:asciiTheme="majorHAnsi" w:hAnsiTheme="majorHAnsi" w:cstheme="majorHAnsi"/>
                <w:sz w:val="20"/>
                <w:szCs w:val="20"/>
              </w:rPr>
            </w:pPr>
            <w:r w:rsidRPr="00956FD7">
              <w:rPr>
                <w:rFonts w:asciiTheme="majorHAnsi" w:hAnsiTheme="majorHAnsi" w:cstheme="majorHAnsi"/>
                <w:sz w:val="20"/>
                <w:szCs w:val="20"/>
              </w:rPr>
              <w:t>Na početku Strategije trebao bi stajati opći strateški cilj - npr. osigurati ekonomski svrhovito, djelotvorno, učinkovito i transparentno upravljanje gradskom imovinom, koje će osigurati društveni razvoj odnosno da imovina bude u službi građana i zadovoljenja njihovih potreba, kvalitete života, gospodarskog rasta te zaštite javnog interesa i interesa Grada Pule</w:t>
            </w:r>
            <w:r>
              <w:rPr>
                <w:rFonts w:asciiTheme="majorHAnsi" w:hAnsiTheme="majorHAnsi" w:cstheme="majorHAnsi"/>
                <w:sz w:val="20"/>
                <w:szCs w:val="20"/>
              </w:rPr>
              <w:t>.</w:t>
            </w:r>
          </w:p>
          <w:p w14:paraId="16889628" w14:textId="77777777" w:rsidR="00870995" w:rsidRPr="00D476BE" w:rsidRDefault="00870995" w:rsidP="00D476BE">
            <w:pPr>
              <w:rPr>
                <w:rFonts w:asciiTheme="majorHAnsi" w:hAnsiTheme="majorHAnsi" w:cstheme="majorHAnsi"/>
                <w:sz w:val="20"/>
                <w:szCs w:val="20"/>
              </w:rPr>
            </w:pPr>
            <w:r w:rsidRPr="00D476BE">
              <w:rPr>
                <w:rFonts w:asciiTheme="majorHAnsi" w:hAnsiTheme="majorHAnsi" w:cstheme="majorHAnsi"/>
                <w:sz w:val="20"/>
                <w:szCs w:val="20"/>
              </w:rPr>
              <w:t xml:space="preserve">Zatim bi trebalo javnosti predočiti i viziju, npr: Grad u kojem gradska imovina pridonosi općem dobru, doprinosi razvoju gospodarstva, društvene i komunalne infrastrukture, u kojem je očuvana i podignuta vrijednosti postojeće imovine koja dugoročno osigurava prihode, koja je stavljena u potpunu funkciju, i koja stvara pretpostavke za kvalitetan život i poslovanje. </w:t>
            </w:r>
          </w:p>
          <w:p w14:paraId="57E3C4A0" w14:textId="1141F493" w:rsidR="00870995" w:rsidRPr="009226D6" w:rsidRDefault="00870995" w:rsidP="00D476BE">
            <w:pPr>
              <w:rPr>
                <w:rFonts w:asciiTheme="majorHAnsi" w:hAnsiTheme="majorHAnsi" w:cstheme="majorHAnsi"/>
                <w:sz w:val="20"/>
                <w:szCs w:val="20"/>
              </w:rPr>
            </w:pPr>
            <w:r w:rsidRPr="00D476BE">
              <w:rPr>
                <w:rFonts w:asciiTheme="majorHAnsi" w:hAnsiTheme="majorHAnsi" w:cstheme="majorHAnsi"/>
                <w:sz w:val="20"/>
                <w:szCs w:val="20"/>
              </w:rPr>
              <w:t>Nedostaje i misija. Mi iz Možemo! držimo da bi misija trebala biti upravljanje imovinom na način koji maksimalizira društvene, gospodarske i okolišne ciljeve, odnosno zadovoljenje svih javnih potreba građana danas, osiguravajući da se iste potrebe mogu zadovoljiti i u budućnosti.</w:t>
            </w:r>
          </w:p>
        </w:tc>
        <w:tc>
          <w:tcPr>
            <w:tcW w:w="1389" w:type="dxa"/>
            <w:vAlign w:val="center"/>
          </w:tcPr>
          <w:p w14:paraId="57FB0C15" w14:textId="27BA485E" w:rsidR="00870995" w:rsidRDefault="00870995" w:rsidP="00505D73">
            <w:pPr>
              <w:jc w:val="center"/>
              <w:rPr>
                <w:rFonts w:asciiTheme="majorHAnsi" w:hAnsiTheme="majorHAnsi" w:cstheme="majorHAnsi"/>
                <w:sz w:val="20"/>
                <w:szCs w:val="20"/>
              </w:rPr>
            </w:pPr>
            <w:r>
              <w:rPr>
                <w:rFonts w:asciiTheme="majorHAnsi" w:hAnsiTheme="majorHAnsi" w:cstheme="majorHAnsi"/>
                <w:sz w:val="20"/>
                <w:szCs w:val="20"/>
              </w:rPr>
              <w:lastRenderedPageBreak/>
              <w:t>Djelomično prihvaćeno</w:t>
            </w:r>
          </w:p>
        </w:tc>
        <w:tc>
          <w:tcPr>
            <w:tcW w:w="3084" w:type="dxa"/>
            <w:vAlign w:val="center"/>
          </w:tcPr>
          <w:p w14:paraId="7764E7FF" w14:textId="6DD05D88" w:rsidR="00870995" w:rsidRDefault="00870995" w:rsidP="0063209B">
            <w:pPr>
              <w:rPr>
                <w:rFonts w:asciiTheme="majorHAnsi" w:hAnsiTheme="majorHAnsi" w:cstheme="majorHAnsi"/>
                <w:sz w:val="20"/>
                <w:szCs w:val="20"/>
              </w:rPr>
            </w:pPr>
            <w:r>
              <w:rPr>
                <w:rFonts w:asciiTheme="majorHAnsi" w:hAnsiTheme="majorHAnsi" w:cstheme="majorHAnsi"/>
                <w:sz w:val="20"/>
                <w:szCs w:val="20"/>
              </w:rPr>
              <w:t>Komentar je djelomično usvojen te se u Strategiju ubacuje formulacija misije i vizije upravljanja imovinom.</w:t>
            </w:r>
          </w:p>
          <w:p w14:paraId="2D1160F6" w14:textId="77777777" w:rsidR="00870995" w:rsidRDefault="00870995" w:rsidP="0063209B">
            <w:pPr>
              <w:rPr>
                <w:rFonts w:asciiTheme="majorHAnsi" w:hAnsiTheme="majorHAnsi" w:cstheme="majorHAnsi"/>
                <w:sz w:val="20"/>
                <w:szCs w:val="20"/>
              </w:rPr>
            </w:pPr>
          </w:p>
          <w:p w14:paraId="636DD617" w14:textId="6DA1139A" w:rsidR="00870995" w:rsidRPr="0063209B" w:rsidRDefault="00870995" w:rsidP="0063209B">
            <w:pPr>
              <w:rPr>
                <w:rFonts w:asciiTheme="majorHAnsi" w:hAnsiTheme="majorHAnsi" w:cstheme="majorHAnsi"/>
                <w:sz w:val="20"/>
                <w:szCs w:val="20"/>
              </w:rPr>
            </w:pPr>
            <w:r w:rsidRPr="0063209B">
              <w:rPr>
                <w:rFonts w:asciiTheme="majorHAnsi" w:hAnsiTheme="majorHAnsi" w:cstheme="majorHAnsi"/>
                <w:sz w:val="20"/>
                <w:szCs w:val="20"/>
              </w:rPr>
              <w:t>MISIJA: efikasno i održivo upravljanje gradskom imovinom kroz optimizaciju alokacije resursa, implementaciju inovativnih rješenja i poticanje suradnje kako bismo unaprijedili dobrobit stanovnika te podržali dugoročni rast i otpornost grada</w:t>
            </w:r>
            <w:r>
              <w:rPr>
                <w:rFonts w:asciiTheme="majorHAnsi" w:hAnsiTheme="majorHAnsi" w:cstheme="majorHAnsi"/>
                <w:sz w:val="20"/>
                <w:szCs w:val="20"/>
              </w:rPr>
              <w:t>.</w:t>
            </w:r>
          </w:p>
          <w:p w14:paraId="07BB29AB" w14:textId="77777777" w:rsidR="00870995" w:rsidRPr="0063209B" w:rsidRDefault="00870995" w:rsidP="0063209B">
            <w:pPr>
              <w:rPr>
                <w:rFonts w:asciiTheme="majorHAnsi" w:hAnsiTheme="majorHAnsi" w:cstheme="majorHAnsi"/>
                <w:sz w:val="20"/>
                <w:szCs w:val="20"/>
              </w:rPr>
            </w:pPr>
          </w:p>
          <w:p w14:paraId="63287E4F" w14:textId="1C280C6E" w:rsidR="00870995" w:rsidRDefault="00870995" w:rsidP="0063209B">
            <w:pPr>
              <w:rPr>
                <w:rFonts w:asciiTheme="majorHAnsi" w:hAnsiTheme="majorHAnsi" w:cstheme="majorHAnsi"/>
                <w:sz w:val="20"/>
                <w:szCs w:val="20"/>
              </w:rPr>
            </w:pPr>
            <w:r w:rsidRPr="0063209B">
              <w:rPr>
                <w:rFonts w:asciiTheme="majorHAnsi" w:hAnsiTheme="majorHAnsi" w:cstheme="majorHAnsi"/>
                <w:sz w:val="20"/>
                <w:szCs w:val="20"/>
              </w:rPr>
              <w:lastRenderedPageBreak/>
              <w:t>VIZIJA: postati model za efikasno i održivo upravljanje gradskom imovinom, gdje strateško donošenje odluka, odgovorno financijsko poslovanje i proaktivno upravljanje resursima doprinose stvaranju grada po mjeri čovjeka, inkluzivnog i ekološki osviještenog grada za sadašnje i buduće generacije</w:t>
            </w:r>
            <w:r>
              <w:rPr>
                <w:rFonts w:asciiTheme="majorHAnsi" w:hAnsiTheme="majorHAnsi" w:cstheme="majorHAnsi"/>
                <w:sz w:val="20"/>
                <w:szCs w:val="20"/>
              </w:rPr>
              <w:t>.</w:t>
            </w:r>
          </w:p>
          <w:p w14:paraId="550B794A" w14:textId="332BF30D" w:rsidR="00870995" w:rsidRPr="00A55E86" w:rsidRDefault="00870995" w:rsidP="0063209B">
            <w:pPr>
              <w:rPr>
                <w:rFonts w:asciiTheme="majorHAnsi" w:hAnsiTheme="majorHAnsi" w:cstheme="majorHAnsi"/>
                <w:sz w:val="20"/>
                <w:szCs w:val="20"/>
              </w:rPr>
            </w:pPr>
          </w:p>
        </w:tc>
      </w:tr>
      <w:tr w:rsidR="00870995" w:rsidRPr="00505D73" w14:paraId="20A32806" w14:textId="77777777" w:rsidTr="00C47C2F">
        <w:trPr>
          <w:trHeight w:val="3968"/>
        </w:trPr>
        <w:tc>
          <w:tcPr>
            <w:tcW w:w="490" w:type="dxa"/>
          </w:tcPr>
          <w:p w14:paraId="739E2C13" w14:textId="4B338DA7" w:rsidR="00870995" w:rsidRPr="00505D73" w:rsidRDefault="00870995" w:rsidP="00C46F76">
            <w:pPr>
              <w:rPr>
                <w:rFonts w:asciiTheme="majorHAnsi" w:hAnsiTheme="majorHAnsi" w:cstheme="majorHAnsi"/>
                <w:sz w:val="20"/>
                <w:szCs w:val="20"/>
              </w:rPr>
            </w:pPr>
            <w:r>
              <w:rPr>
                <w:rFonts w:asciiTheme="majorHAnsi" w:hAnsiTheme="majorHAnsi" w:cstheme="majorHAnsi"/>
                <w:sz w:val="20"/>
                <w:szCs w:val="20"/>
              </w:rPr>
              <w:lastRenderedPageBreak/>
              <w:t>16.</w:t>
            </w:r>
          </w:p>
        </w:tc>
        <w:tc>
          <w:tcPr>
            <w:tcW w:w="1460" w:type="dxa"/>
            <w:vMerge w:val="restart"/>
          </w:tcPr>
          <w:p w14:paraId="34F6549D" w14:textId="77777777" w:rsidR="00870995" w:rsidRPr="00F07991" w:rsidRDefault="00870995" w:rsidP="008808A6">
            <w:pPr>
              <w:rPr>
                <w:rFonts w:asciiTheme="majorHAnsi" w:hAnsiTheme="majorHAnsi" w:cstheme="majorHAnsi"/>
                <w:sz w:val="20"/>
                <w:szCs w:val="20"/>
              </w:rPr>
            </w:pPr>
          </w:p>
        </w:tc>
        <w:tc>
          <w:tcPr>
            <w:tcW w:w="7571" w:type="dxa"/>
          </w:tcPr>
          <w:p w14:paraId="234EB6F6" w14:textId="177314EC" w:rsidR="00870995" w:rsidRDefault="00870995" w:rsidP="008808A6">
            <w:pPr>
              <w:rPr>
                <w:rFonts w:asciiTheme="majorHAnsi" w:hAnsiTheme="majorHAnsi" w:cstheme="majorHAnsi"/>
                <w:sz w:val="20"/>
                <w:szCs w:val="20"/>
              </w:rPr>
            </w:pPr>
            <w:r w:rsidRPr="00F07991">
              <w:rPr>
                <w:rFonts w:asciiTheme="majorHAnsi" w:hAnsiTheme="majorHAnsi" w:cstheme="majorHAnsi"/>
                <w:sz w:val="20"/>
                <w:szCs w:val="20"/>
              </w:rPr>
              <w:t>Među strateškim ciljevima trebalo bi stajati korištenje podataka o imovini za pospješivanje poduzetničke aktivnosti. To se postiže objavom registra imovine u formatu otvorenih podataka. Svjetska praksa je pokazala da takav način objave i raspolaganja podacima dovodi po pojačane poduzetničke odnosno gospodarske aktivnosti.</w:t>
            </w:r>
          </w:p>
          <w:p w14:paraId="2F25D1C0" w14:textId="77777777" w:rsidR="00870995" w:rsidRDefault="00870995" w:rsidP="008808A6">
            <w:pPr>
              <w:rPr>
                <w:rFonts w:asciiTheme="majorHAnsi" w:hAnsiTheme="majorHAnsi" w:cstheme="majorHAnsi"/>
                <w:sz w:val="20"/>
                <w:szCs w:val="20"/>
              </w:rPr>
            </w:pPr>
          </w:p>
          <w:p w14:paraId="1DCDB331" w14:textId="77777777" w:rsidR="00870995" w:rsidRDefault="00870995" w:rsidP="008808A6">
            <w:pPr>
              <w:rPr>
                <w:rFonts w:asciiTheme="majorHAnsi" w:hAnsiTheme="majorHAnsi" w:cstheme="majorHAnsi"/>
                <w:sz w:val="20"/>
                <w:szCs w:val="20"/>
              </w:rPr>
            </w:pPr>
            <w:r w:rsidRPr="00DC6B0C">
              <w:rPr>
                <w:rFonts w:asciiTheme="majorHAnsi" w:hAnsiTheme="majorHAnsi" w:cstheme="majorHAnsi"/>
                <w:sz w:val="20"/>
                <w:szCs w:val="20"/>
              </w:rPr>
              <w:t>Još jedan strateški cilj koji bi morao stajati je osiguravanje priuštivog stanovanja - na kraju komentara dajemo osnovne elemente stambene politike usmjerene ka tom cilju.</w:t>
            </w:r>
          </w:p>
          <w:p w14:paraId="05D76EA9" w14:textId="77777777" w:rsidR="00870995" w:rsidRDefault="00870995" w:rsidP="008808A6">
            <w:pPr>
              <w:rPr>
                <w:rFonts w:asciiTheme="majorHAnsi" w:hAnsiTheme="majorHAnsi" w:cstheme="majorHAnsi"/>
                <w:sz w:val="20"/>
                <w:szCs w:val="20"/>
              </w:rPr>
            </w:pPr>
          </w:p>
          <w:p w14:paraId="77601EA3" w14:textId="77777777" w:rsidR="00870995" w:rsidRDefault="00870995" w:rsidP="008808A6">
            <w:pPr>
              <w:rPr>
                <w:rFonts w:asciiTheme="majorHAnsi" w:hAnsiTheme="majorHAnsi" w:cstheme="majorHAnsi"/>
                <w:sz w:val="20"/>
                <w:szCs w:val="20"/>
              </w:rPr>
            </w:pPr>
            <w:r w:rsidRPr="00F33450">
              <w:rPr>
                <w:rFonts w:asciiTheme="majorHAnsi" w:hAnsiTheme="majorHAnsi" w:cstheme="majorHAnsi"/>
                <w:sz w:val="20"/>
                <w:szCs w:val="20"/>
              </w:rPr>
              <w:t>Strateški bi cilj mogao biti i očuvanje imovine koja stvara prihod kako bi se osigurala održivost javnih prihoda i u budućnosti (tj. raspolaganje ključnom imovinom svim prihodovnim aktivnostima, osim prodaje).</w:t>
            </w:r>
          </w:p>
          <w:p w14:paraId="51CAA259" w14:textId="77777777" w:rsidR="00870995" w:rsidRDefault="00870995" w:rsidP="008808A6">
            <w:pPr>
              <w:rPr>
                <w:rFonts w:asciiTheme="majorHAnsi" w:hAnsiTheme="majorHAnsi" w:cstheme="majorHAnsi"/>
                <w:sz w:val="20"/>
                <w:szCs w:val="20"/>
              </w:rPr>
            </w:pPr>
          </w:p>
          <w:p w14:paraId="3D844A20" w14:textId="77777777" w:rsidR="00870995" w:rsidRDefault="00870995" w:rsidP="008808A6">
            <w:pPr>
              <w:rPr>
                <w:rFonts w:asciiTheme="majorHAnsi" w:hAnsiTheme="majorHAnsi" w:cstheme="majorHAnsi"/>
                <w:sz w:val="20"/>
                <w:szCs w:val="20"/>
              </w:rPr>
            </w:pPr>
            <w:r w:rsidRPr="00377A43">
              <w:rPr>
                <w:rFonts w:asciiTheme="majorHAnsi" w:hAnsiTheme="majorHAnsi" w:cstheme="majorHAnsi"/>
                <w:sz w:val="20"/>
                <w:szCs w:val="20"/>
              </w:rPr>
              <w:t>Strateški c</w:t>
            </w:r>
            <w:r>
              <w:rPr>
                <w:rFonts w:asciiTheme="majorHAnsi" w:hAnsiTheme="majorHAnsi" w:cstheme="majorHAnsi"/>
                <w:sz w:val="20"/>
                <w:szCs w:val="20"/>
              </w:rPr>
              <w:t>i</w:t>
            </w:r>
            <w:r w:rsidRPr="00377A43">
              <w:rPr>
                <w:rFonts w:asciiTheme="majorHAnsi" w:hAnsiTheme="majorHAnsi" w:cstheme="majorHAnsi"/>
                <w:sz w:val="20"/>
                <w:szCs w:val="20"/>
              </w:rPr>
              <w:t>lj mogao bi biti kupovina zemljišta (npr. radi izgradnje poduzetničke infrastrukture, koja u Puli nedostaje)</w:t>
            </w:r>
            <w:r>
              <w:rPr>
                <w:rFonts w:asciiTheme="majorHAnsi" w:hAnsiTheme="majorHAnsi" w:cstheme="majorHAnsi"/>
                <w:sz w:val="20"/>
                <w:szCs w:val="20"/>
              </w:rPr>
              <w:t>.</w:t>
            </w:r>
          </w:p>
          <w:p w14:paraId="160DC765" w14:textId="171C91A8" w:rsidR="00870995" w:rsidRPr="000802BC" w:rsidRDefault="00870995" w:rsidP="008808A6">
            <w:pPr>
              <w:rPr>
                <w:rFonts w:asciiTheme="majorHAnsi" w:hAnsiTheme="majorHAnsi" w:cstheme="majorHAnsi"/>
                <w:sz w:val="20"/>
                <w:szCs w:val="20"/>
              </w:rPr>
            </w:pPr>
            <w:r w:rsidRPr="0073336B">
              <w:rPr>
                <w:rFonts w:asciiTheme="majorHAnsi" w:hAnsiTheme="majorHAnsi" w:cstheme="majorHAnsi"/>
                <w:sz w:val="20"/>
                <w:szCs w:val="20"/>
              </w:rPr>
              <w:t>Svi navedeni brojni “posebni ciljevi” u tekstu Strategije su, zapravo, mjere, a ne ciljevi.</w:t>
            </w:r>
          </w:p>
        </w:tc>
        <w:tc>
          <w:tcPr>
            <w:tcW w:w="1389" w:type="dxa"/>
            <w:vAlign w:val="center"/>
          </w:tcPr>
          <w:p w14:paraId="29A73626" w14:textId="6D8B2700" w:rsidR="00870995" w:rsidRPr="00E31F46" w:rsidRDefault="00870995" w:rsidP="00505D73">
            <w:pPr>
              <w:jc w:val="center"/>
              <w:rPr>
                <w:rFonts w:asciiTheme="majorHAnsi" w:hAnsiTheme="majorHAnsi" w:cstheme="majorHAnsi"/>
                <w:sz w:val="20"/>
                <w:szCs w:val="20"/>
                <w:highlight w:val="yellow"/>
              </w:rPr>
            </w:pPr>
            <w:r w:rsidRPr="00EE131F">
              <w:rPr>
                <w:rFonts w:asciiTheme="majorHAnsi" w:hAnsiTheme="majorHAnsi" w:cstheme="majorHAnsi"/>
                <w:sz w:val="20"/>
                <w:szCs w:val="20"/>
              </w:rPr>
              <w:t>Pojašnjeno</w:t>
            </w:r>
          </w:p>
        </w:tc>
        <w:tc>
          <w:tcPr>
            <w:tcW w:w="3084" w:type="dxa"/>
            <w:vAlign w:val="center"/>
          </w:tcPr>
          <w:p w14:paraId="5CFC8A8F" w14:textId="32CD66C2" w:rsidR="00870995" w:rsidRDefault="00870995" w:rsidP="00146989">
            <w:pPr>
              <w:rPr>
                <w:rFonts w:asciiTheme="majorHAnsi" w:hAnsiTheme="majorHAnsi" w:cstheme="majorHAnsi"/>
                <w:sz w:val="20"/>
                <w:szCs w:val="20"/>
              </w:rPr>
            </w:pPr>
            <w:r>
              <w:rPr>
                <w:rFonts w:asciiTheme="majorHAnsi" w:hAnsiTheme="majorHAnsi" w:cstheme="majorHAnsi"/>
                <w:sz w:val="20"/>
                <w:szCs w:val="20"/>
              </w:rPr>
              <w:t>Komentarom nije precizirano</w:t>
            </w:r>
            <w:r w:rsidRPr="00845429">
              <w:rPr>
                <w:rFonts w:asciiTheme="majorHAnsi" w:hAnsiTheme="majorHAnsi" w:cstheme="majorHAnsi"/>
                <w:sz w:val="20"/>
                <w:szCs w:val="20"/>
              </w:rPr>
              <w:t xml:space="preserve"> koja svjetska praksa</w:t>
            </w:r>
            <w:r>
              <w:rPr>
                <w:rFonts w:asciiTheme="majorHAnsi" w:hAnsiTheme="majorHAnsi" w:cstheme="majorHAnsi"/>
                <w:sz w:val="20"/>
                <w:szCs w:val="20"/>
              </w:rPr>
              <w:t xml:space="preserve"> pokazuje pozitivne učinke objavom registra imovine u formatu otvorenih podataka.</w:t>
            </w:r>
            <w:r w:rsidRPr="00845429">
              <w:rPr>
                <w:rFonts w:asciiTheme="majorHAnsi" w:hAnsiTheme="majorHAnsi" w:cstheme="majorHAnsi"/>
                <w:sz w:val="20"/>
                <w:szCs w:val="20"/>
              </w:rPr>
              <w:t xml:space="preserve"> </w:t>
            </w:r>
            <w:r>
              <w:rPr>
                <w:rFonts w:asciiTheme="majorHAnsi" w:hAnsiTheme="majorHAnsi" w:cstheme="majorHAnsi"/>
                <w:sz w:val="20"/>
                <w:szCs w:val="20"/>
              </w:rPr>
              <w:t>O</w:t>
            </w:r>
            <w:r w:rsidRPr="00845429">
              <w:rPr>
                <w:rFonts w:asciiTheme="majorHAnsi" w:hAnsiTheme="majorHAnsi" w:cstheme="majorHAnsi"/>
                <w:sz w:val="20"/>
                <w:szCs w:val="20"/>
              </w:rPr>
              <w:t>b</w:t>
            </w:r>
            <w:r>
              <w:rPr>
                <w:rFonts w:asciiTheme="majorHAnsi" w:hAnsiTheme="majorHAnsi" w:cstheme="majorHAnsi"/>
                <w:sz w:val="20"/>
                <w:szCs w:val="20"/>
              </w:rPr>
              <w:t>j</w:t>
            </w:r>
            <w:r w:rsidRPr="00845429">
              <w:rPr>
                <w:rFonts w:asciiTheme="majorHAnsi" w:hAnsiTheme="majorHAnsi" w:cstheme="majorHAnsi"/>
                <w:sz w:val="20"/>
                <w:szCs w:val="20"/>
              </w:rPr>
              <w:t>avljivanjem popisa imovine mora se otvoriti i pristup podacima tko koristi</w:t>
            </w:r>
            <w:r>
              <w:rPr>
                <w:rFonts w:asciiTheme="majorHAnsi" w:hAnsiTheme="majorHAnsi" w:cstheme="majorHAnsi"/>
                <w:sz w:val="20"/>
                <w:szCs w:val="20"/>
              </w:rPr>
              <w:t>,</w:t>
            </w:r>
            <w:r w:rsidRPr="00845429">
              <w:rPr>
                <w:rFonts w:asciiTheme="majorHAnsi" w:hAnsiTheme="majorHAnsi" w:cstheme="majorHAnsi"/>
                <w:sz w:val="20"/>
                <w:szCs w:val="20"/>
              </w:rPr>
              <w:t xml:space="preserve"> </w:t>
            </w:r>
            <w:r>
              <w:rPr>
                <w:rFonts w:asciiTheme="majorHAnsi" w:hAnsiTheme="majorHAnsi" w:cstheme="majorHAnsi"/>
                <w:sz w:val="20"/>
                <w:szCs w:val="20"/>
              </w:rPr>
              <w:t>primjerice,</w:t>
            </w:r>
            <w:r w:rsidRPr="00845429">
              <w:rPr>
                <w:rFonts w:asciiTheme="majorHAnsi" w:hAnsiTheme="majorHAnsi" w:cstheme="majorHAnsi"/>
                <w:sz w:val="20"/>
                <w:szCs w:val="20"/>
              </w:rPr>
              <w:t xml:space="preserve"> stanove</w:t>
            </w:r>
            <w:r>
              <w:rPr>
                <w:rFonts w:asciiTheme="majorHAnsi" w:hAnsiTheme="majorHAnsi" w:cstheme="majorHAnsi"/>
                <w:sz w:val="20"/>
                <w:szCs w:val="20"/>
              </w:rPr>
              <w:t>,</w:t>
            </w:r>
            <w:r w:rsidRPr="00845429">
              <w:rPr>
                <w:rFonts w:asciiTheme="majorHAnsi" w:hAnsiTheme="majorHAnsi" w:cstheme="majorHAnsi"/>
                <w:sz w:val="20"/>
                <w:szCs w:val="20"/>
              </w:rPr>
              <w:t xml:space="preserve"> imenom i prezimenom</w:t>
            </w:r>
            <w:r>
              <w:rPr>
                <w:rFonts w:asciiTheme="majorHAnsi" w:hAnsiTheme="majorHAnsi" w:cstheme="majorHAnsi"/>
                <w:sz w:val="20"/>
                <w:szCs w:val="20"/>
              </w:rPr>
              <w:t>,</w:t>
            </w:r>
            <w:r w:rsidRPr="00845429">
              <w:rPr>
                <w:rFonts w:asciiTheme="majorHAnsi" w:hAnsiTheme="majorHAnsi" w:cstheme="majorHAnsi"/>
                <w:sz w:val="20"/>
                <w:szCs w:val="20"/>
              </w:rPr>
              <w:t xml:space="preserve"> što podrazumijeva javno objavljivanje osobnih podataka</w:t>
            </w:r>
            <w:r>
              <w:rPr>
                <w:rFonts w:asciiTheme="majorHAnsi" w:hAnsiTheme="majorHAnsi" w:cstheme="majorHAnsi"/>
                <w:sz w:val="20"/>
                <w:szCs w:val="20"/>
              </w:rPr>
              <w:t>.</w:t>
            </w:r>
          </w:p>
          <w:p w14:paraId="7C3CAE1D" w14:textId="77777777" w:rsidR="00870995" w:rsidRDefault="00870995" w:rsidP="00146989">
            <w:pPr>
              <w:rPr>
                <w:rFonts w:asciiTheme="majorHAnsi" w:hAnsiTheme="majorHAnsi" w:cstheme="majorHAnsi"/>
                <w:sz w:val="20"/>
                <w:szCs w:val="20"/>
              </w:rPr>
            </w:pPr>
          </w:p>
          <w:p w14:paraId="2E10D571" w14:textId="08E3ED75" w:rsidR="00870995" w:rsidRDefault="00870995" w:rsidP="0055469B">
            <w:pPr>
              <w:rPr>
                <w:rFonts w:asciiTheme="majorHAnsi" w:hAnsiTheme="majorHAnsi" w:cstheme="majorHAnsi"/>
                <w:sz w:val="20"/>
                <w:szCs w:val="20"/>
              </w:rPr>
            </w:pPr>
            <w:r>
              <w:rPr>
                <w:rFonts w:asciiTheme="majorHAnsi" w:hAnsiTheme="majorHAnsi" w:cstheme="majorHAnsi"/>
                <w:sz w:val="20"/>
                <w:szCs w:val="20"/>
              </w:rPr>
              <w:t xml:space="preserve">Korištenje podataka o imovini za pospješivanje poduzetničke aktivnosti kroz mehanizam registra imovine uklapa se u strateške i posebne ciljeve Strategije, posebice posebne ciljeve 2.3. </w:t>
            </w:r>
            <w:r w:rsidRPr="0055469B">
              <w:rPr>
                <w:rFonts w:asciiTheme="majorHAnsi" w:hAnsiTheme="majorHAnsi" w:cstheme="majorHAnsi"/>
                <w:i/>
                <w:iCs/>
                <w:sz w:val="20"/>
                <w:szCs w:val="20"/>
              </w:rPr>
              <w:t>Uspostava popisa imovine u vlasništvu Grada koju koriste proračunski korisnici</w:t>
            </w:r>
            <w:r>
              <w:rPr>
                <w:rFonts w:asciiTheme="majorHAnsi" w:hAnsiTheme="majorHAnsi" w:cstheme="majorHAnsi"/>
                <w:i/>
                <w:iCs/>
                <w:sz w:val="20"/>
                <w:szCs w:val="20"/>
              </w:rPr>
              <w:t>,</w:t>
            </w:r>
            <w:r>
              <w:rPr>
                <w:rFonts w:asciiTheme="majorHAnsi" w:hAnsiTheme="majorHAnsi" w:cstheme="majorHAnsi"/>
                <w:sz w:val="20"/>
                <w:szCs w:val="20"/>
              </w:rPr>
              <w:t xml:space="preserve"> 2.4. </w:t>
            </w:r>
            <w:r w:rsidRPr="0055469B">
              <w:rPr>
                <w:rFonts w:asciiTheme="majorHAnsi" w:hAnsiTheme="majorHAnsi" w:cstheme="majorHAnsi"/>
                <w:i/>
                <w:iCs/>
                <w:sz w:val="20"/>
                <w:szCs w:val="20"/>
              </w:rPr>
              <w:t xml:space="preserve">Uspostava popisa imovine u </w:t>
            </w:r>
            <w:r w:rsidRPr="0055469B">
              <w:rPr>
                <w:rFonts w:asciiTheme="majorHAnsi" w:hAnsiTheme="majorHAnsi" w:cstheme="majorHAnsi"/>
                <w:i/>
                <w:iCs/>
                <w:sz w:val="20"/>
                <w:szCs w:val="20"/>
              </w:rPr>
              <w:lastRenderedPageBreak/>
              <w:t>vlasništvu proračunskih korisnika</w:t>
            </w:r>
            <w:r>
              <w:rPr>
                <w:rFonts w:asciiTheme="majorHAnsi" w:hAnsiTheme="majorHAnsi" w:cstheme="majorHAnsi"/>
                <w:i/>
                <w:iCs/>
                <w:sz w:val="20"/>
                <w:szCs w:val="20"/>
              </w:rPr>
              <w:t xml:space="preserve">, </w:t>
            </w:r>
            <w:r w:rsidRPr="0098123F">
              <w:rPr>
                <w:rFonts w:asciiTheme="majorHAnsi" w:hAnsiTheme="majorHAnsi" w:cstheme="majorHAnsi"/>
                <w:i/>
                <w:iCs/>
                <w:sz w:val="20"/>
                <w:szCs w:val="20"/>
              </w:rPr>
              <w:t>3.3. Usklađivanje podataka i povezivanje imovinskih evidencija putem identifikacijskih brojeva</w:t>
            </w:r>
            <w:r>
              <w:rPr>
                <w:rFonts w:asciiTheme="majorHAnsi" w:hAnsiTheme="majorHAnsi" w:cstheme="majorHAnsi"/>
                <w:i/>
                <w:iCs/>
                <w:sz w:val="20"/>
                <w:szCs w:val="20"/>
              </w:rPr>
              <w:t xml:space="preserve">, </w:t>
            </w:r>
            <w:r w:rsidRPr="001D4925">
              <w:rPr>
                <w:rFonts w:asciiTheme="majorHAnsi" w:hAnsiTheme="majorHAnsi" w:cstheme="majorHAnsi"/>
                <w:i/>
                <w:iCs/>
                <w:sz w:val="20"/>
                <w:szCs w:val="20"/>
              </w:rPr>
              <w:t>3.5. Izrada pisane procedure o ovlasti i obvezi unošenja dokumentacije u registar nekretnina - vlasnički list, uporabna dozvola, ugovori, elaborati</w:t>
            </w:r>
            <w:r w:rsidRPr="0055469B">
              <w:rPr>
                <w:rFonts w:asciiTheme="majorHAnsi" w:hAnsiTheme="majorHAnsi" w:cstheme="majorHAnsi"/>
                <w:sz w:val="20"/>
                <w:szCs w:val="20"/>
              </w:rPr>
              <w:t>.</w:t>
            </w:r>
          </w:p>
          <w:p w14:paraId="785030AC" w14:textId="77777777" w:rsidR="00870995" w:rsidRDefault="00870995" w:rsidP="00146989">
            <w:pPr>
              <w:rPr>
                <w:rFonts w:asciiTheme="majorHAnsi" w:hAnsiTheme="majorHAnsi" w:cstheme="majorHAnsi"/>
                <w:sz w:val="20"/>
                <w:szCs w:val="20"/>
              </w:rPr>
            </w:pPr>
          </w:p>
          <w:p w14:paraId="625B2BC3" w14:textId="77777777" w:rsidR="00870995" w:rsidRDefault="00870995" w:rsidP="003D0623">
            <w:pPr>
              <w:rPr>
                <w:rFonts w:asciiTheme="majorHAnsi" w:hAnsiTheme="majorHAnsi" w:cstheme="majorHAnsi"/>
                <w:sz w:val="20"/>
                <w:szCs w:val="20"/>
              </w:rPr>
            </w:pPr>
            <w:r>
              <w:rPr>
                <w:rFonts w:asciiTheme="majorHAnsi" w:hAnsiTheme="majorHAnsi" w:cstheme="majorHAnsi"/>
                <w:sz w:val="20"/>
                <w:szCs w:val="20"/>
              </w:rPr>
              <w:t xml:space="preserve">Priuštivo </w:t>
            </w:r>
            <w:r w:rsidRPr="00E20653">
              <w:rPr>
                <w:rFonts w:asciiTheme="majorHAnsi" w:hAnsiTheme="majorHAnsi" w:cstheme="majorHAnsi"/>
                <w:sz w:val="20"/>
                <w:szCs w:val="20"/>
              </w:rPr>
              <w:t>stanovanje je širok i nedefiniran pojam</w:t>
            </w:r>
            <w:r>
              <w:rPr>
                <w:rFonts w:asciiTheme="majorHAnsi" w:hAnsiTheme="majorHAnsi" w:cstheme="majorHAnsi"/>
                <w:sz w:val="20"/>
                <w:szCs w:val="20"/>
              </w:rPr>
              <w:t xml:space="preserve">, stoga je u formulaciji naveden </w:t>
            </w:r>
            <w:r w:rsidRPr="00D9043F">
              <w:rPr>
                <w:rFonts w:asciiTheme="majorHAnsi" w:hAnsiTheme="majorHAnsi" w:cstheme="majorHAnsi"/>
                <w:i/>
                <w:iCs/>
                <w:sz w:val="20"/>
                <w:szCs w:val="20"/>
              </w:rPr>
              <w:t>Razvoj stambene politike</w:t>
            </w:r>
            <w:r>
              <w:rPr>
                <w:rFonts w:asciiTheme="majorHAnsi" w:hAnsiTheme="majorHAnsi" w:cstheme="majorHAnsi"/>
                <w:sz w:val="20"/>
                <w:szCs w:val="20"/>
              </w:rPr>
              <w:t xml:space="preserve"> kao</w:t>
            </w:r>
            <w:r w:rsidRPr="00E20653">
              <w:rPr>
                <w:rFonts w:asciiTheme="majorHAnsi" w:hAnsiTheme="majorHAnsi" w:cstheme="majorHAnsi"/>
                <w:sz w:val="20"/>
                <w:szCs w:val="20"/>
              </w:rPr>
              <w:t xml:space="preserve"> </w:t>
            </w:r>
            <w:r>
              <w:rPr>
                <w:rFonts w:asciiTheme="majorHAnsi" w:hAnsiTheme="majorHAnsi" w:cstheme="majorHAnsi"/>
                <w:sz w:val="20"/>
                <w:szCs w:val="20"/>
              </w:rPr>
              <w:t>jedan je od posebnih ciljeva koji spadaju unutar strat</w:t>
            </w:r>
            <w:r w:rsidRPr="00E20653">
              <w:rPr>
                <w:rFonts w:asciiTheme="majorHAnsi" w:hAnsiTheme="majorHAnsi" w:cstheme="majorHAnsi"/>
                <w:sz w:val="20"/>
                <w:szCs w:val="20"/>
              </w:rPr>
              <w:t>eš</w:t>
            </w:r>
            <w:r>
              <w:rPr>
                <w:rFonts w:asciiTheme="majorHAnsi" w:hAnsiTheme="majorHAnsi" w:cstheme="majorHAnsi"/>
                <w:sz w:val="20"/>
                <w:szCs w:val="20"/>
              </w:rPr>
              <w:t>kog</w:t>
            </w:r>
            <w:r w:rsidRPr="00E20653">
              <w:rPr>
                <w:rFonts w:asciiTheme="majorHAnsi" w:hAnsiTheme="majorHAnsi" w:cstheme="majorHAnsi"/>
                <w:sz w:val="20"/>
                <w:szCs w:val="20"/>
              </w:rPr>
              <w:t xml:space="preserve"> cilj</w:t>
            </w:r>
            <w:r>
              <w:rPr>
                <w:rFonts w:asciiTheme="majorHAnsi" w:hAnsiTheme="majorHAnsi" w:cstheme="majorHAnsi"/>
                <w:sz w:val="20"/>
                <w:szCs w:val="20"/>
              </w:rPr>
              <w:t>a</w:t>
            </w:r>
            <w:r w:rsidRPr="00E20653">
              <w:rPr>
                <w:rFonts w:asciiTheme="majorHAnsi" w:hAnsiTheme="majorHAnsi" w:cstheme="majorHAnsi"/>
                <w:sz w:val="20"/>
                <w:szCs w:val="20"/>
              </w:rPr>
              <w:t xml:space="preserve"> 4 </w:t>
            </w:r>
            <w:r w:rsidRPr="00FD39BA">
              <w:rPr>
                <w:rFonts w:asciiTheme="majorHAnsi" w:hAnsiTheme="majorHAnsi" w:cstheme="majorHAnsi"/>
                <w:sz w:val="20"/>
                <w:szCs w:val="20"/>
              </w:rPr>
              <w:t xml:space="preserve">- </w:t>
            </w:r>
            <w:r w:rsidRPr="00B0711D">
              <w:rPr>
                <w:rFonts w:asciiTheme="majorHAnsi" w:hAnsiTheme="majorHAnsi" w:cstheme="majorHAnsi"/>
                <w:i/>
                <w:iCs/>
                <w:sz w:val="20"/>
                <w:szCs w:val="20"/>
              </w:rPr>
              <w:t>Regeneracija izgrađenog urbanog prostora</w:t>
            </w:r>
            <w:r w:rsidRPr="00E20653">
              <w:rPr>
                <w:rFonts w:asciiTheme="majorHAnsi" w:hAnsiTheme="majorHAnsi" w:cstheme="majorHAnsi"/>
                <w:sz w:val="20"/>
                <w:szCs w:val="20"/>
              </w:rPr>
              <w:t xml:space="preserve">, </w:t>
            </w:r>
            <w:r>
              <w:rPr>
                <w:rFonts w:asciiTheme="majorHAnsi" w:hAnsiTheme="majorHAnsi" w:cstheme="majorHAnsi"/>
                <w:sz w:val="20"/>
                <w:szCs w:val="20"/>
              </w:rPr>
              <w:t xml:space="preserve">a koji zajedno s ostalim posebnim ciljevima unutar ovog strateškog cilja doprinosi osiguravanju priuštivog stanovanja. </w:t>
            </w:r>
          </w:p>
          <w:p w14:paraId="585A9042" w14:textId="77777777" w:rsidR="00870995" w:rsidRDefault="00870995" w:rsidP="003D0623">
            <w:pPr>
              <w:rPr>
                <w:rFonts w:asciiTheme="majorHAnsi" w:hAnsiTheme="majorHAnsi" w:cstheme="majorHAnsi"/>
                <w:sz w:val="20"/>
                <w:szCs w:val="20"/>
              </w:rPr>
            </w:pPr>
          </w:p>
          <w:p w14:paraId="58648274" w14:textId="77777777" w:rsidR="00870995" w:rsidRDefault="00870995" w:rsidP="003D0623">
            <w:pPr>
              <w:rPr>
                <w:rFonts w:asciiTheme="majorHAnsi" w:hAnsiTheme="majorHAnsi" w:cstheme="majorHAnsi"/>
                <w:sz w:val="20"/>
                <w:szCs w:val="20"/>
              </w:rPr>
            </w:pPr>
            <w:r>
              <w:rPr>
                <w:rFonts w:asciiTheme="majorHAnsi" w:hAnsiTheme="majorHAnsi" w:cstheme="majorHAnsi"/>
                <w:sz w:val="20"/>
                <w:szCs w:val="20"/>
              </w:rPr>
              <w:t>Komentarom nije precizirano što predlagatelj smatra „ključnom imovinom“.</w:t>
            </w:r>
          </w:p>
          <w:p w14:paraId="2EFB87DE" w14:textId="77777777" w:rsidR="00870995" w:rsidRDefault="00870995" w:rsidP="003D0623">
            <w:pPr>
              <w:rPr>
                <w:rFonts w:asciiTheme="majorHAnsi" w:hAnsiTheme="majorHAnsi" w:cstheme="majorHAnsi"/>
                <w:sz w:val="20"/>
                <w:szCs w:val="20"/>
              </w:rPr>
            </w:pPr>
          </w:p>
          <w:p w14:paraId="0ED51C16" w14:textId="4BA7F14D" w:rsidR="00870995" w:rsidRPr="00A55E86" w:rsidRDefault="00870995" w:rsidP="003D0623">
            <w:pPr>
              <w:rPr>
                <w:rFonts w:asciiTheme="majorHAnsi" w:hAnsiTheme="majorHAnsi" w:cstheme="majorHAnsi"/>
                <w:sz w:val="20"/>
                <w:szCs w:val="20"/>
              </w:rPr>
            </w:pPr>
            <w:r>
              <w:rPr>
                <w:rFonts w:asciiTheme="majorHAnsi" w:hAnsiTheme="majorHAnsi" w:cstheme="majorHAnsi"/>
                <w:sz w:val="20"/>
                <w:szCs w:val="20"/>
              </w:rPr>
              <w:t>U tekst Strategije dodat će se mogućnost kupovine imovine u svrhu realizacije javnih i društvenih sadržaja.</w:t>
            </w:r>
          </w:p>
        </w:tc>
      </w:tr>
      <w:tr w:rsidR="00870995" w:rsidRPr="00505D73" w14:paraId="20A2D525" w14:textId="77777777" w:rsidTr="00C47C2F">
        <w:tc>
          <w:tcPr>
            <w:tcW w:w="490" w:type="dxa"/>
          </w:tcPr>
          <w:p w14:paraId="3F3DC428" w14:textId="243E7B9A" w:rsidR="00870995" w:rsidRPr="00505D73" w:rsidRDefault="00870995" w:rsidP="00C46F76">
            <w:pPr>
              <w:rPr>
                <w:rFonts w:asciiTheme="majorHAnsi" w:hAnsiTheme="majorHAnsi" w:cstheme="majorHAnsi"/>
                <w:sz w:val="20"/>
                <w:szCs w:val="20"/>
              </w:rPr>
            </w:pPr>
            <w:r>
              <w:rPr>
                <w:rFonts w:asciiTheme="majorHAnsi" w:hAnsiTheme="majorHAnsi" w:cstheme="majorHAnsi"/>
                <w:sz w:val="20"/>
                <w:szCs w:val="20"/>
              </w:rPr>
              <w:lastRenderedPageBreak/>
              <w:t>17.</w:t>
            </w:r>
          </w:p>
        </w:tc>
        <w:tc>
          <w:tcPr>
            <w:tcW w:w="1460" w:type="dxa"/>
            <w:vMerge/>
          </w:tcPr>
          <w:p w14:paraId="1671DED6" w14:textId="77777777" w:rsidR="00870995" w:rsidRPr="000802BC" w:rsidRDefault="00870995" w:rsidP="000802BC">
            <w:pPr>
              <w:rPr>
                <w:rFonts w:asciiTheme="majorHAnsi" w:hAnsiTheme="majorHAnsi" w:cstheme="majorHAnsi"/>
                <w:sz w:val="20"/>
                <w:szCs w:val="20"/>
              </w:rPr>
            </w:pPr>
          </w:p>
        </w:tc>
        <w:tc>
          <w:tcPr>
            <w:tcW w:w="7571" w:type="dxa"/>
          </w:tcPr>
          <w:p w14:paraId="37532FB9" w14:textId="7AAE9408" w:rsidR="00870995" w:rsidRPr="000802BC" w:rsidRDefault="00870995" w:rsidP="000802BC">
            <w:pPr>
              <w:rPr>
                <w:rFonts w:asciiTheme="majorHAnsi" w:hAnsiTheme="majorHAnsi" w:cstheme="majorHAnsi"/>
                <w:sz w:val="20"/>
                <w:szCs w:val="20"/>
              </w:rPr>
            </w:pPr>
            <w:r w:rsidRPr="000802BC">
              <w:rPr>
                <w:rFonts w:asciiTheme="majorHAnsi" w:hAnsiTheme="majorHAnsi" w:cstheme="majorHAnsi"/>
                <w:sz w:val="20"/>
                <w:szCs w:val="20"/>
              </w:rPr>
              <w:t>NEDOSTAJE DINAMIKA PROVEDBE STRATEGIJE</w:t>
            </w:r>
          </w:p>
          <w:p w14:paraId="3F9B198F" w14:textId="0D5A9B7C" w:rsidR="00870995" w:rsidRPr="009226D6" w:rsidRDefault="00870995" w:rsidP="000802BC">
            <w:pPr>
              <w:rPr>
                <w:rFonts w:asciiTheme="majorHAnsi" w:hAnsiTheme="majorHAnsi" w:cstheme="majorHAnsi"/>
                <w:sz w:val="20"/>
                <w:szCs w:val="20"/>
              </w:rPr>
            </w:pPr>
            <w:r w:rsidRPr="000802BC">
              <w:rPr>
                <w:rFonts w:asciiTheme="majorHAnsi" w:hAnsiTheme="majorHAnsi" w:cstheme="majorHAnsi"/>
                <w:sz w:val="20"/>
                <w:szCs w:val="20"/>
              </w:rPr>
              <w:t>Predloženoj strategiji nedostaju rokovi planirane provedbe zacrtanih ciljeva. Svaka bi strategija trebala imati uz mjere za postizanje strateških ciljeva i dinamiku provedbe strategije, tj. kako se i kada planiraju postići strateški ciljevi u roku za koji je izrađena strategija. Jedino se tako može pratiti uspješnost njene primjene, odnosno kontrolirati i evaluirati.</w:t>
            </w:r>
          </w:p>
        </w:tc>
        <w:tc>
          <w:tcPr>
            <w:tcW w:w="1389" w:type="dxa"/>
            <w:vAlign w:val="center"/>
          </w:tcPr>
          <w:p w14:paraId="3C30536C" w14:textId="4F1245AF" w:rsidR="00870995" w:rsidRDefault="00870995" w:rsidP="00505D73">
            <w:pPr>
              <w:jc w:val="center"/>
              <w:rPr>
                <w:rFonts w:asciiTheme="majorHAnsi" w:hAnsiTheme="majorHAnsi" w:cstheme="majorHAnsi"/>
                <w:sz w:val="20"/>
                <w:szCs w:val="20"/>
              </w:rPr>
            </w:pPr>
            <w:r>
              <w:rPr>
                <w:rFonts w:asciiTheme="majorHAnsi" w:hAnsiTheme="majorHAnsi" w:cstheme="majorHAnsi"/>
                <w:sz w:val="20"/>
                <w:szCs w:val="20"/>
              </w:rPr>
              <w:t>Pojašnjeno</w:t>
            </w:r>
          </w:p>
        </w:tc>
        <w:tc>
          <w:tcPr>
            <w:tcW w:w="3084" w:type="dxa"/>
            <w:vAlign w:val="center"/>
          </w:tcPr>
          <w:p w14:paraId="24FD3339" w14:textId="62DC9269" w:rsidR="00870995" w:rsidRPr="00A55E86" w:rsidRDefault="00870995" w:rsidP="00146989">
            <w:pPr>
              <w:rPr>
                <w:rFonts w:asciiTheme="majorHAnsi" w:hAnsiTheme="majorHAnsi" w:cstheme="majorHAnsi"/>
                <w:sz w:val="20"/>
                <w:szCs w:val="20"/>
              </w:rPr>
            </w:pPr>
            <w:r>
              <w:rPr>
                <w:rFonts w:asciiTheme="majorHAnsi" w:hAnsiTheme="majorHAnsi" w:cstheme="majorHAnsi"/>
                <w:sz w:val="20"/>
                <w:szCs w:val="20"/>
              </w:rPr>
              <w:t xml:space="preserve">Dinamika provedbe Strategije definirat će se kroz Godišnje planove. </w:t>
            </w:r>
          </w:p>
        </w:tc>
      </w:tr>
      <w:tr w:rsidR="00870995" w:rsidRPr="00505D73" w14:paraId="10307525" w14:textId="77777777" w:rsidTr="00C47C2F">
        <w:tc>
          <w:tcPr>
            <w:tcW w:w="490" w:type="dxa"/>
          </w:tcPr>
          <w:p w14:paraId="673ABB8F" w14:textId="2748F0FB" w:rsidR="00870995" w:rsidRPr="00505D73" w:rsidRDefault="00870995" w:rsidP="00F1098A">
            <w:pPr>
              <w:rPr>
                <w:rFonts w:asciiTheme="majorHAnsi" w:hAnsiTheme="majorHAnsi" w:cstheme="majorHAnsi"/>
                <w:sz w:val="20"/>
                <w:szCs w:val="20"/>
              </w:rPr>
            </w:pPr>
            <w:r>
              <w:rPr>
                <w:rFonts w:asciiTheme="majorHAnsi" w:hAnsiTheme="majorHAnsi" w:cstheme="majorHAnsi"/>
                <w:sz w:val="20"/>
                <w:szCs w:val="20"/>
              </w:rPr>
              <w:lastRenderedPageBreak/>
              <w:t>18.</w:t>
            </w:r>
          </w:p>
        </w:tc>
        <w:tc>
          <w:tcPr>
            <w:tcW w:w="1460" w:type="dxa"/>
            <w:vMerge/>
          </w:tcPr>
          <w:p w14:paraId="7F070D47" w14:textId="77777777" w:rsidR="00870995" w:rsidRPr="00FB1328" w:rsidRDefault="00870995" w:rsidP="00F1098A">
            <w:pPr>
              <w:rPr>
                <w:rFonts w:asciiTheme="majorHAnsi" w:hAnsiTheme="majorHAnsi" w:cstheme="majorHAnsi"/>
                <w:sz w:val="20"/>
                <w:szCs w:val="20"/>
              </w:rPr>
            </w:pPr>
          </w:p>
        </w:tc>
        <w:tc>
          <w:tcPr>
            <w:tcW w:w="7571" w:type="dxa"/>
          </w:tcPr>
          <w:p w14:paraId="6AA5F3FE" w14:textId="0D39D758"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OBLICI IMOVINE U VLASNIŠTVU GRADA PULE - nema popisa imovine, a nisu navedeni ni svi oblici imovine</w:t>
            </w:r>
            <w:r>
              <w:rPr>
                <w:rFonts w:asciiTheme="majorHAnsi" w:hAnsiTheme="majorHAnsi" w:cstheme="majorHAnsi"/>
                <w:sz w:val="20"/>
                <w:szCs w:val="20"/>
              </w:rPr>
              <w:t>.</w:t>
            </w:r>
          </w:p>
          <w:p w14:paraId="7B8E499C" w14:textId="77777777" w:rsidR="00870995" w:rsidRPr="00FB1328" w:rsidRDefault="00870995" w:rsidP="00F1098A">
            <w:pPr>
              <w:rPr>
                <w:rFonts w:asciiTheme="majorHAnsi" w:hAnsiTheme="majorHAnsi" w:cstheme="majorHAnsi"/>
                <w:sz w:val="20"/>
                <w:szCs w:val="20"/>
              </w:rPr>
            </w:pPr>
          </w:p>
          <w:p w14:paraId="1CAAECEC" w14:textId="77777777"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U Poglavlju 5.1 Inventura imovine - piše da je tek potrebno provesti inventuru i da nisu sve nekretnine uvedene u Registar nekretnina Grada.</w:t>
            </w:r>
          </w:p>
          <w:p w14:paraId="644FC7F7" w14:textId="77777777"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 xml:space="preserve">Na temelju čega se predlaže Strategija upravljanja imovinom, ako ne postoji popis imovine? </w:t>
            </w:r>
          </w:p>
          <w:p w14:paraId="63B72B57" w14:textId="0B047E30"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To je temeljni nedostatak ovog dokumenta koji nazivate Strategijom - nedostatak  opisa (inventure) i analize postojećeg stanja. Naime, s obzirom na dugotrajnost njene izrade (odluka o izradi Strategije donesena je u ožujku 2022.), smatrali smo da je tako dugo vrijeme bilo potrebno za prikupljanje i analizu podataka. Jedino se na temelju podataka o postojećem stanju može napraviti kvalitetna Strategija.  Dokument koji je na savjetovanju ne može se nazvati strategijom. Ovo što je imamo je plan aktivnosti kako bi se usustavilo upravljanje imovinom bez prave strategije kojom se zacrtava postizanje nekih ciljeva u nekom roku.</w:t>
            </w:r>
          </w:p>
          <w:p w14:paraId="050695EE" w14:textId="465D317A"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Kod poslovnih udjela u trgovačkim društvima nije jasno zašto je navedeno da Grad Pula ima dionice i poslovne udjele u glavnici trgovačkih društava izvan javnog sektora i to: Fratarski d.o.o. i Luka Pula d.o.o. Zbog čega se navodi da su ta javna poduzeća izvan javnog sektora?</w:t>
            </w:r>
          </w:p>
          <w:p w14:paraId="68B27F76" w14:textId="1676F8A3"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Magma d.o.o. - zbog čega Grad Pula ima udjele u toj tvrtci i koji su planovi s tim udjelima?</w:t>
            </w:r>
          </w:p>
          <w:p w14:paraId="533A3F7B" w14:textId="0718C13C" w:rsidR="00870995" w:rsidRPr="009226D6"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Nisu ažurirani podaci o poslovnim udjelima u vezi s gubitkom zemljišta u Luci Pula, ali ni u vezi s nedavnim spajanjem trgovačkih društava.</w:t>
            </w:r>
          </w:p>
        </w:tc>
        <w:tc>
          <w:tcPr>
            <w:tcW w:w="1389" w:type="dxa"/>
            <w:vAlign w:val="center"/>
          </w:tcPr>
          <w:p w14:paraId="7CA2260D" w14:textId="45F8A148" w:rsidR="00870995" w:rsidRDefault="00870995" w:rsidP="00F1098A">
            <w:pPr>
              <w:jc w:val="center"/>
              <w:rPr>
                <w:rFonts w:asciiTheme="majorHAnsi" w:hAnsiTheme="majorHAnsi" w:cstheme="majorHAnsi"/>
                <w:sz w:val="20"/>
                <w:szCs w:val="20"/>
              </w:rPr>
            </w:pPr>
            <w:r>
              <w:rPr>
                <w:rFonts w:asciiTheme="majorHAnsi" w:hAnsiTheme="majorHAnsi" w:cstheme="majorHAnsi"/>
                <w:sz w:val="20"/>
                <w:szCs w:val="20"/>
              </w:rPr>
              <w:t>Pojašnjeno</w:t>
            </w:r>
          </w:p>
        </w:tc>
        <w:tc>
          <w:tcPr>
            <w:tcW w:w="3084" w:type="dxa"/>
            <w:vAlign w:val="center"/>
          </w:tcPr>
          <w:p w14:paraId="5C7A6C12" w14:textId="3566DACB" w:rsidR="00870995" w:rsidRDefault="00870995" w:rsidP="00F1098A">
            <w:pPr>
              <w:rPr>
                <w:rFonts w:asciiTheme="majorHAnsi" w:hAnsiTheme="majorHAnsi" w:cstheme="majorHAnsi"/>
                <w:sz w:val="20"/>
                <w:szCs w:val="20"/>
              </w:rPr>
            </w:pPr>
            <w:r w:rsidRPr="006A6330">
              <w:rPr>
                <w:rFonts w:asciiTheme="majorHAnsi" w:hAnsiTheme="majorHAnsi" w:cstheme="majorHAnsi"/>
                <w:sz w:val="20"/>
                <w:szCs w:val="20"/>
              </w:rPr>
              <w:t xml:space="preserve">Izrada </w:t>
            </w:r>
            <w:r>
              <w:rPr>
                <w:rFonts w:asciiTheme="majorHAnsi" w:hAnsiTheme="majorHAnsi" w:cstheme="majorHAnsi"/>
                <w:sz w:val="20"/>
                <w:szCs w:val="20"/>
              </w:rPr>
              <w:t>popisa imovine u vlasništvu Grada Pule-Pola proizlazi iz postavljenih strateških ciljeva, kao i iz načela javnosti na kojem se temelji upravljanje i raspolaganje imovinom, ali nema potrebe da sam popis bude definiran unutar samog teksta Strategije.</w:t>
            </w:r>
          </w:p>
          <w:p w14:paraId="073FDC6A" w14:textId="77777777" w:rsidR="00870995" w:rsidRDefault="00870995" w:rsidP="00F1098A">
            <w:pPr>
              <w:rPr>
                <w:rFonts w:asciiTheme="majorHAnsi" w:hAnsiTheme="majorHAnsi" w:cstheme="majorHAnsi"/>
                <w:sz w:val="20"/>
                <w:szCs w:val="20"/>
              </w:rPr>
            </w:pPr>
          </w:p>
          <w:p w14:paraId="0451AA5B" w14:textId="5B090A39" w:rsidR="00870995" w:rsidRDefault="00870995" w:rsidP="00F1098A">
            <w:pPr>
              <w:rPr>
                <w:rFonts w:asciiTheme="majorHAnsi" w:hAnsiTheme="majorHAnsi" w:cstheme="majorHAnsi"/>
                <w:sz w:val="20"/>
                <w:szCs w:val="20"/>
              </w:rPr>
            </w:pPr>
            <w:r w:rsidRPr="00A857D2">
              <w:rPr>
                <w:rFonts w:asciiTheme="majorHAnsi" w:hAnsiTheme="majorHAnsi" w:cstheme="majorHAnsi"/>
                <w:sz w:val="20"/>
                <w:szCs w:val="20"/>
              </w:rPr>
              <w:t xml:space="preserve">Opis stanja </w:t>
            </w:r>
            <w:r>
              <w:rPr>
                <w:rFonts w:asciiTheme="majorHAnsi" w:hAnsiTheme="majorHAnsi" w:cstheme="majorHAnsi"/>
                <w:sz w:val="20"/>
                <w:szCs w:val="20"/>
              </w:rPr>
              <w:t>u kontekstu upravljanja imovinom čini</w:t>
            </w:r>
            <w:r w:rsidRPr="00A857D2">
              <w:rPr>
                <w:rFonts w:asciiTheme="majorHAnsi" w:hAnsiTheme="majorHAnsi" w:cstheme="majorHAnsi"/>
                <w:sz w:val="20"/>
                <w:szCs w:val="20"/>
              </w:rPr>
              <w:t xml:space="preserve"> sastavni dio </w:t>
            </w:r>
            <w:r>
              <w:rPr>
                <w:rFonts w:asciiTheme="majorHAnsi" w:hAnsiTheme="majorHAnsi" w:cstheme="majorHAnsi"/>
                <w:sz w:val="20"/>
                <w:szCs w:val="20"/>
              </w:rPr>
              <w:t>S</w:t>
            </w:r>
            <w:r w:rsidRPr="00A857D2">
              <w:rPr>
                <w:rFonts w:asciiTheme="majorHAnsi" w:hAnsiTheme="majorHAnsi" w:cstheme="majorHAnsi"/>
                <w:sz w:val="20"/>
                <w:szCs w:val="20"/>
              </w:rPr>
              <w:t>trategije.</w:t>
            </w:r>
            <w:r>
              <w:rPr>
                <w:rFonts w:asciiTheme="majorHAnsi" w:hAnsiTheme="majorHAnsi" w:cstheme="majorHAnsi"/>
                <w:sz w:val="20"/>
                <w:szCs w:val="20"/>
              </w:rPr>
              <w:t xml:space="preserve"> </w:t>
            </w:r>
            <w:r w:rsidRPr="00866970">
              <w:rPr>
                <w:rFonts w:asciiTheme="majorHAnsi" w:hAnsiTheme="majorHAnsi" w:cstheme="majorHAnsi"/>
                <w:sz w:val="20"/>
                <w:szCs w:val="20"/>
              </w:rPr>
              <w:t xml:space="preserve">Intencija </w:t>
            </w:r>
            <w:r>
              <w:rPr>
                <w:rFonts w:asciiTheme="majorHAnsi" w:hAnsiTheme="majorHAnsi" w:cstheme="majorHAnsi"/>
                <w:sz w:val="20"/>
                <w:szCs w:val="20"/>
              </w:rPr>
              <w:t xml:space="preserve">analize stanja </w:t>
            </w:r>
            <w:r w:rsidRPr="00866970">
              <w:rPr>
                <w:rFonts w:asciiTheme="majorHAnsi" w:hAnsiTheme="majorHAnsi" w:cstheme="majorHAnsi"/>
                <w:sz w:val="20"/>
                <w:szCs w:val="20"/>
              </w:rPr>
              <w:t>nije da se svaki portfelj imovine posebno opisuje</w:t>
            </w:r>
            <w:r>
              <w:rPr>
                <w:rFonts w:asciiTheme="majorHAnsi" w:hAnsiTheme="majorHAnsi" w:cstheme="majorHAnsi"/>
                <w:sz w:val="20"/>
                <w:szCs w:val="20"/>
              </w:rPr>
              <w:t>,</w:t>
            </w:r>
            <w:r w:rsidRPr="00866970">
              <w:rPr>
                <w:rFonts w:asciiTheme="majorHAnsi" w:hAnsiTheme="majorHAnsi" w:cstheme="majorHAnsi"/>
                <w:sz w:val="20"/>
                <w:szCs w:val="20"/>
              </w:rPr>
              <w:t xml:space="preserve"> već da se </w:t>
            </w:r>
            <w:r>
              <w:rPr>
                <w:rFonts w:asciiTheme="majorHAnsi" w:hAnsiTheme="majorHAnsi" w:cstheme="majorHAnsi"/>
                <w:sz w:val="20"/>
                <w:szCs w:val="20"/>
              </w:rPr>
              <w:t>pruži sveobuhvatni</w:t>
            </w:r>
            <w:r w:rsidRPr="00866970">
              <w:rPr>
                <w:rFonts w:asciiTheme="majorHAnsi" w:hAnsiTheme="majorHAnsi" w:cstheme="majorHAnsi"/>
                <w:sz w:val="20"/>
                <w:szCs w:val="20"/>
              </w:rPr>
              <w:t xml:space="preserve"> opis početnog stanja.</w:t>
            </w:r>
            <w:r w:rsidRPr="00A857D2">
              <w:rPr>
                <w:rFonts w:asciiTheme="majorHAnsi" w:hAnsiTheme="majorHAnsi" w:cstheme="majorHAnsi"/>
                <w:sz w:val="20"/>
                <w:szCs w:val="20"/>
              </w:rPr>
              <w:t xml:space="preserve"> Dodatno, analiza stanja podataka o imovini s preporukama unaprjeđenja čini prilog </w:t>
            </w:r>
            <w:r>
              <w:rPr>
                <w:rFonts w:asciiTheme="majorHAnsi" w:hAnsiTheme="majorHAnsi" w:cstheme="majorHAnsi"/>
                <w:sz w:val="20"/>
                <w:szCs w:val="20"/>
              </w:rPr>
              <w:t>S</w:t>
            </w:r>
            <w:r w:rsidRPr="00A857D2">
              <w:rPr>
                <w:rFonts w:asciiTheme="majorHAnsi" w:hAnsiTheme="majorHAnsi" w:cstheme="majorHAnsi"/>
                <w:sz w:val="20"/>
                <w:szCs w:val="20"/>
              </w:rPr>
              <w:t>trategiji.</w:t>
            </w:r>
          </w:p>
          <w:p w14:paraId="2F0D15F8" w14:textId="77777777" w:rsidR="00870995" w:rsidRDefault="00870995" w:rsidP="00F1098A">
            <w:pPr>
              <w:rPr>
                <w:rFonts w:asciiTheme="majorHAnsi" w:hAnsiTheme="majorHAnsi" w:cstheme="majorHAnsi"/>
                <w:sz w:val="20"/>
                <w:szCs w:val="20"/>
              </w:rPr>
            </w:pPr>
          </w:p>
          <w:p w14:paraId="2A63DB3A" w14:textId="39921295" w:rsidR="00870995" w:rsidRPr="006A6330" w:rsidRDefault="00870995" w:rsidP="00F1098A">
            <w:pPr>
              <w:rPr>
                <w:rFonts w:asciiTheme="majorHAnsi" w:hAnsiTheme="majorHAnsi" w:cstheme="majorHAnsi"/>
                <w:sz w:val="20"/>
                <w:szCs w:val="20"/>
              </w:rPr>
            </w:pPr>
            <w:r>
              <w:rPr>
                <w:rFonts w:asciiTheme="majorHAnsi" w:hAnsiTheme="majorHAnsi" w:cstheme="majorHAnsi"/>
                <w:sz w:val="20"/>
                <w:szCs w:val="20"/>
              </w:rPr>
              <w:t>Pružanje odgovora zašto Grad Pula-Pola ima udjele u pojedinim trgovačkim društvima nije predmet ove Strategije.</w:t>
            </w:r>
          </w:p>
          <w:p w14:paraId="739AAECA" w14:textId="7EDB12EE" w:rsidR="00870995" w:rsidRPr="00A55E86" w:rsidRDefault="00870995" w:rsidP="00F1098A">
            <w:pPr>
              <w:rPr>
                <w:rFonts w:asciiTheme="majorHAnsi" w:hAnsiTheme="majorHAnsi" w:cstheme="majorHAnsi"/>
                <w:sz w:val="20"/>
                <w:szCs w:val="20"/>
              </w:rPr>
            </w:pPr>
          </w:p>
        </w:tc>
      </w:tr>
      <w:tr w:rsidR="00870995" w:rsidRPr="00505D73" w14:paraId="5649D1C5" w14:textId="77777777" w:rsidTr="00C47C2F">
        <w:tc>
          <w:tcPr>
            <w:tcW w:w="490" w:type="dxa"/>
          </w:tcPr>
          <w:p w14:paraId="38997411" w14:textId="7FD10C03" w:rsidR="00870995" w:rsidRPr="00505D73" w:rsidRDefault="00870995" w:rsidP="00F1098A">
            <w:pPr>
              <w:rPr>
                <w:rFonts w:asciiTheme="majorHAnsi" w:hAnsiTheme="majorHAnsi" w:cstheme="majorHAnsi"/>
                <w:sz w:val="20"/>
                <w:szCs w:val="20"/>
              </w:rPr>
            </w:pPr>
            <w:r>
              <w:rPr>
                <w:rFonts w:asciiTheme="majorHAnsi" w:hAnsiTheme="majorHAnsi" w:cstheme="majorHAnsi"/>
                <w:sz w:val="20"/>
                <w:szCs w:val="20"/>
              </w:rPr>
              <w:t>19.</w:t>
            </w:r>
          </w:p>
        </w:tc>
        <w:tc>
          <w:tcPr>
            <w:tcW w:w="1460" w:type="dxa"/>
            <w:vMerge/>
          </w:tcPr>
          <w:p w14:paraId="7D107AD3" w14:textId="77777777" w:rsidR="00870995" w:rsidRPr="00FB1328" w:rsidRDefault="00870995" w:rsidP="00F1098A">
            <w:pPr>
              <w:rPr>
                <w:rFonts w:asciiTheme="majorHAnsi" w:hAnsiTheme="majorHAnsi" w:cstheme="majorHAnsi"/>
                <w:sz w:val="20"/>
                <w:szCs w:val="20"/>
              </w:rPr>
            </w:pPr>
          </w:p>
        </w:tc>
        <w:tc>
          <w:tcPr>
            <w:tcW w:w="7571" w:type="dxa"/>
          </w:tcPr>
          <w:p w14:paraId="2D08E3EC" w14:textId="65154BF9"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Za stanove i poslovne prostore navedene su ukupne brojke, ali ništa drugo. Navodi se rekapitulacija nekih podataka o imovini u vlasništvu Grada Pule, ali nije naveden datum stanja niti popis sadrži svu imovinu grada.</w:t>
            </w:r>
          </w:p>
          <w:p w14:paraId="491CAC53" w14:textId="77777777"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Tako je u popisu navedeno da Grad ima u vlasništvu :</w:t>
            </w:r>
          </w:p>
          <w:p w14:paraId="6C0BD2F4" w14:textId="77777777"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668 poslovna prostora, 508 stanova  (polovica stanova kojima upravlja Grad je u javnim očevidnicima upisana kao vlasništvo Grada, dok za polovicu isto tek treba provesti), 8.038 jedinica zemljišta.</w:t>
            </w:r>
          </w:p>
          <w:p w14:paraId="1CA8BC93" w14:textId="77777777"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U popisu imovine nedostaje:</w:t>
            </w:r>
          </w:p>
          <w:p w14:paraId="10571677" w14:textId="77777777"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w:t>
            </w:r>
            <w:r>
              <w:rPr>
                <w:rFonts w:asciiTheme="majorHAnsi" w:hAnsiTheme="majorHAnsi" w:cstheme="majorHAnsi"/>
                <w:sz w:val="20"/>
                <w:szCs w:val="20"/>
              </w:rPr>
              <w:t xml:space="preserve"> </w:t>
            </w:r>
            <w:r w:rsidRPr="00FB1328">
              <w:rPr>
                <w:rFonts w:asciiTheme="majorHAnsi" w:hAnsiTheme="majorHAnsi" w:cstheme="majorHAnsi"/>
                <w:sz w:val="20"/>
                <w:szCs w:val="20"/>
              </w:rPr>
              <w:t>za svu pobrojanu imovinu ukupna površina</w:t>
            </w:r>
          </w:p>
          <w:p w14:paraId="78059C82" w14:textId="77777777"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w:t>
            </w:r>
            <w:r>
              <w:rPr>
                <w:rFonts w:asciiTheme="majorHAnsi" w:hAnsiTheme="majorHAnsi" w:cstheme="majorHAnsi"/>
                <w:sz w:val="20"/>
                <w:szCs w:val="20"/>
              </w:rPr>
              <w:t xml:space="preserve"> </w:t>
            </w:r>
            <w:r w:rsidRPr="00FB1328">
              <w:rPr>
                <w:rFonts w:asciiTheme="majorHAnsi" w:hAnsiTheme="majorHAnsi" w:cstheme="majorHAnsi"/>
                <w:sz w:val="20"/>
                <w:szCs w:val="20"/>
              </w:rPr>
              <w:t>za zemljište nedostaju površine i kulture (poljoprivredno, građevinsko…)</w:t>
            </w:r>
          </w:p>
          <w:p w14:paraId="0A5219CC" w14:textId="77777777"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w:t>
            </w:r>
            <w:r>
              <w:rPr>
                <w:rFonts w:asciiTheme="majorHAnsi" w:hAnsiTheme="majorHAnsi" w:cstheme="majorHAnsi"/>
                <w:sz w:val="20"/>
                <w:szCs w:val="20"/>
              </w:rPr>
              <w:t xml:space="preserve"> </w:t>
            </w:r>
            <w:r w:rsidRPr="00FB1328">
              <w:rPr>
                <w:rFonts w:asciiTheme="majorHAnsi" w:hAnsiTheme="majorHAnsi" w:cstheme="majorHAnsi"/>
                <w:sz w:val="20"/>
                <w:szCs w:val="20"/>
              </w:rPr>
              <w:t xml:space="preserve">garaže </w:t>
            </w:r>
          </w:p>
          <w:p w14:paraId="0AB45040" w14:textId="77777777"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w:t>
            </w:r>
            <w:r>
              <w:rPr>
                <w:rFonts w:asciiTheme="majorHAnsi" w:hAnsiTheme="majorHAnsi" w:cstheme="majorHAnsi"/>
                <w:sz w:val="20"/>
                <w:szCs w:val="20"/>
              </w:rPr>
              <w:t xml:space="preserve"> </w:t>
            </w:r>
            <w:r w:rsidRPr="00FB1328">
              <w:rPr>
                <w:rFonts w:asciiTheme="majorHAnsi" w:hAnsiTheme="majorHAnsi" w:cstheme="majorHAnsi"/>
                <w:sz w:val="20"/>
                <w:szCs w:val="20"/>
              </w:rPr>
              <w:t xml:space="preserve">skloništa </w:t>
            </w:r>
          </w:p>
          <w:p w14:paraId="42775003" w14:textId="77777777"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w:t>
            </w:r>
            <w:r>
              <w:rPr>
                <w:rFonts w:asciiTheme="majorHAnsi" w:hAnsiTheme="majorHAnsi" w:cstheme="majorHAnsi"/>
                <w:sz w:val="20"/>
                <w:szCs w:val="20"/>
              </w:rPr>
              <w:t xml:space="preserve"> </w:t>
            </w:r>
            <w:r w:rsidRPr="00FB1328">
              <w:rPr>
                <w:rFonts w:asciiTheme="majorHAnsi" w:hAnsiTheme="majorHAnsi" w:cstheme="majorHAnsi"/>
                <w:sz w:val="20"/>
                <w:szCs w:val="20"/>
              </w:rPr>
              <w:t>popis komunalne infrastrukture</w:t>
            </w:r>
          </w:p>
          <w:p w14:paraId="764555BC" w14:textId="77777777"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lastRenderedPageBreak/>
              <w:t>-</w:t>
            </w:r>
            <w:r>
              <w:rPr>
                <w:rFonts w:asciiTheme="majorHAnsi" w:hAnsiTheme="majorHAnsi" w:cstheme="majorHAnsi"/>
                <w:sz w:val="20"/>
                <w:szCs w:val="20"/>
              </w:rPr>
              <w:t xml:space="preserve"> </w:t>
            </w:r>
            <w:r w:rsidRPr="00FB1328">
              <w:rPr>
                <w:rFonts w:asciiTheme="majorHAnsi" w:hAnsiTheme="majorHAnsi" w:cstheme="majorHAnsi"/>
                <w:sz w:val="20"/>
                <w:szCs w:val="20"/>
              </w:rPr>
              <w:t>parkirna mjesta (to je važno jer ih Grad daje besplatno Pulaparkingu , koji na njima ostvaruje ogromne prihode)</w:t>
            </w:r>
          </w:p>
          <w:p w14:paraId="5CF6F48C" w14:textId="77777777"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w:t>
            </w:r>
            <w:r>
              <w:rPr>
                <w:rFonts w:asciiTheme="majorHAnsi" w:hAnsiTheme="majorHAnsi" w:cstheme="majorHAnsi"/>
                <w:sz w:val="20"/>
                <w:szCs w:val="20"/>
              </w:rPr>
              <w:t xml:space="preserve"> </w:t>
            </w:r>
            <w:r w:rsidRPr="00FB1328">
              <w:rPr>
                <w:rFonts w:asciiTheme="majorHAnsi" w:hAnsiTheme="majorHAnsi" w:cstheme="majorHAnsi"/>
                <w:sz w:val="20"/>
                <w:szCs w:val="20"/>
              </w:rPr>
              <w:t>groblje</w:t>
            </w:r>
          </w:p>
          <w:p w14:paraId="09108464" w14:textId="77777777"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w:t>
            </w:r>
            <w:r>
              <w:rPr>
                <w:rFonts w:asciiTheme="majorHAnsi" w:hAnsiTheme="majorHAnsi" w:cstheme="majorHAnsi"/>
                <w:sz w:val="20"/>
                <w:szCs w:val="20"/>
              </w:rPr>
              <w:t xml:space="preserve"> </w:t>
            </w:r>
            <w:r w:rsidRPr="00FB1328">
              <w:rPr>
                <w:rFonts w:asciiTheme="majorHAnsi" w:hAnsiTheme="majorHAnsi" w:cstheme="majorHAnsi"/>
                <w:sz w:val="20"/>
                <w:szCs w:val="20"/>
              </w:rPr>
              <w:t xml:space="preserve">kulturno-povijesna baština (prihod od te imovine mogao bi predstavljati značajan izvor prihoda Grada. Arena je u vlasništvu Grada od 2006. godine) </w:t>
            </w:r>
          </w:p>
          <w:p w14:paraId="59B3A886" w14:textId="77777777"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w:t>
            </w:r>
            <w:r>
              <w:rPr>
                <w:rFonts w:asciiTheme="majorHAnsi" w:hAnsiTheme="majorHAnsi" w:cstheme="majorHAnsi"/>
                <w:sz w:val="20"/>
                <w:szCs w:val="20"/>
              </w:rPr>
              <w:t xml:space="preserve"> </w:t>
            </w:r>
            <w:r w:rsidRPr="00FB1328">
              <w:rPr>
                <w:rFonts w:asciiTheme="majorHAnsi" w:hAnsiTheme="majorHAnsi" w:cstheme="majorHAnsi"/>
                <w:sz w:val="20"/>
                <w:szCs w:val="20"/>
              </w:rPr>
              <w:t>uopće se ne spominje vrlo vrijedna zbirka umjetnina Grada Pule (ne zna se ni postoji li popis i je li procijenjena vrijednost te imovine)</w:t>
            </w:r>
          </w:p>
          <w:p w14:paraId="5C54FF5C" w14:textId="77777777"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w:t>
            </w:r>
            <w:r>
              <w:rPr>
                <w:rFonts w:asciiTheme="majorHAnsi" w:hAnsiTheme="majorHAnsi" w:cstheme="majorHAnsi"/>
                <w:sz w:val="20"/>
                <w:szCs w:val="20"/>
              </w:rPr>
              <w:t xml:space="preserve"> </w:t>
            </w:r>
            <w:r w:rsidRPr="00FB1328">
              <w:rPr>
                <w:rFonts w:asciiTheme="majorHAnsi" w:hAnsiTheme="majorHAnsi" w:cstheme="majorHAnsi"/>
                <w:sz w:val="20"/>
                <w:szCs w:val="20"/>
              </w:rPr>
              <w:t>Imovina ustanova kojima je osnivač Grad</w:t>
            </w:r>
          </w:p>
          <w:p w14:paraId="43D54EBA" w14:textId="77777777"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w:t>
            </w:r>
            <w:r>
              <w:rPr>
                <w:rFonts w:asciiTheme="majorHAnsi" w:hAnsiTheme="majorHAnsi" w:cstheme="majorHAnsi"/>
                <w:sz w:val="20"/>
                <w:szCs w:val="20"/>
              </w:rPr>
              <w:t xml:space="preserve"> </w:t>
            </w:r>
            <w:r w:rsidRPr="00FB1328">
              <w:rPr>
                <w:rFonts w:asciiTheme="majorHAnsi" w:hAnsiTheme="majorHAnsi" w:cstheme="majorHAnsi"/>
                <w:sz w:val="20"/>
                <w:szCs w:val="20"/>
              </w:rPr>
              <w:t>Imovina trgovačkih društava kojima je osnivač Grad</w:t>
            </w:r>
          </w:p>
          <w:p w14:paraId="693A1B65" w14:textId="77777777"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w:t>
            </w:r>
            <w:r>
              <w:rPr>
                <w:rFonts w:asciiTheme="majorHAnsi" w:hAnsiTheme="majorHAnsi" w:cstheme="majorHAnsi"/>
                <w:sz w:val="20"/>
                <w:szCs w:val="20"/>
              </w:rPr>
              <w:t xml:space="preserve"> </w:t>
            </w:r>
            <w:r w:rsidRPr="00FB1328">
              <w:rPr>
                <w:rFonts w:asciiTheme="majorHAnsi" w:hAnsiTheme="majorHAnsi" w:cstheme="majorHAnsi"/>
                <w:sz w:val="20"/>
                <w:szCs w:val="20"/>
              </w:rPr>
              <w:t xml:space="preserve">službena vozila </w:t>
            </w:r>
          </w:p>
          <w:p w14:paraId="7539EC1F" w14:textId="77777777"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w:t>
            </w:r>
            <w:r>
              <w:rPr>
                <w:rFonts w:asciiTheme="majorHAnsi" w:hAnsiTheme="majorHAnsi" w:cstheme="majorHAnsi"/>
                <w:sz w:val="20"/>
                <w:szCs w:val="20"/>
              </w:rPr>
              <w:t xml:space="preserve"> </w:t>
            </w:r>
            <w:r w:rsidRPr="00FB1328">
              <w:rPr>
                <w:rFonts w:asciiTheme="majorHAnsi" w:hAnsiTheme="majorHAnsi" w:cstheme="majorHAnsi"/>
                <w:sz w:val="20"/>
                <w:szCs w:val="20"/>
              </w:rPr>
              <w:t>druga imovina: nematerijalna imovina u vrijednosti projekata  i elaborata, materijalna imovina: IT oprema, namještaj, uredska oprema, sitni inventar, novac u blagajni, potraživanja (porezi, zakup, takse, pristojbe, doprinosi i naknade)</w:t>
            </w:r>
            <w:r>
              <w:rPr>
                <w:rFonts w:asciiTheme="majorHAnsi" w:hAnsiTheme="majorHAnsi" w:cstheme="majorHAnsi"/>
                <w:sz w:val="20"/>
                <w:szCs w:val="20"/>
              </w:rPr>
              <w:t>.</w:t>
            </w:r>
          </w:p>
          <w:p w14:paraId="4A2459D2" w14:textId="77777777" w:rsidR="00870995" w:rsidRPr="00FB1328" w:rsidRDefault="00870995" w:rsidP="00F1098A">
            <w:pPr>
              <w:rPr>
                <w:rFonts w:asciiTheme="majorHAnsi" w:hAnsiTheme="majorHAnsi" w:cstheme="majorHAnsi"/>
                <w:sz w:val="20"/>
                <w:szCs w:val="20"/>
              </w:rPr>
            </w:pPr>
          </w:p>
          <w:p w14:paraId="6F96B12A" w14:textId="77777777"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 xml:space="preserve">Pod ostalim oblicima imovine u Strategiji se ne navodi  gore navedeno pod “druga imovina” nego pomorsko dobro?!  </w:t>
            </w:r>
            <w:r w:rsidRPr="00FB1328">
              <w:rPr>
                <w:rFonts w:asciiTheme="majorHAnsi" w:hAnsiTheme="majorHAnsi" w:cstheme="majorHAnsi"/>
                <w:sz w:val="20"/>
                <w:szCs w:val="20"/>
              </w:rPr>
              <w:tab/>
            </w:r>
            <w:r w:rsidRPr="00FB1328">
              <w:rPr>
                <w:rFonts w:asciiTheme="majorHAnsi" w:hAnsiTheme="majorHAnsi" w:cstheme="majorHAnsi"/>
                <w:sz w:val="20"/>
                <w:szCs w:val="20"/>
              </w:rPr>
              <w:tab/>
            </w:r>
          </w:p>
          <w:p w14:paraId="03179D56" w14:textId="77777777"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U Strategiji se navodi: “Za uspješno, transparentno, efikasno i djelotvorno upravljanje imovinom i Gradonačelniku i Gradskom vijeću potrebne su potpune i jezgrovite informacije o imovini u vlasništvu kako samog Grada, tako i imovine u vlasništvu trgovačkih društava i ustanova kojih je osnivač Grad.” S obzirom da tih podataka nema, može se zaključiti da upravljanje imovinom nije ni transparentno, ni učinkovito ni djelotvorno.</w:t>
            </w:r>
          </w:p>
          <w:p w14:paraId="3BFB9022" w14:textId="77777777" w:rsidR="00870995" w:rsidRPr="00FB1328"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Strategija je trebala navesti i koliko je i koje vrste zemljišta ukupno prodano u nekom prethodnom duljem periodu (to je lako dostupan podatak iz izvještaja o izvršenju proračuna) i koje vrste (stambena ili poslovna izgradnja), kako bi imali informaciju o godišnjem postotku smanjivanja imovine Grada.</w:t>
            </w:r>
          </w:p>
          <w:p w14:paraId="72067FAC" w14:textId="3CD5426B" w:rsidR="00870995" w:rsidRPr="005C051B" w:rsidRDefault="00870995" w:rsidP="00F1098A">
            <w:pPr>
              <w:rPr>
                <w:rFonts w:asciiTheme="majorHAnsi" w:hAnsiTheme="majorHAnsi" w:cstheme="majorHAnsi"/>
                <w:sz w:val="20"/>
                <w:szCs w:val="20"/>
              </w:rPr>
            </w:pPr>
            <w:r w:rsidRPr="00FB1328">
              <w:rPr>
                <w:rFonts w:asciiTheme="majorHAnsi" w:hAnsiTheme="majorHAnsi" w:cstheme="majorHAnsi"/>
                <w:sz w:val="20"/>
                <w:szCs w:val="20"/>
              </w:rPr>
              <w:t>Tablica 13. Prikaz podjele imovine Grada Pule-Pola prema portfeljima, brojnosti i vrijednosti na dan 6. prosinca 2022. godine sadrži nepotpuni popis imovine Grada s kumulativnim brojkama i vrijednostima. Iz toga se ne može vidjeti što točno čini imovinu Grada, a pripisani iznosi  vrijednosti te imovine nemaju obrazloženje. Jedino što se u Strategiji predlaže su preporuke za neku buduću financijsku analizu.</w:t>
            </w:r>
          </w:p>
        </w:tc>
        <w:tc>
          <w:tcPr>
            <w:tcW w:w="1389" w:type="dxa"/>
            <w:vAlign w:val="center"/>
          </w:tcPr>
          <w:p w14:paraId="7E5CDEF8" w14:textId="7BB357CE" w:rsidR="00870995" w:rsidRDefault="00870995" w:rsidP="00F1098A">
            <w:pPr>
              <w:jc w:val="center"/>
              <w:rPr>
                <w:rFonts w:asciiTheme="majorHAnsi" w:hAnsiTheme="majorHAnsi" w:cstheme="majorHAnsi"/>
                <w:sz w:val="20"/>
                <w:szCs w:val="20"/>
              </w:rPr>
            </w:pPr>
            <w:r>
              <w:rPr>
                <w:rFonts w:asciiTheme="majorHAnsi" w:hAnsiTheme="majorHAnsi" w:cstheme="majorHAnsi"/>
                <w:sz w:val="20"/>
                <w:szCs w:val="20"/>
              </w:rPr>
              <w:lastRenderedPageBreak/>
              <w:t>Pojašnjeno</w:t>
            </w:r>
          </w:p>
        </w:tc>
        <w:tc>
          <w:tcPr>
            <w:tcW w:w="3084" w:type="dxa"/>
            <w:vAlign w:val="center"/>
          </w:tcPr>
          <w:p w14:paraId="687711A2" w14:textId="77777777" w:rsidR="00870995" w:rsidRDefault="00870995" w:rsidP="00F1098A">
            <w:pPr>
              <w:rPr>
                <w:rFonts w:asciiTheme="majorHAnsi" w:hAnsiTheme="majorHAnsi" w:cstheme="majorHAnsi"/>
                <w:sz w:val="20"/>
                <w:szCs w:val="20"/>
              </w:rPr>
            </w:pPr>
            <w:r w:rsidRPr="00A857D2">
              <w:rPr>
                <w:rFonts w:asciiTheme="majorHAnsi" w:hAnsiTheme="majorHAnsi" w:cstheme="majorHAnsi"/>
                <w:sz w:val="20"/>
                <w:szCs w:val="20"/>
              </w:rPr>
              <w:t xml:space="preserve">Opis stanja </w:t>
            </w:r>
            <w:r>
              <w:rPr>
                <w:rFonts w:asciiTheme="majorHAnsi" w:hAnsiTheme="majorHAnsi" w:cstheme="majorHAnsi"/>
                <w:sz w:val="20"/>
                <w:szCs w:val="20"/>
              </w:rPr>
              <w:t>u kontekstu upravljanja imovinom čini</w:t>
            </w:r>
            <w:r w:rsidRPr="00A857D2">
              <w:rPr>
                <w:rFonts w:asciiTheme="majorHAnsi" w:hAnsiTheme="majorHAnsi" w:cstheme="majorHAnsi"/>
                <w:sz w:val="20"/>
                <w:szCs w:val="20"/>
              </w:rPr>
              <w:t xml:space="preserve"> sastavni dio </w:t>
            </w:r>
            <w:r>
              <w:rPr>
                <w:rFonts w:asciiTheme="majorHAnsi" w:hAnsiTheme="majorHAnsi" w:cstheme="majorHAnsi"/>
                <w:sz w:val="20"/>
                <w:szCs w:val="20"/>
              </w:rPr>
              <w:t>S</w:t>
            </w:r>
            <w:r w:rsidRPr="00A857D2">
              <w:rPr>
                <w:rFonts w:asciiTheme="majorHAnsi" w:hAnsiTheme="majorHAnsi" w:cstheme="majorHAnsi"/>
                <w:sz w:val="20"/>
                <w:szCs w:val="20"/>
              </w:rPr>
              <w:t>trategije.</w:t>
            </w:r>
            <w:r>
              <w:rPr>
                <w:rFonts w:asciiTheme="majorHAnsi" w:hAnsiTheme="majorHAnsi" w:cstheme="majorHAnsi"/>
                <w:sz w:val="20"/>
                <w:szCs w:val="20"/>
              </w:rPr>
              <w:t xml:space="preserve"> </w:t>
            </w:r>
            <w:r w:rsidRPr="00866970">
              <w:rPr>
                <w:rFonts w:asciiTheme="majorHAnsi" w:hAnsiTheme="majorHAnsi" w:cstheme="majorHAnsi"/>
                <w:sz w:val="20"/>
                <w:szCs w:val="20"/>
              </w:rPr>
              <w:t xml:space="preserve">Intencija </w:t>
            </w:r>
            <w:r>
              <w:rPr>
                <w:rFonts w:asciiTheme="majorHAnsi" w:hAnsiTheme="majorHAnsi" w:cstheme="majorHAnsi"/>
                <w:sz w:val="20"/>
                <w:szCs w:val="20"/>
              </w:rPr>
              <w:t xml:space="preserve">analize stanja </w:t>
            </w:r>
            <w:r w:rsidRPr="00866970">
              <w:rPr>
                <w:rFonts w:asciiTheme="majorHAnsi" w:hAnsiTheme="majorHAnsi" w:cstheme="majorHAnsi"/>
                <w:sz w:val="20"/>
                <w:szCs w:val="20"/>
              </w:rPr>
              <w:t>nije da se svaki portfelj imovine posebno opisuje</w:t>
            </w:r>
            <w:r>
              <w:rPr>
                <w:rFonts w:asciiTheme="majorHAnsi" w:hAnsiTheme="majorHAnsi" w:cstheme="majorHAnsi"/>
                <w:sz w:val="20"/>
                <w:szCs w:val="20"/>
              </w:rPr>
              <w:t>,</w:t>
            </w:r>
            <w:r w:rsidRPr="00866970">
              <w:rPr>
                <w:rFonts w:asciiTheme="majorHAnsi" w:hAnsiTheme="majorHAnsi" w:cstheme="majorHAnsi"/>
                <w:sz w:val="20"/>
                <w:szCs w:val="20"/>
              </w:rPr>
              <w:t xml:space="preserve"> već da se </w:t>
            </w:r>
            <w:r>
              <w:rPr>
                <w:rFonts w:asciiTheme="majorHAnsi" w:hAnsiTheme="majorHAnsi" w:cstheme="majorHAnsi"/>
                <w:sz w:val="20"/>
                <w:szCs w:val="20"/>
              </w:rPr>
              <w:t>pruži sveobuhvatni</w:t>
            </w:r>
            <w:r w:rsidRPr="00866970">
              <w:rPr>
                <w:rFonts w:asciiTheme="majorHAnsi" w:hAnsiTheme="majorHAnsi" w:cstheme="majorHAnsi"/>
                <w:sz w:val="20"/>
                <w:szCs w:val="20"/>
              </w:rPr>
              <w:t xml:space="preserve"> opis početnog stanja.</w:t>
            </w:r>
            <w:r w:rsidRPr="00A857D2">
              <w:rPr>
                <w:rFonts w:asciiTheme="majorHAnsi" w:hAnsiTheme="majorHAnsi" w:cstheme="majorHAnsi"/>
                <w:sz w:val="20"/>
                <w:szCs w:val="20"/>
              </w:rPr>
              <w:t xml:space="preserve"> Dodatno, analiza stanja podataka o imovini s preporukama unaprjeđenja čini prilog </w:t>
            </w:r>
            <w:r>
              <w:rPr>
                <w:rFonts w:asciiTheme="majorHAnsi" w:hAnsiTheme="majorHAnsi" w:cstheme="majorHAnsi"/>
                <w:sz w:val="20"/>
                <w:szCs w:val="20"/>
              </w:rPr>
              <w:t>S</w:t>
            </w:r>
            <w:r w:rsidRPr="00A857D2">
              <w:rPr>
                <w:rFonts w:asciiTheme="majorHAnsi" w:hAnsiTheme="majorHAnsi" w:cstheme="majorHAnsi"/>
                <w:sz w:val="20"/>
                <w:szCs w:val="20"/>
              </w:rPr>
              <w:t>trategiji.</w:t>
            </w:r>
          </w:p>
          <w:p w14:paraId="4BE2C91A" w14:textId="199C8E7B" w:rsidR="00870995" w:rsidRPr="00A55E86" w:rsidRDefault="00870995" w:rsidP="00F1098A">
            <w:pPr>
              <w:rPr>
                <w:rFonts w:asciiTheme="majorHAnsi" w:hAnsiTheme="majorHAnsi" w:cstheme="majorHAnsi"/>
                <w:sz w:val="20"/>
                <w:szCs w:val="20"/>
              </w:rPr>
            </w:pPr>
            <w:r>
              <w:rPr>
                <w:rFonts w:asciiTheme="majorHAnsi" w:hAnsiTheme="majorHAnsi" w:cstheme="majorHAnsi"/>
                <w:sz w:val="20"/>
                <w:szCs w:val="20"/>
              </w:rPr>
              <w:t>Tijekom perioda</w:t>
            </w:r>
            <w:r w:rsidRPr="00A55863">
              <w:rPr>
                <w:rFonts w:asciiTheme="majorHAnsi" w:hAnsiTheme="majorHAnsi" w:cstheme="majorHAnsi"/>
                <w:sz w:val="20"/>
                <w:szCs w:val="20"/>
              </w:rPr>
              <w:t xml:space="preserve"> provedbe </w:t>
            </w:r>
            <w:r>
              <w:rPr>
                <w:rFonts w:asciiTheme="majorHAnsi" w:hAnsiTheme="majorHAnsi" w:cstheme="majorHAnsi"/>
                <w:sz w:val="20"/>
                <w:szCs w:val="20"/>
              </w:rPr>
              <w:t>S</w:t>
            </w:r>
            <w:r w:rsidRPr="00A55863">
              <w:rPr>
                <w:rFonts w:asciiTheme="majorHAnsi" w:hAnsiTheme="majorHAnsi" w:cstheme="majorHAnsi"/>
                <w:sz w:val="20"/>
                <w:szCs w:val="20"/>
              </w:rPr>
              <w:t>trategije dorađivat</w:t>
            </w:r>
            <w:r>
              <w:rPr>
                <w:rFonts w:asciiTheme="majorHAnsi" w:hAnsiTheme="majorHAnsi" w:cstheme="majorHAnsi"/>
                <w:sz w:val="20"/>
                <w:szCs w:val="20"/>
              </w:rPr>
              <w:t xml:space="preserve"> će se</w:t>
            </w:r>
            <w:r w:rsidRPr="00A55863">
              <w:rPr>
                <w:rFonts w:asciiTheme="majorHAnsi" w:hAnsiTheme="majorHAnsi" w:cstheme="majorHAnsi"/>
                <w:sz w:val="20"/>
                <w:szCs w:val="20"/>
              </w:rPr>
              <w:t xml:space="preserve"> registar imovine</w:t>
            </w:r>
            <w:r>
              <w:rPr>
                <w:rFonts w:asciiTheme="majorHAnsi" w:hAnsiTheme="majorHAnsi" w:cstheme="majorHAnsi"/>
                <w:sz w:val="20"/>
                <w:szCs w:val="20"/>
              </w:rPr>
              <w:t>, a</w:t>
            </w:r>
            <w:r w:rsidRPr="00A55863">
              <w:rPr>
                <w:rFonts w:asciiTheme="majorHAnsi" w:hAnsiTheme="majorHAnsi" w:cstheme="majorHAnsi"/>
                <w:sz w:val="20"/>
                <w:szCs w:val="20"/>
              </w:rPr>
              <w:t xml:space="preserve"> u sklopu </w:t>
            </w:r>
            <w:r>
              <w:rPr>
                <w:rFonts w:asciiTheme="majorHAnsi" w:hAnsiTheme="majorHAnsi" w:cstheme="majorHAnsi"/>
                <w:sz w:val="20"/>
                <w:szCs w:val="20"/>
              </w:rPr>
              <w:t>istog</w:t>
            </w:r>
            <w:r w:rsidRPr="00A55863">
              <w:rPr>
                <w:rFonts w:asciiTheme="majorHAnsi" w:hAnsiTheme="majorHAnsi" w:cstheme="majorHAnsi"/>
                <w:sz w:val="20"/>
                <w:szCs w:val="20"/>
              </w:rPr>
              <w:t xml:space="preserve"> i sva imovina koja se nalazi u prijedlogu.</w:t>
            </w:r>
          </w:p>
        </w:tc>
      </w:tr>
      <w:tr w:rsidR="00870995" w:rsidRPr="00505D73" w14:paraId="5EFB95B7" w14:textId="77777777" w:rsidTr="00C47C2F">
        <w:tc>
          <w:tcPr>
            <w:tcW w:w="490" w:type="dxa"/>
          </w:tcPr>
          <w:p w14:paraId="602ECA80" w14:textId="6164C3E5" w:rsidR="00870995" w:rsidRPr="00505D73" w:rsidRDefault="00870995" w:rsidP="00F1098A">
            <w:pPr>
              <w:rPr>
                <w:rFonts w:asciiTheme="majorHAnsi" w:hAnsiTheme="majorHAnsi" w:cstheme="majorHAnsi"/>
                <w:sz w:val="20"/>
                <w:szCs w:val="20"/>
              </w:rPr>
            </w:pPr>
            <w:r>
              <w:rPr>
                <w:rFonts w:asciiTheme="majorHAnsi" w:hAnsiTheme="majorHAnsi" w:cstheme="majorHAnsi"/>
                <w:sz w:val="20"/>
                <w:szCs w:val="20"/>
              </w:rPr>
              <w:t>20.</w:t>
            </w:r>
          </w:p>
        </w:tc>
        <w:tc>
          <w:tcPr>
            <w:tcW w:w="1460" w:type="dxa"/>
            <w:vMerge/>
          </w:tcPr>
          <w:p w14:paraId="539F9609" w14:textId="77777777" w:rsidR="00870995" w:rsidRPr="005C051B" w:rsidRDefault="00870995" w:rsidP="00F1098A">
            <w:pPr>
              <w:rPr>
                <w:rFonts w:asciiTheme="majorHAnsi" w:hAnsiTheme="majorHAnsi" w:cstheme="majorHAnsi"/>
                <w:sz w:val="20"/>
                <w:szCs w:val="20"/>
              </w:rPr>
            </w:pPr>
          </w:p>
        </w:tc>
        <w:tc>
          <w:tcPr>
            <w:tcW w:w="7571" w:type="dxa"/>
          </w:tcPr>
          <w:p w14:paraId="3F321560" w14:textId="7727F99B" w:rsidR="00870995" w:rsidRPr="005C051B" w:rsidRDefault="00870995" w:rsidP="00F1098A">
            <w:pPr>
              <w:rPr>
                <w:rFonts w:asciiTheme="majorHAnsi" w:hAnsiTheme="majorHAnsi" w:cstheme="majorHAnsi"/>
                <w:sz w:val="20"/>
                <w:szCs w:val="20"/>
              </w:rPr>
            </w:pPr>
            <w:r w:rsidRPr="005C051B">
              <w:rPr>
                <w:rFonts w:asciiTheme="majorHAnsi" w:hAnsiTheme="majorHAnsi" w:cstheme="majorHAnsi"/>
                <w:sz w:val="20"/>
                <w:szCs w:val="20"/>
              </w:rPr>
              <w:t>INFORMACIJE O PRVOM GODIŠNJEM PLANU UPRAVLJANJA IMOVINOM</w:t>
            </w:r>
          </w:p>
          <w:p w14:paraId="7F6ACF2D" w14:textId="7267E255" w:rsidR="00870995" w:rsidRPr="005C051B" w:rsidRDefault="00870995" w:rsidP="00F1098A">
            <w:pPr>
              <w:rPr>
                <w:rFonts w:asciiTheme="majorHAnsi" w:hAnsiTheme="majorHAnsi" w:cstheme="majorHAnsi"/>
                <w:sz w:val="20"/>
                <w:szCs w:val="20"/>
              </w:rPr>
            </w:pPr>
            <w:r w:rsidRPr="005C051B">
              <w:rPr>
                <w:rFonts w:asciiTheme="majorHAnsi" w:hAnsiTheme="majorHAnsi" w:cstheme="majorHAnsi"/>
                <w:sz w:val="20"/>
                <w:szCs w:val="20"/>
              </w:rPr>
              <w:t>Na temelju Strategije potrebno je donijeti i Godišnji plan upravljanja imovinom,  pa molimo da nas obavijestite hoćemo li konačno za 2024. imati izrađen i usvojen Godišnji plan kako ne biste više, kao do sada, rasprodavali nekretnine važne za budući razvoj grada bez ikakve svrhe osim kratkoročnog punjenja proračuna, a dugoročno osiromašivali imovinu grada odnosno ugrožavali njegov razvojni potencijal.</w:t>
            </w:r>
          </w:p>
          <w:p w14:paraId="3F9AE03E" w14:textId="426EE4FF" w:rsidR="00870995" w:rsidRPr="005C051B" w:rsidRDefault="00870995" w:rsidP="00F1098A">
            <w:pPr>
              <w:rPr>
                <w:rFonts w:asciiTheme="majorHAnsi" w:hAnsiTheme="majorHAnsi" w:cstheme="majorHAnsi"/>
                <w:sz w:val="20"/>
                <w:szCs w:val="20"/>
              </w:rPr>
            </w:pPr>
            <w:r w:rsidRPr="005C051B">
              <w:rPr>
                <w:rFonts w:asciiTheme="majorHAnsi" w:hAnsiTheme="majorHAnsi" w:cstheme="majorHAnsi"/>
                <w:sz w:val="20"/>
                <w:szCs w:val="20"/>
              </w:rPr>
              <w:lastRenderedPageBreak/>
              <w:t>Strategija i Godišnji plan moraju sadržavati cjeloviti prikaz stanja imovine Grada Pule na točno utvrđeni dan (popis u brojevima, površinama, postocima, iznosima…), kako bi se ti podaci mogli uspoređivati s promjenama koje se žele potaknuti.</w:t>
            </w:r>
          </w:p>
          <w:p w14:paraId="33997DC5" w14:textId="77777777" w:rsidR="00870995" w:rsidRPr="005C051B" w:rsidRDefault="00870995" w:rsidP="00F1098A">
            <w:pPr>
              <w:rPr>
                <w:rFonts w:asciiTheme="majorHAnsi" w:hAnsiTheme="majorHAnsi" w:cstheme="majorHAnsi"/>
                <w:sz w:val="20"/>
                <w:szCs w:val="20"/>
              </w:rPr>
            </w:pPr>
            <w:r w:rsidRPr="005C051B">
              <w:rPr>
                <w:rFonts w:asciiTheme="majorHAnsi" w:hAnsiTheme="majorHAnsi" w:cstheme="majorHAnsi"/>
                <w:sz w:val="20"/>
                <w:szCs w:val="20"/>
              </w:rPr>
              <w:t xml:space="preserve">Nadamo se da će se gradonačelnik pridržavati smjernica iz Strategije da za svaku godinu predloži Gradskom vijeću donošenje godišnjeg plana upravljanja imovinom u vlasništvu Grada. </w:t>
            </w:r>
          </w:p>
          <w:p w14:paraId="227AC0D7" w14:textId="77777777" w:rsidR="00870995" w:rsidRPr="005C051B" w:rsidRDefault="00870995" w:rsidP="00F1098A">
            <w:pPr>
              <w:rPr>
                <w:rFonts w:asciiTheme="majorHAnsi" w:hAnsiTheme="majorHAnsi" w:cstheme="majorHAnsi"/>
                <w:sz w:val="20"/>
                <w:szCs w:val="20"/>
              </w:rPr>
            </w:pPr>
            <w:r w:rsidRPr="005C051B">
              <w:rPr>
                <w:rFonts w:asciiTheme="majorHAnsi" w:hAnsiTheme="majorHAnsi" w:cstheme="majorHAnsi"/>
                <w:sz w:val="20"/>
                <w:szCs w:val="20"/>
              </w:rPr>
              <w:t>Godišnjim planom određuju se kratkoročni ciljevi i smjernice upravljanja i raspolaganja imovinom te aktivnosti u svrhu provođenja Strategije.</w:t>
            </w:r>
            <w:r w:rsidRPr="005C051B">
              <w:rPr>
                <w:rFonts w:asciiTheme="majorHAnsi" w:hAnsiTheme="majorHAnsi" w:cstheme="majorHAnsi"/>
                <w:sz w:val="20"/>
                <w:szCs w:val="20"/>
              </w:rPr>
              <w:tab/>
            </w:r>
            <w:r w:rsidRPr="005C051B">
              <w:rPr>
                <w:rFonts w:asciiTheme="majorHAnsi" w:hAnsiTheme="majorHAnsi" w:cstheme="majorHAnsi"/>
                <w:sz w:val="20"/>
                <w:szCs w:val="20"/>
              </w:rPr>
              <w:tab/>
            </w:r>
            <w:r w:rsidRPr="005C051B">
              <w:rPr>
                <w:rFonts w:asciiTheme="majorHAnsi" w:hAnsiTheme="majorHAnsi" w:cstheme="majorHAnsi"/>
                <w:sz w:val="20"/>
                <w:szCs w:val="20"/>
              </w:rPr>
              <w:tab/>
            </w:r>
            <w:r w:rsidRPr="005C051B">
              <w:rPr>
                <w:rFonts w:asciiTheme="majorHAnsi" w:hAnsiTheme="majorHAnsi" w:cstheme="majorHAnsi"/>
                <w:sz w:val="20"/>
                <w:szCs w:val="20"/>
              </w:rPr>
              <w:tab/>
            </w:r>
            <w:r w:rsidRPr="005C051B">
              <w:rPr>
                <w:rFonts w:asciiTheme="majorHAnsi" w:hAnsiTheme="majorHAnsi" w:cstheme="majorHAnsi"/>
                <w:sz w:val="20"/>
                <w:szCs w:val="20"/>
              </w:rPr>
              <w:tab/>
            </w:r>
          </w:p>
          <w:p w14:paraId="5A44BC84" w14:textId="77777777" w:rsidR="00870995" w:rsidRPr="005C051B" w:rsidRDefault="00870995" w:rsidP="00F1098A">
            <w:pPr>
              <w:rPr>
                <w:rFonts w:asciiTheme="majorHAnsi" w:hAnsiTheme="majorHAnsi" w:cstheme="majorHAnsi"/>
                <w:sz w:val="20"/>
                <w:szCs w:val="20"/>
              </w:rPr>
            </w:pPr>
            <w:r w:rsidRPr="005C051B">
              <w:rPr>
                <w:rFonts w:asciiTheme="majorHAnsi" w:hAnsiTheme="majorHAnsi" w:cstheme="majorHAnsi"/>
                <w:sz w:val="20"/>
                <w:szCs w:val="20"/>
              </w:rPr>
              <w:t>U smislu ove Strategije, dokumenti upravljanja nekretninama u vlasništvu Grada su:</w:t>
            </w:r>
          </w:p>
          <w:p w14:paraId="1A00E793" w14:textId="77777777" w:rsidR="00870995" w:rsidRPr="005C051B" w:rsidRDefault="00870995" w:rsidP="00F1098A">
            <w:pPr>
              <w:rPr>
                <w:rFonts w:asciiTheme="majorHAnsi" w:hAnsiTheme="majorHAnsi" w:cstheme="majorHAnsi"/>
                <w:sz w:val="20"/>
                <w:szCs w:val="20"/>
              </w:rPr>
            </w:pPr>
            <w:r w:rsidRPr="005C051B">
              <w:rPr>
                <w:rFonts w:asciiTheme="majorHAnsi" w:hAnsiTheme="majorHAnsi" w:cstheme="majorHAnsi"/>
                <w:sz w:val="20"/>
                <w:szCs w:val="20"/>
              </w:rPr>
              <w:t>1) Strategija upravljanja imovinom u vlasništvu Grada Pula-Pola;</w:t>
            </w:r>
          </w:p>
          <w:p w14:paraId="2FC0C127" w14:textId="77777777" w:rsidR="00870995" w:rsidRPr="005C051B" w:rsidRDefault="00870995" w:rsidP="00F1098A">
            <w:pPr>
              <w:rPr>
                <w:rFonts w:asciiTheme="majorHAnsi" w:hAnsiTheme="majorHAnsi" w:cstheme="majorHAnsi"/>
                <w:sz w:val="20"/>
                <w:szCs w:val="20"/>
              </w:rPr>
            </w:pPr>
            <w:r w:rsidRPr="005C051B">
              <w:rPr>
                <w:rFonts w:asciiTheme="majorHAnsi" w:hAnsiTheme="majorHAnsi" w:cstheme="majorHAnsi"/>
                <w:sz w:val="20"/>
                <w:szCs w:val="20"/>
              </w:rPr>
              <w:t>2) Godišnji plan upravljanja imovinom u vlasništvu Grada Pula-Pola;</w:t>
            </w:r>
          </w:p>
          <w:p w14:paraId="10BECB57" w14:textId="77777777" w:rsidR="00870995" w:rsidRPr="005C051B" w:rsidRDefault="00870995" w:rsidP="00F1098A">
            <w:pPr>
              <w:rPr>
                <w:rFonts w:asciiTheme="majorHAnsi" w:hAnsiTheme="majorHAnsi" w:cstheme="majorHAnsi"/>
                <w:sz w:val="20"/>
                <w:szCs w:val="20"/>
              </w:rPr>
            </w:pPr>
            <w:r w:rsidRPr="005C051B">
              <w:rPr>
                <w:rFonts w:asciiTheme="majorHAnsi" w:hAnsiTheme="majorHAnsi" w:cstheme="majorHAnsi"/>
                <w:sz w:val="20"/>
                <w:szCs w:val="20"/>
              </w:rPr>
              <w:t>3) Godišnje izvješće o provedbi godišnjeg plana.</w:t>
            </w:r>
          </w:p>
          <w:p w14:paraId="028B77BD" w14:textId="77777777" w:rsidR="00870995" w:rsidRPr="005C051B" w:rsidRDefault="00870995" w:rsidP="00F1098A">
            <w:pPr>
              <w:rPr>
                <w:rFonts w:asciiTheme="majorHAnsi" w:hAnsiTheme="majorHAnsi" w:cstheme="majorHAnsi"/>
                <w:sz w:val="20"/>
                <w:szCs w:val="20"/>
              </w:rPr>
            </w:pPr>
            <w:r w:rsidRPr="005C051B">
              <w:rPr>
                <w:rFonts w:asciiTheme="majorHAnsi" w:hAnsiTheme="majorHAnsi" w:cstheme="majorHAnsi"/>
                <w:sz w:val="20"/>
                <w:szCs w:val="20"/>
              </w:rPr>
              <w:t xml:space="preserve"> </w:t>
            </w:r>
            <w:r w:rsidRPr="005C051B">
              <w:rPr>
                <w:rFonts w:asciiTheme="majorHAnsi" w:hAnsiTheme="majorHAnsi" w:cstheme="majorHAnsi"/>
                <w:sz w:val="20"/>
                <w:szCs w:val="20"/>
              </w:rPr>
              <w:tab/>
            </w:r>
            <w:r w:rsidRPr="005C051B">
              <w:rPr>
                <w:rFonts w:asciiTheme="majorHAnsi" w:hAnsiTheme="majorHAnsi" w:cstheme="majorHAnsi"/>
                <w:sz w:val="20"/>
                <w:szCs w:val="20"/>
              </w:rPr>
              <w:tab/>
            </w:r>
            <w:r w:rsidRPr="005C051B">
              <w:rPr>
                <w:rFonts w:asciiTheme="majorHAnsi" w:hAnsiTheme="majorHAnsi" w:cstheme="majorHAnsi"/>
                <w:sz w:val="20"/>
                <w:szCs w:val="20"/>
              </w:rPr>
              <w:tab/>
            </w:r>
            <w:r w:rsidRPr="005C051B">
              <w:rPr>
                <w:rFonts w:asciiTheme="majorHAnsi" w:hAnsiTheme="majorHAnsi" w:cstheme="majorHAnsi"/>
                <w:sz w:val="20"/>
                <w:szCs w:val="20"/>
              </w:rPr>
              <w:tab/>
            </w:r>
            <w:r w:rsidRPr="005C051B">
              <w:rPr>
                <w:rFonts w:asciiTheme="majorHAnsi" w:hAnsiTheme="majorHAnsi" w:cstheme="majorHAnsi"/>
                <w:sz w:val="20"/>
                <w:szCs w:val="20"/>
              </w:rPr>
              <w:tab/>
            </w:r>
            <w:r w:rsidRPr="005C051B">
              <w:rPr>
                <w:rFonts w:asciiTheme="majorHAnsi" w:hAnsiTheme="majorHAnsi" w:cstheme="majorHAnsi"/>
                <w:sz w:val="20"/>
                <w:szCs w:val="20"/>
              </w:rPr>
              <w:tab/>
            </w:r>
          </w:p>
          <w:p w14:paraId="7E1B6FBB" w14:textId="3353E8E6" w:rsidR="00870995" w:rsidRPr="009226D6" w:rsidRDefault="00870995" w:rsidP="00F1098A">
            <w:pPr>
              <w:rPr>
                <w:rFonts w:asciiTheme="majorHAnsi" w:hAnsiTheme="majorHAnsi" w:cstheme="majorHAnsi"/>
                <w:sz w:val="20"/>
                <w:szCs w:val="20"/>
              </w:rPr>
            </w:pPr>
            <w:r w:rsidRPr="005C051B">
              <w:rPr>
                <w:rFonts w:asciiTheme="majorHAnsi" w:hAnsiTheme="majorHAnsi" w:cstheme="majorHAnsi"/>
                <w:sz w:val="20"/>
                <w:szCs w:val="20"/>
              </w:rPr>
              <w:t>Osim navedenih izvješća, preporuka je jednom godišnje izraditi i izvješće o stanju imovine koje ne mora sadržavati detaljne informacije o svakoj jedinici imovine, ali bi isto imalo jasan i sažet pregled glavnih portfelja imovine, kao i podatke o prihodima i rashodima koje pojedini portfelji imovine generiraju. Na temelju Godišnjeg plana potrebno je podnijeti Godišnje izvješće o provedbi godišnjeg plana Gradskom vijeću, do 30. rujna tekuće godine za prethodnu godinu, kao jedan od oblika izvještavanja o imovini. Nadamo se da ćete slijediti preporuke Strategije i podnijeti Gradskom vijeću taj izvještaj u navedenom roku.</w:t>
            </w:r>
          </w:p>
        </w:tc>
        <w:tc>
          <w:tcPr>
            <w:tcW w:w="1389" w:type="dxa"/>
            <w:vAlign w:val="center"/>
          </w:tcPr>
          <w:p w14:paraId="7D9A53F6" w14:textId="343236AE" w:rsidR="00870995" w:rsidRDefault="00870995" w:rsidP="00F1098A">
            <w:pPr>
              <w:jc w:val="center"/>
              <w:rPr>
                <w:rFonts w:asciiTheme="majorHAnsi" w:hAnsiTheme="majorHAnsi" w:cstheme="majorHAnsi"/>
                <w:sz w:val="20"/>
                <w:szCs w:val="20"/>
              </w:rPr>
            </w:pPr>
            <w:r>
              <w:rPr>
                <w:rFonts w:asciiTheme="majorHAnsi" w:hAnsiTheme="majorHAnsi" w:cstheme="majorHAnsi"/>
                <w:sz w:val="20"/>
                <w:szCs w:val="20"/>
              </w:rPr>
              <w:lastRenderedPageBreak/>
              <w:t>Pojašnjeno</w:t>
            </w:r>
          </w:p>
        </w:tc>
        <w:tc>
          <w:tcPr>
            <w:tcW w:w="3084" w:type="dxa"/>
            <w:vAlign w:val="center"/>
          </w:tcPr>
          <w:p w14:paraId="24940E76" w14:textId="35E12502" w:rsidR="00870995" w:rsidRPr="00A55E86" w:rsidRDefault="00870995" w:rsidP="00F1098A">
            <w:pPr>
              <w:rPr>
                <w:rFonts w:asciiTheme="majorHAnsi" w:hAnsiTheme="majorHAnsi" w:cstheme="majorHAnsi"/>
                <w:sz w:val="20"/>
                <w:szCs w:val="20"/>
              </w:rPr>
            </w:pPr>
            <w:r>
              <w:rPr>
                <w:rFonts w:asciiTheme="majorHAnsi" w:hAnsiTheme="majorHAnsi" w:cstheme="majorHAnsi"/>
                <w:sz w:val="20"/>
                <w:szCs w:val="20"/>
              </w:rPr>
              <w:t>Godišnji plan upravljanja imovinom će se donositi za svaku godinu važenja Strategije.</w:t>
            </w:r>
          </w:p>
        </w:tc>
      </w:tr>
      <w:tr w:rsidR="00870995" w:rsidRPr="00505D73" w14:paraId="739071B2" w14:textId="77777777" w:rsidTr="00C47C2F">
        <w:tc>
          <w:tcPr>
            <w:tcW w:w="490" w:type="dxa"/>
          </w:tcPr>
          <w:p w14:paraId="28F0DD8B" w14:textId="5E47EED2" w:rsidR="00870995" w:rsidRPr="00505D73" w:rsidRDefault="00870995" w:rsidP="00F1098A">
            <w:pPr>
              <w:rPr>
                <w:rFonts w:asciiTheme="majorHAnsi" w:hAnsiTheme="majorHAnsi" w:cstheme="majorHAnsi"/>
                <w:sz w:val="20"/>
                <w:szCs w:val="20"/>
              </w:rPr>
            </w:pPr>
            <w:r>
              <w:rPr>
                <w:rFonts w:asciiTheme="majorHAnsi" w:hAnsiTheme="majorHAnsi" w:cstheme="majorHAnsi"/>
                <w:sz w:val="20"/>
                <w:szCs w:val="20"/>
              </w:rPr>
              <w:t>21.</w:t>
            </w:r>
          </w:p>
        </w:tc>
        <w:tc>
          <w:tcPr>
            <w:tcW w:w="1460" w:type="dxa"/>
            <w:vMerge/>
          </w:tcPr>
          <w:p w14:paraId="54DE9477" w14:textId="77777777" w:rsidR="00870995" w:rsidRPr="00740C10" w:rsidRDefault="00870995" w:rsidP="00F1098A">
            <w:pPr>
              <w:rPr>
                <w:rFonts w:asciiTheme="majorHAnsi" w:hAnsiTheme="majorHAnsi" w:cstheme="majorHAnsi"/>
                <w:sz w:val="20"/>
                <w:szCs w:val="20"/>
              </w:rPr>
            </w:pPr>
          </w:p>
        </w:tc>
        <w:tc>
          <w:tcPr>
            <w:tcW w:w="7571" w:type="dxa"/>
          </w:tcPr>
          <w:p w14:paraId="32316951" w14:textId="134EE61D" w:rsidR="00870995" w:rsidRPr="00740C10" w:rsidRDefault="00870995" w:rsidP="00F1098A">
            <w:pPr>
              <w:rPr>
                <w:rFonts w:asciiTheme="majorHAnsi" w:hAnsiTheme="majorHAnsi" w:cstheme="majorHAnsi"/>
                <w:sz w:val="20"/>
                <w:szCs w:val="20"/>
              </w:rPr>
            </w:pPr>
            <w:r w:rsidRPr="00740C10">
              <w:rPr>
                <w:rFonts w:asciiTheme="majorHAnsi" w:hAnsiTheme="majorHAnsi" w:cstheme="majorHAnsi"/>
                <w:sz w:val="20"/>
                <w:szCs w:val="20"/>
              </w:rPr>
              <w:t>TRANZICIJSKA PITANJA</w:t>
            </w:r>
          </w:p>
          <w:p w14:paraId="2CA203E2" w14:textId="77777777" w:rsidR="00870995" w:rsidRPr="00740C10" w:rsidRDefault="00870995" w:rsidP="00F1098A">
            <w:pPr>
              <w:rPr>
                <w:rFonts w:asciiTheme="majorHAnsi" w:hAnsiTheme="majorHAnsi" w:cstheme="majorHAnsi"/>
                <w:sz w:val="20"/>
                <w:szCs w:val="20"/>
              </w:rPr>
            </w:pPr>
            <w:r w:rsidRPr="00740C10">
              <w:rPr>
                <w:rFonts w:asciiTheme="majorHAnsi" w:hAnsiTheme="majorHAnsi" w:cstheme="majorHAnsi"/>
                <w:sz w:val="20"/>
                <w:szCs w:val="20"/>
              </w:rPr>
              <w:t xml:space="preserve">U Strategiji se kao veliki problem u redovnom funkcioniranju i radu gradske uprave pri rješavanju imovinskopravnih predmeta navodi činjenica da je nemoguće predvidjeti koliko će se po zahtjevu Republike Hrvatske pokrenuti novih postupaka  za povratom zemljišta i do kada će isti trajati. To se odnosi na imovnu čiji povrat traži država, a na koju se nezakonito upisao Grad. </w:t>
            </w:r>
          </w:p>
          <w:p w14:paraId="5E7BC0D1" w14:textId="319B680C" w:rsidR="00870995" w:rsidRPr="00740C10" w:rsidRDefault="00870995" w:rsidP="00F1098A">
            <w:pPr>
              <w:rPr>
                <w:rFonts w:asciiTheme="majorHAnsi" w:hAnsiTheme="majorHAnsi" w:cstheme="majorHAnsi"/>
                <w:sz w:val="20"/>
                <w:szCs w:val="20"/>
              </w:rPr>
            </w:pPr>
            <w:r w:rsidRPr="00740C10">
              <w:rPr>
                <w:rFonts w:asciiTheme="majorHAnsi" w:hAnsiTheme="majorHAnsi" w:cstheme="majorHAnsi"/>
                <w:sz w:val="20"/>
                <w:szCs w:val="20"/>
              </w:rPr>
              <w:t>Međutim, nigdje se ne navodi , i to bi trebalo dodati, da bi Grad Pula, poput RH, trebao pokretati postupke za povratom zemljišta koja su tijekom pretvorbe i privatizacije nezakonito privatizirana.</w:t>
            </w:r>
          </w:p>
          <w:p w14:paraId="4CA0ED9A" w14:textId="77777777" w:rsidR="00870995" w:rsidRPr="00740C10" w:rsidRDefault="00870995" w:rsidP="00F1098A">
            <w:pPr>
              <w:rPr>
                <w:rFonts w:asciiTheme="majorHAnsi" w:hAnsiTheme="majorHAnsi" w:cstheme="majorHAnsi"/>
                <w:sz w:val="20"/>
                <w:szCs w:val="20"/>
              </w:rPr>
            </w:pPr>
          </w:p>
          <w:p w14:paraId="54C7FCAB" w14:textId="77777777" w:rsidR="00870995" w:rsidRPr="00740C10" w:rsidRDefault="00870995" w:rsidP="00F1098A">
            <w:pPr>
              <w:rPr>
                <w:rFonts w:asciiTheme="majorHAnsi" w:hAnsiTheme="majorHAnsi" w:cstheme="majorHAnsi"/>
                <w:sz w:val="20"/>
                <w:szCs w:val="20"/>
              </w:rPr>
            </w:pPr>
            <w:r w:rsidRPr="00740C10">
              <w:rPr>
                <w:rFonts w:asciiTheme="majorHAnsi" w:hAnsiTheme="majorHAnsi" w:cstheme="majorHAnsi"/>
                <w:sz w:val="20"/>
                <w:szCs w:val="20"/>
              </w:rPr>
              <w:t xml:space="preserve">U postupku pretvorbe i privatizacije pulske cementare privatizirano je puno zemljišta koja po tada važećim zakonima nisu mogla biti privatizirana. Takav je slučaj i sa sportsko-rekreacijskim centrom Valkane, za koji bi Grad Pula trebao hitno pokrenuti postupak preispitivanja zakonitosti pretvorbe i privatizacije jer, prema tada  važećem zakonu, ta infrastruktura nije mogla biti privatizirana. </w:t>
            </w:r>
          </w:p>
          <w:p w14:paraId="17351027" w14:textId="77777777" w:rsidR="00870995" w:rsidRPr="00740C10" w:rsidRDefault="00870995" w:rsidP="00F1098A">
            <w:pPr>
              <w:rPr>
                <w:rFonts w:asciiTheme="majorHAnsi" w:hAnsiTheme="majorHAnsi" w:cstheme="majorHAnsi"/>
                <w:sz w:val="20"/>
                <w:szCs w:val="20"/>
              </w:rPr>
            </w:pPr>
            <w:r w:rsidRPr="00740C10">
              <w:rPr>
                <w:rFonts w:asciiTheme="majorHAnsi" w:hAnsiTheme="majorHAnsi" w:cstheme="majorHAnsi"/>
                <w:sz w:val="20"/>
                <w:szCs w:val="20"/>
              </w:rPr>
              <w:lastRenderedPageBreak/>
              <w:t xml:space="preserve">Ako RH pokreće postupke za povratom zemljišta na koja se prije 30 godina upisao Grad Pula, i Grad bi morao učiniti isto sa zemljištima koja nisu mogla biti privatizirana. </w:t>
            </w:r>
          </w:p>
          <w:p w14:paraId="69B96E73" w14:textId="77777777" w:rsidR="00870995" w:rsidRPr="00740C10" w:rsidRDefault="00870995" w:rsidP="00F1098A">
            <w:pPr>
              <w:rPr>
                <w:rFonts w:asciiTheme="majorHAnsi" w:hAnsiTheme="majorHAnsi" w:cstheme="majorHAnsi"/>
                <w:sz w:val="20"/>
                <w:szCs w:val="20"/>
              </w:rPr>
            </w:pPr>
            <w:r w:rsidRPr="00740C10">
              <w:rPr>
                <w:rFonts w:asciiTheme="majorHAnsi" w:hAnsiTheme="majorHAnsi" w:cstheme="majorHAnsi"/>
                <w:sz w:val="20"/>
                <w:szCs w:val="20"/>
              </w:rPr>
              <w:t>Stoga smo sa zadovoljstvom pročitali da se u Strategiji navodi nužnost primjene modela preuzimanja vlasništva nad komunalnom infrastrukturom. Prema Zakonu o komunalnoj infrastrukturi, postoji mogućnost da Grad Pula vrati dio imovine koja je trenutno u privatnom vlasništvu.</w:t>
            </w:r>
          </w:p>
          <w:p w14:paraId="09CF1A28" w14:textId="77777777" w:rsidR="00870995" w:rsidRPr="00740C10" w:rsidRDefault="00870995" w:rsidP="00F1098A">
            <w:pPr>
              <w:rPr>
                <w:rFonts w:asciiTheme="majorHAnsi" w:hAnsiTheme="majorHAnsi" w:cstheme="majorHAnsi"/>
                <w:sz w:val="20"/>
                <w:szCs w:val="20"/>
              </w:rPr>
            </w:pPr>
            <w:r w:rsidRPr="00740C10">
              <w:rPr>
                <w:rFonts w:asciiTheme="majorHAnsi" w:hAnsiTheme="majorHAnsi" w:cstheme="majorHAnsi"/>
                <w:sz w:val="20"/>
                <w:szCs w:val="20"/>
              </w:rPr>
              <w:t>Nedavno je Možemo! na konferenciji za medije pozvao gradsku upravu da to učini. Naveli smo upravo primjere zemljišta na koje se upisala tijekom pretvorbe i privatizacije pulska cementara i čiji su vlasnici danas njeni pravni sljednici.  Željeli smo pokazati da postoje elementi preispitivanja zakonitosti tih postupaka i vraćanja zemljišta i infrastrukture u vlasništvo Grada. (nerazvrstane ceste, spomenici i skulpture, gradski pročistač, sportsko-reakreacijski centar Valkane itd.).</w:t>
            </w:r>
          </w:p>
          <w:p w14:paraId="692B24FB" w14:textId="77777777" w:rsidR="00870995" w:rsidRPr="00740C10" w:rsidRDefault="00870995" w:rsidP="00F1098A">
            <w:pPr>
              <w:rPr>
                <w:rFonts w:asciiTheme="majorHAnsi" w:hAnsiTheme="majorHAnsi" w:cstheme="majorHAnsi"/>
                <w:sz w:val="20"/>
                <w:szCs w:val="20"/>
              </w:rPr>
            </w:pPr>
            <w:r w:rsidRPr="00740C10">
              <w:rPr>
                <w:rFonts w:asciiTheme="majorHAnsi" w:hAnsiTheme="majorHAnsi" w:cstheme="majorHAnsi"/>
                <w:sz w:val="20"/>
                <w:szCs w:val="20"/>
              </w:rPr>
              <w:t>U Strategiji je navedeno da je potrebno također propisati i urediti način postupanja s društvenim vlasništvom na području Grada jer će u narednom razdoblju veliku poteškoću predstavljati primjena instituta dosjelosti. Naime, rok za stjecanje dosjelošću nekretnine teče od 8. listopada 1991. godine (društveno vlasništvo), a kada je riječ o posjedniku nekretnina koje su vlasništvu Grada, isti ima pravo utvrđivati pravo vlasništva u svoju korist ako mu je posjed trajao 40 godina. Taj rok ističe 8. listopada 2031. godine. Iz tog razloga važno je hitno identificirati na terenu sve te nekretnine, utvrditi tko je posjednik, kao i obavijestiti sve posjednike o pravu vlasništva kako bi se spriječilo potencijalne sudske postupke, a samim time zadržalo u vlasništvu veliki broj nekretnina i spriječili veliki sudski troškovi. -</w:t>
            </w:r>
          </w:p>
          <w:p w14:paraId="3B6FF7DC" w14:textId="373690B8" w:rsidR="00870995" w:rsidRPr="009226D6" w:rsidRDefault="00870995" w:rsidP="00F1098A">
            <w:pPr>
              <w:rPr>
                <w:rFonts w:asciiTheme="majorHAnsi" w:hAnsiTheme="majorHAnsi" w:cstheme="majorHAnsi"/>
                <w:sz w:val="20"/>
                <w:szCs w:val="20"/>
              </w:rPr>
            </w:pPr>
            <w:r w:rsidRPr="00740C10">
              <w:rPr>
                <w:rFonts w:asciiTheme="majorHAnsi" w:hAnsiTheme="majorHAnsi" w:cstheme="majorHAnsi"/>
                <w:sz w:val="20"/>
                <w:szCs w:val="20"/>
              </w:rPr>
              <w:t>Posjednici podižu sve veći broj tužbi, pozivajući se na praksu Europskog suda za ljudska prava i Vrhovnog suda RH kako se u vrijeme dosjelosti ipak uračunava i razdoblje prije 8.10.1991., i stoga je bitno obaviti navedeno u što kraćem roku , u roku godine dana radi sprječavanja sudskih postupaka.</w:t>
            </w:r>
          </w:p>
        </w:tc>
        <w:tc>
          <w:tcPr>
            <w:tcW w:w="1389" w:type="dxa"/>
            <w:vAlign w:val="center"/>
          </w:tcPr>
          <w:p w14:paraId="51848F02" w14:textId="684CD4AD" w:rsidR="00870995" w:rsidRDefault="00870995" w:rsidP="00F1098A">
            <w:pPr>
              <w:jc w:val="center"/>
              <w:rPr>
                <w:rFonts w:asciiTheme="majorHAnsi" w:hAnsiTheme="majorHAnsi" w:cstheme="majorHAnsi"/>
                <w:sz w:val="20"/>
                <w:szCs w:val="20"/>
              </w:rPr>
            </w:pPr>
            <w:r>
              <w:rPr>
                <w:rFonts w:asciiTheme="majorHAnsi" w:hAnsiTheme="majorHAnsi" w:cstheme="majorHAnsi"/>
                <w:sz w:val="20"/>
                <w:szCs w:val="20"/>
              </w:rPr>
              <w:lastRenderedPageBreak/>
              <w:t>Pojašnjeno</w:t>
            </w:r>
          </w:p>
        </w:tc>
        <w:tc>
          <w:tcPr>
            <w:tcW w:w="3084" w:type="dxa"/>
            <w:vAlign w:val="center"/>
          </w:tcPr>
          <w:p w14:paraId="388981A4" w14:textId="77777777" w:rsidR="00870995" w:rsidRDefault="00870995" w:rsidP="00F1098A">
            <w:pPr>
              <w:rPr>
                <w:rFonts w:asciiTheme="majorHAnsi" w:hAnsiTheme="majorHAnsi" w:cstheme="majorHAnsi"/>
                <w:sz w:val="20"/>
                <w:szCs w:val="20"/>
              </w:rPr>
            </w:pPr>
            <w:r>
              <w:rPr>
                <w:rFonts w:asciiTheme="majorHAnsi" w:hAnsiTheme="majorHAnsi" w:cstheme="majorHAnsi"/>
                <w:sz w:val="20"/>
                <w:szCs w:val="20"/>
              </w:rPr>
              <w:t xml:space="preserve">Grad Pula-Pola nema zakonsku mogućnost </w:t>
            </w:r>
            <w:r w:rsidRPr="00D1183F">
              <w:rPr>
                <w:rFonts w:asciiTheme="majorHAnsi" w:hAnsiTheme="majorHAnsi" w:cstheme="majorHAnsi"/>
                <w:sz w:val="20"/>
                <w:szCs w:val="20"/>
              </w:rPr>
              <w:t>pokretati postupke za povratom zemljišta koja su tijekom pretvorbe i privatizacije nezakonito privatizirana</w:t>
            </w:r>
            <w:r>
              <w:rPr>
                <w:rFonts w:asciiTheme="majorHAnsi" w:hAnsiTheme="majorHAnsi" w:cstheme="majorHAnsi"/>
                <w:sz w:val="20"/>
                <w:szCs w:val="20"/>
              </w:rPr>
              <w:t>.</w:t>
            </w:r>
          </w:p>
          <w:p w14:paraId="2A989941" w14:textId="4B79ED93" w:rsidR="00870995" w:rsidRDefault="00870995" w:rsidP="00F1098A">
            <w:pPr>
              <w:rPr>
                <w:rFonts w:asciiTheme="majorHAnsi" w:hAnsiTheme="majorHAnsi" w:cstheme="majorHAnsi"/>
                <w:sz w:val="20"/>
                <w:szCs w:val="20"/>
              </w:rPr>
            </w:pPr>
            <w:r>
              <w:rPr>
                <w:rFonts w:asciiTheme="majorHAnsi" w:hAnsiTheme="majorHAnsi" w:cstheme="majorHAnsi"/>
                <w:sz w:val="20"/>
                <w:szCs w:val="20"/>
              </w:rPr>
              <w:t>Koraci koje je moguće poduzeti u smjeru rješavanja imovinskopravnih predmeta planirat će se kroz Godišnje planove tijekom provedbe Strategije.</w:t>
            </w:r>
          </w:p>
          <w:p w14:paraId="656F22A1" w14:textId="4F065AB2" w:rsidR="00870995" w:rsidRPr="00A55E86" w:rsidRDefault="00870995" w:rsidP="00F1098A">
            <w:pPr>
              <w:rPr>
                <w:rFonts w:asciiTheme="majorHAnsi" w:hAnsiTheme="majorHAnsi" w:cstheme="majorHAnsi"/>
                <w:sz w:val="20"/>
                <w:szCs w:val="20"/>
              </w:rPr>
            </w:pPr>
          </w:p>
        </w:tc>
      </w:tr>
      <w:tr w:rsidR="00870995" w:rsidRPr="00505D73" w14:paraId="2AAE0455" w14:textId="77777777" w:rsidTr="00C47C2F">
        <w:tc>
          <w:tcPr>
            <w:tcW w:w="490" w:type="dxa"/>
          </w:tcPr>
          <w:p w14:paraId="208A0602" w14:textId="70C5C708" w:rsidR="00870995" w:rsidRPr="00505D73" w:rsidRDefault="00870995" w:rsidP="00F1098A">
            <w:pPr>
              <w:rPr>
                <w:rFonts w:asciiTheme="majorHAnsi" w:hAnsiTheme="majorHAnsi" w:cstheme="majorHAnsi"/>
                <w:sz w:val="20"/>
                <w:szCs w:val="20"/>
              </w:rPr>
            </w:pPr>
            <w:r>
              <w:rPr>
                <w:rFonts w:asciiTheme="majorHAnsi" w:hAnsiTheme="majorHAnsi" w:cstheme="majorHAnsi"/>
                <w:sz w:val="20"/>
                <w:szCs w:val="20"/>
              </w:rPr>
              <w:t>22.</w:t>
            </w:r>
          </w:p>
        </w:tc>
        <w:tc>
          <w:tcPr>
            <w:tcW w:w="1460" w:type="dxa"/>
            <w:vMerge/>
          </w:tcPr>
          <w:p w14:paraId="196BDEB7" w14:textId="77777777" w:rsidR="00870995" w:rsidRPr="000B6031" w:rsidRDefault="00870995" w:rsidP="00F1098A">
            <w:pPr>
              <w:rPr>
                <w:rFonts w:asciiTheme="majorHAnsi" w:hAnsiTheme="majorHAnsi" w:cstheme="majorHAnsi"/>
                <w:sz w:val="20"/>
                <w:szCs w:val="20"/>
              </w:rPr>
            </w:pPr>
          </w:p>
        </w:tc>
        <w:tc>
          <w:tcPr>
            <w:tcW w:w="7571" w:type="dxa"/>
          </w:tcPr>
          <w:p w14:paraId="70822243" w14:textId="074266BC" w:rsidR="00870995" w:rsidRPr="000B6031" w:rsidRDefault="00870995" w:rsidP="00F1098A">
            <w:pPr>
              <w:rPr>
                <w:rFonts w:asciiTheme="majorHAnsi" w:hAnsiTheme="majorHAnsi" w:cstheme="majorHAnsi"/>
                <w:sz w:val="20"/>
                <w:szCs w:val="20"/>
              </w:rPr>
            </w:pPr>
            <w:r w:rsidRPr="000B6031">
              <w:rPr>
                <w:rFonts w:asciiTheme="majorHAnsi" w:hAnsiTheme="majorHAnsi" w:cstheme="majorHAnsi"/>
                <w:sz w:val="20"/>
                <w:szCs w:val="20"/>
              </w:rPr>
              <w:t>ZANEMARENI DRUŠTVENI CILJEVI</w:t>
            </w:r>
            <w:r w:rsidRPr="000B6031">
              <w:rPr>
                <w:rFonts w:asciiTheme="majorHAnsi" w:hAnsiTheme="majorHAnsi" w:cstheme="majorHAnsi"/>
                <w:sz w:val="20"/>
                <w:szCs w:val="20"/>
              </w:rPr>
              <w:tab/>
            </w:r>
          </w:p>
          <w:p w14:paraId="79903198" w14:textId="77777777" w:rsidR="00870995" w:rsidRDefault="00870995" w:rsidP="00F1098A">
            <w:pPr>
              <w:rPr>
                <w:rFonts w:asciiTheme="majorHAnsi" w:hAnsiTheme="majorHAnsi" w:cstheme="majorHAnsi"/>
                <w:sz w:val="20"/>
                <w:szCs w:val="20"/>
              </w:rPr>
            </w:pPr>
            <w:r w:rsidRPr="000B6031">
              <w:rPr>
                <w:rFonts w:asciiTheme="majorHAnsi" w:hAnsiTheme="majorHAnsi" w:cstheme="majorHAnsi"/>
                <w:sz w:val="20"/>
                <w:szCs w:val="20"/>
              </w:rPr>
              <w:t xml:space="preserve">U tablici 12. navedene su skupine imovine prema vrsti nekretnina i financijskim ciljevima. </w:t>
            </w:r>
          </w:p>
          <w:p w14:paraId="29F6892C" w14:textId="77777777" w:rsidR="00870995" w:rsidRDefault="00870995" w:rsidP="00F1098A">
            <w:pPr>
              <w:rPr>
                <w:rFonts w:asciiTheme="majorHAnsi" w:hAnsiTheme="majorHAnsi" w:cstheme="majorHAnsi"/>
                <w:sz w:val="20"/>
                <w:szCs w:val="20"/>
              </w:rPr>
            </w:pPr>
          </w:p>
          <w:tbl>
            <w:tblPr>
              <w:tblW w:w="7345" w:type="dxa"/>
              <w:tblLook w:val="0600" w:firstRow="0" w:lastRow="0" w:firstColumn="0" w:lastColumn="0" w:noHBand="1" w:noVBand="1"/>
            </w:tblPr>
            <w:tblGrid>
              <w:gridCol w:w="2384"/>
              <w:gridCol w:w="1985"/>
              <w:gridCol w:w="2976"/>
            </w:tblGrid>
            <w:tr w:rsidR="00870995" w:rsidRPr="009753C2" w14:paraId="00D05975" w14:textId="77777777" w:rsidTr="009753C2">
              <w:trPr>
                <w:trHeight w:val="935"/>
              </w:trPr>
              <w:tc>
                <w:tcPr>
                  <w:tcW w:w="2384" w:type="dxa"/>
                  <w:tcBorders>
                    <w:top w:val="single" w:sz="4" w:space="0" w:color="000000"/>
                    <w:left w:val="single" w:sz="4" w:space="0" w:color="000000"/>
                    <w:bottom w:val="single" w:sz="4" w:space="0" w:color="000000"/>
                    <w:right w:val="single" w:sz="5" w:space="0" w:color="000000"/>
                  </w:tcBorders>
                  <w:shd w:val="clear" w:color="auto" w:fill="DEEBF6"/>
                  <w:tcMar>
                    <w:top w:w="100" w:type="dxa"/>
                    <w:left w:w="100" w:type="dxa"/>
                    <w:bottom w:w="100" w:type="dxa"/>
                    <w:right w:w="100" w:type="dxa"/>
                  </w:tcMar>
                </w:tcPr>
                <w:p w14:paraId="20FF065A"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p>
                <w:p w14:paraId="72A374F2"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Klasifikacijska funkcija imovine</w:t>
                  </w:r>
                </w:p>
                <w:p w14:paraId="03CA6858"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p>
              </w:tc>
              <w:tc>
                <w:tcPr>
                  <w:tcW w:w="1985" w:type="dxa"/>
                  <w:tcBorders>
                    <w:top w:val="single" w:sz="4" w:space="0" w:color="000000"/>
                    <w:left w:val="single" w:sz="5" w:space="0" w:color="000000"/>
                    <w:bottom w:val="single" w:sz="4" w:space="0" w:color="000000"/>
                    <w:right w:val="single" w:sz="4" w:space="0" w:color="000000"/>
                  </w:tcBorders>
                  <w:shd w:val="clear" w:color="auto" w:fill="DEEBF6"/>
                  <w:tcMar>
                    <w:top w:w="100" w:type="dxa"/>
                    <w:left w:w="100" w:type="dxa"/>
                    <w:bottom w:w="100" w:type="dxa"/>
                    <w:right w:w="100" w:type="dxa"/>
                  </w:tcMar>
                </w:tcPr>
                <w:p w14:paraId="0711B856"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p>
                <w:p w14:paraId="4DD96FD7"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Vrsta nekretnina</w:t>
                  </w:r>
                </w:p>
                <w:p w14:paraId="29A47894"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p>
              </w:tc>
              <w:tc>
                <w:tcPr>
                  <w:tcW w:w="2976" w:type="dxa"/>
                  <w:tcBorders>
                    <w:top w:val="single" w:sz="4" w:space="0" w:color="000000"/>
                    <w:left w:val="single" w:sz="4" w:space="0" w:color="000000"/>
                    <w:bottom w:val="single" w:sz="4" w:space="0" w:color="000000"/>
                    <w:right w:val="single" w:sz="4" w:space="0" w:color="000000"/>
                  </w:tcBorders>
                  <w:shd w:val="clear" w:color="auto" w:fill="DEEBF6"/>
                  <w:tcMar>
                    <w:top w:w="100" w:type="dxa"/>
                    <w:left w:w="100" w:type="dxa"/>
                    <w:bottom w:w="100" w:type="dxa"/>
                    <w:right w:w="100" w:type="dxa"/>
                  </w:tcMar>
                </w:tcPr>
                <w:p w14:paraId="25B287B4"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p>
                <w:p w14:paraId="4D0CD83C"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Financijski ciljevi (učinci)</w:t>
                  </w:r>
                  <w:r w:rsidRPr="009753C2">
                    <w:rPr>
                      <w:rFonts w:asciiTheme="majorHAnsi" w:hAnsiTheme="majorHAnsi" w:cstheme="majorHAnsi"/>
                      <w:i/>
                      <w:iCs/>
                      <w:sz w:val="18"/>
                      <w:szCs w:val="18"/>
                    </w:rPr>
                    <w:tab/>
                  </w:r>
                </w:p>
              </w:tc>
            </w:tr>
            <w:tr w:rsidR="00870995" w:rsidRPr="009753C2" w14:paraId="5D90F623" w14:textId="77777777" w:rsidTr="009753C2">
              <w:trPr>
                <w:trHeight w:val="1160"/>
              </w:trPr>
              <w:tc>
                <w:tcPr>
                  <w:tcW w:w="2384" w:type="dxa"/>
                  <w:tcBorders>
                    <w:top w:val="single" w:sz="4" w:space="0" w:color="000000"/>
                    <w:left w:val="single" w:sz="4" w:space="0" w:color="000000"/>
                    <w:bottom w:val="single" w:sz="4" w:space="0" w:color="000000"/>
                    <w:right w:val="single" w:sz="5" w:space="0" w:color="000000"/>
                  </w:tcBorders>
                  <w:tcMar>
                    <w:top w:w="100" w:type="dxa"/>
                    <w:left w:w="100" w:type="dxa"/>
                    <w:bottom w:w="100" w:type="dxa"/>
                    <w:right w:w="100" w:type="dxa"/>
                  </w:tcMar>
                </w:tcPr>
                <w:p w14:paraId="540480F2"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lastRenderedPageBreak/>
                    <w:tab/>
                  </w:r>
                  <w:r w:rsidRPr="009753C2">
                    <w:rPr>
                      <w:rFonts w:asciiTheme="majorHAnsi" w:hAnsiTheme="majorHAnsi" w:cstheme="majorHAnsi"/>
                      <w:i/>
                      <w:iCs/>
                      <w:sz w:val="18"/>
                      <w:szCs w:val="18"/>
                    </w:rPr>
                    <w:tab/>
                  </w:r>
                </w:p>
                <w:p w14:paraId="4BD39A88"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A – Obvezna imovina</w:t>
                  </w:r>
                </w:p>
                <w:p w14:paraId="0FDC37D0"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p>
              </w:tc>
              <w:tc>
                <w:tcPr>
                  <w:tcW w:w="1985" w:type="dxa"/>
                  <w:tcBorders>
                    <w:top w:val="single" w:sz="4" w:space="0" w:color="000000"/>
                    <w:left w:val="single" w:sz="5" w:space="0" w:color="000000"/>
                    <w:bottom w:val="single" w:sz="4" w:space="0" w:color="000000"/>
                    <w:right w:val="single" w:sz="4" w:space="0" w:color="000000"/>
                  </w:tcBorders>
                  <w:tcMar>
                    <w:top w:w="100" w:type="dxa"/>
                    <w:left w:w="100" w:type="dxa"/>
                    <w:bottom w:w="100" w:type="dxa"/>
                    <w:right w:w="100" w:type="dxa"/>
                  </w:tcMar>
                </w:tcPr>
                <w:p w14:paraId="0E55E954"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Objekti i prostori gradske uprave, komunalna infrastruktura</w:t>
                  </w:r>
                </w:p>
                <w:p w14:paraId="10E4E8ED"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p>
              </w:tc>
              <w:tc>
                <w:tcPr>
                  <w:tcW w:w="29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C8826C"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Maksimiziranje efekata korištenja, minimiziranje troškova</w:t>
                  </w:r>
                </w:p>
                <w:p w14:paraId="7F403728" w14:textId="77777777" w:rsidR="00870995" w:rsidRPr="009753C2" w:rsidRDefault="00870995" w:rsidP="00F1098A">
                  <w:pPr>
                    <w:rPr>
                      <w:rFonts w:asciiTheme="majorHAnsi" w:hAnsiTheme="majorHAnsi" w:cstheme="majorHAnsi"/>
                      <w:i/>
                      <w:iCs/>
                      <w:sz w:val="18"/>
                      <w:szCs w:val="18"/>
                    </w:rPr>
                  </w:pPr>
                </w:p>
              </w:tc>
            </w:tr>
            <w:tr w:rsidR="00870995" w:rsidRPr="009753C2" w14:paraId="68EF0A49" w14:textId="77777777" w:rsidTr="009753C2">
              <w:trPr>
                <w:trHeight w:val="1370"/>
              </w:trPr>
              <w:tc>
                <w:tcPr>
                  <w:tcW w:w="2384" w:type="dxa"/>
                  <w:tcBorders>
                    <w:top w:val="single" w:sz="4" w:space="0" w:color="000000"/>
                    <w:left w:val="single" w:sz="4" w:space="0" w:color="000000"/>
                    <w:bottom w:val="single" w:sz="4" w:space="0" w:color="000000"/>
                    <w:right w:val="single" w:sz="5" w:space="0" w:color="000000"/>
                  </w:tcBorders>
                  <w:tcMar>
                    <w:top w:w="100" w:type="dxa"/>
                    <w:left w:w="100" w:type="dxa"/>
                    <w:bottom w:w="100" w:type="dxa"/>
                    <w:right w:w="100" w:type="dxa"/>
                  </w:tcMar>
                </w:tcPr>
                <w:p w14:paraId="1D3F7941"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ab/>
                  </w:r>
                </w:p>
                <w:p w14:paraId="271B729B"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B – Diskrecijska imovina</w:t>
                  </w:r>
                </w:p>
                <w:p w14:paraId="63085C6E"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p>
              </w:tc>
              <w:tc>
                <w:tcPr>
                  <w:tcW w:w="1985" w:type="dxa"/>
                  <w:tcBorders>
                    <w:top w:val="single" w:sz="4" w:space="0" w:color="000000"/>
                    <w:left w:val="single" w:sz="5" w:space="0" w:color="000000"/>
                    <w:bottom w:val="single" w:sz="4" w:space="0" w:color="000000"/>
                    <w:right w:val="single" w:sz="4" w:space="0" w:color="000000"/>
                  </w:tcBorders>
                  <w:tcMar>
                    <w:top w:w="100" w:type="dxa"/>
                    <w:left w:w="100" w:type="dxa"/>
                    <w:bottom w:w="100" w:type="dxa"/>
                    <w:right w:w="100" w:type="dxa"/>
                  </w:tcMar>
                </w:tcPr>
                <w:p w14:paraId="52CEC3AC"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Igrališta, dvorane, šetnice, zelene površine, poslovni prostori za udruge civilnog društva i slično</w:t>
                  </w:r>
                </w:p>
                <w:p w14:paraId="613583E9"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ab/>
                  </w:r>
                </w:p>
              </w:tc>
              <w:tc>
                <w:tcPr>
                  <w:tcW w:w="29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126719" w14:textId="77777777" w:rsidR="00870995" w:rsidRPr="009753C2" w:rsidRDefault="00870995" w:rsidP="00F1098A">
                  <w:pPr>
                    <w:rPr>
                      <w:rFonts w:asciiTheme="majorHAnsi" w:hAnsiTheme="majorHAnsi" w:cstheme="majorHAnsi"/>
                      <w:i/>
                      <w:iCs/>
                      <w:color w:val="FF0000"/>
                      <w:sz w:val="18"/>
                      <w:szCs w:val="18"/>
                    </w:rPr>
                  </w:pPr>
                  <w:r w:rsidRPr="009753C2">
                    <w:rPr>
                      <w:rFonts w:asciiTheme="majorHAnsi" w:hAnsiTheme="majorHAnsi" w:cstheme="majorHAnsi"/>
                      <w:i/>
                      <w:iCs/>
                      <w:color w:val="FF0000"/>
                      <w:sz w:val="18"/>
                      <w:szCs w:val="18"/>
                    </w:rPr>
                    <w:t>Minimiziranje subvencija</w:t>
                  </w:r>
                </w:p>
                <w:p w14:paraId="260A01AD"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ab/>
                  </w:r>
                </w:p>
              </w:tc>
            </w:tr>
            <w:tr w:rsidR="00870995" w:rsidRPr="009753C2" w14:paraId="67418A3B" w14:textId="77777777" w:rsidTr="009753C2">
              <w:trPr>
                <w:trHeight w:val="1160"/>
              </w:trPr>
              <w:tc>
                <w:tcPr>
                  <w:tcW w:w="2384" w:type="dxa"/>
                  <w:tcBorders>
                    <w:top w:val="single" w:sz="4" w:space="0" w:color="000000"/>
                    <w:left w:val="single" w:sz="4" w:space="0" w:color="000000"/>
                    <w:bottom w:val="single" w:sz="4" w:space="0" w:color="000000"/>
                    <w:right w:val="single" w:sz="5" w:space="0" w:color="000000"/>
                  </w:tcBorders>
                  <w:tcMar>
                    <w:top w:w="100" w:type="dxa"/>
                    <w:left w:w="100" w:type="dxa"/>
                    <w:bottom w:w="100" w:type="dxa"/>
                    <w:right w:w="100" w:type="dxa"/>
                  </w:tcMar>
                </w:tcPr>
                <w:p w14:paraId="356A7474"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C – Prihodovna imovina</w:t>
                  </w:r>
                </w:p>
                <w:p w14:paraId="50024920"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p>
              </w:tc>
              <w:tc>
                <w:tcPr>
                  <w:tcW w:w="1985" w:type="dxa"/>
                  <w:tcBorders>
                    <w:top w:val="single" w:sz="4" w:space="0" w:color="000000"/>
                    <w:left w:val="single" w:sz="5" w:space="0" w:color="000000"/>
                    <w:bottom w:val="single" w:sz="4" w:space="0" w:color="000000"/>
                    <w:right w:val="single" w:sz="4" w:space="0" w:color="000000"/>
                  </w:tcBorders>
                  <w:tcMar>
                    <w:top w:w="100" w:type="dxa"/>
                    <w:left w:w="100" w:type="dxa"/>
                    <w:bottom w:w="100" w:type="dxa"/>
                    <w:right w:w="100" w:type="dxa"/>
                  </w:tcMar>
                </w:tcPr>
                <w:p w14:paraId="02BC394E"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Poslovni prostori za zakup, stanovi za tržišni najam, terase, parkirališta i slično</w:t>
                  </w:r>
                </w:p>
                <w:p w14:paraId="09EF0F4D"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r w:rsidRPr="009753C2">
                    <w:rPr>
                      <w:rFonts w:asciiTheme="majorHAnsi" w:hAnsiTheme="majorHAnsi" w:cstheme="majorHAnsi"/>
                      <w:i/>
                      <w:iCs/>
                      <w:sz w:val="18"/>
                      <w:szCs w:val="18"/>
                    </w:rPr>
                    <w:tab/>
                  </w:r>
                </w:p>
              </w:tc>
              <w:tc>
                <w:tcPr>
                  <w:tcW w:w="29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2AA5AA" w14:textId="77777777" w:rsidR="00870995" w:rsidRPr="009753C2" w:rsidRDefault="00870995" w:rsidP="00F1098A">
                  <w:pPr>
                    <w:rPr>
                      <w:rFonts w:asciiTheme="majorHAnsi" w:hAnsiTheme="majorHAnsi" w:cstheme="majorHAnsi"/>
                      <w:i/>
                      <w:iCs/>
                      <w:color w:val="FF0000"/>
                      <w:sz w:val="18"/>
                      <w:szCs w:val="18"/>
                    </w:rPr>
                  </w:pPr>
                  <w:r w:rsidRPr="009753C2">
                    <w:rPr>
                      <w:rFonts w:asciiTheme="majorHAnsi" w:hAnsiTheme="majorHAnsi" w:cstheme="majorHAnsi"/>
                      <w:i/>
                      <w:iCs/>
                      <w:color w:val="FF0000"/>
                      <w:sz w:val="18"/>
                      <w:szCs w:val="18"/>
                    </w:rPr>
                    <w:t>Maksimiziranje financijskog povrata</w:t>
                  </w:r>
                </w:p>
                <w:p w14:paraId="06222712" w14:textId="77777777" w:rsidR="00870995" w:rsidRPr="009753C2" w:rsidRDefault="00870995" w:rsidP="00F1098A">
                  <w:pPr>
                    <w:rPr>
                      <w:rFonts w:asciiTheme="majorHAnsi" w:hAnsiTheme="majorHAnsi" w:cstheme="majorHAnsi"/>
                      <w:i/>
                      <w:iCs/>
                      <w:sz w:val="18"/>
                      <w:szCs w:val="18"/>
                    </w:rPr>
                  </w:pPr>
                  <w:r w:rsidRPr="009753C2">
                    <w:rPr>
                      <w:rFonts w:asciiTheme="majorHAnsi" w:hAnsiTheme="majorHAnsi" w:cstheme="majorHAnsi"/>
                      <w:i/>
                      <w:iCs/>
                      <w:sz w:val="18"/>
                      <w:szCs w:val="18"/>
                    </w:rPr>
                    <w:tab/>
                  </w:r>
                </w:p>
              </w:tc>
            </w:tr>
          </w:tbl>
          <w:p w14:paraId="7D22A7A4" w14:textId="77777777" w:rsidR="00870995" w:rsidRDefault="00870995" w:rsidP="00F1098A">
            <w:pPr>
              <w:rPr>
                <w:rFonts w:asciiTheme="majorHAnsi" w:hAnsiTheme="majorHAnsi" w:cstheme="majorHAnsi"/>
                <w:sz w:val="20"/>
                <w:szCs w:val="20"/>
              </w:rPr>
            </w:pPr>
          </w:p>
          <w:p w14:paraId="7AB9FF05" w14:textId="77777777" w:rsidR="00870995" w:rsidRPr="00EB0A9E" w:rsidRDefault="00870995" w:rsidP="00F1098A">
            <w:pPr>
              <w:rPr>
                <w:rFonts w:asciiTheme="majorHAnsi" w:hAnsiTheme="majorHAnsi" w:cstheme="majorHAnsi"/>
                <w:sz w:val="20"/>
                <w:szCs w:val="20"/>
              </w:rPr>
            </w:pPr>
            <w:r w:rsidRPr="00EB0A9E">
              <w:rPr>
                <w:rFonts w:asciiTheme="majorHAnsi" w:hAnsiTheme="majorHAnsi" w:cstheme="majorHAnsi"/>
                <w:sz w:val="20"/>
                <w:szCs w:val="20"/>
              </w:rPr>
              <w:t xml:space="preserve">Uzimaju se u obzir samo financijski učinci, pa se za javne sadržaje poput igrališta, dvorana, zelenih površina ili prostora za udruge zacrtava minimiziranje subvencija, zanemarujući u potpunosti društveni učinak takvog cilja. Kakav će učinak imati minimiziranje subvencija, i što to uopće znači, za sportsku ili zelenu infrastrukturu ili za prostore udruga? </w:t>
            </w:r>
          </w:p>
          <w:p w14:paraId="4C796F6B" w14:textId="77777777" w:rsidR="00870995" w:rsidRPr="00EB0A9E" w:rsidRDefault="00870995" w:rsidP="00F1098A">
            <w:pPr>
              <w:rPr>
                <w:rFonts w:asciiTheme="majorHAnsi" w:hAnsiTheme="majorHAnsi" w:cstheme="majorHAnsi"/>
                <w:sz w:val="20"/>
                <w:szCs w:val="20"/>
              </w:rPr>
            </w:pPr>
            <w:r w:rsidRPr="00EB0A9E">
              <w:rPr>
                <w:rFonts w:asciiTheme="majorHAnsi" w:hAnsiTheme="majorHAnsi" w:cstheme="majorHAnsi"/>
                <w:sz w:val="20"/>
                <w:szCs w:val="20"/>
              </w:rPr>
              <w:t xml:space="preserve">Tako se u poglavlju 6.2.1.4. Povećanje financijskih učinaka od imovine uz povećanje vrijednosti jedinica kao cilj navodi  postizanje realnih tržišnih cijena za nekretnine koje se daju u zakup/najam. </w:t>
            </w:r>
          </w:p>
          <w:p w14:paraId="69B44332" w14:textId="77777777" w:rsidR="00870995" w:rsidRPr="00EB0A9E" w:rsidRDefault="00870995" w:rsidP="00F1098A">
            <w:pPr>
              <w:rPr>
                <w:rFonts w:asciiTheme="majorHAnsi" w:hAnsiTheme="majorHAnsi" w:cstheme="majorHAnsi"/>
                <w:sz w:val="20"/>
                <w:szCs w:val="20"/>
              </w:rPr>
            </w:pPr>
            <w:r w:rsidRPr="00EB0A9E">
              <w:rPr>
                <w:rFonts w:asciiTheme="majorHAnsi" w:hAnsiTheme="majorHAnsi" w:cstheme="majorHAnsi"/>
                <w:sz w:val="20"/>
                <w:szCs w:val="20"/>
              </w:rPr>
              <w:t xml:space="preserve">Paušalni stav da je za prihodovnu imovinu potrebno maksimizirati financijski povrat ne uzima u obzir društvene ciljeve: ne smije se maksimalizirati cijena najma za stanove, niti cijena zakupa za one kategorije djelatnosti koje se žele poticati kako bi se. npr. oživjela starogradska jezgra djelatnostima koje su potrebne za svakodnevni život stanara itd. Takav paušalni pristup dovodi u pitanje ostvarivanje nekih osnovnih društvenih ciljeva upravljanja imovinom. Grad nije i ne smije biti poduzeće kojemu je jedini cilj maksimaliziranje profita. </w:t>
            </w:r>
          </w:p>
          <w:p w14:paraId="790F5CD1" w14:textId="4382C183" w:rsidR="00870995" w:rsidRDefault="00870995" w:rsidP="00F1098A">
            <w:pPr>
              <w:rPr>
                <w:rFonts w:asciiTheme="majorHAnsi" w:hAnsiTheme="majorHAnsi" w:cstheme="majorHAnsi"/>
                <w:sz w:val="20"/>
                <w:szCs w:val="20"/>
              </w:rPr>
            </w:pPr>
            <w:r w:rsidRPr="00EB0A9E">
              <w:rPr>
                <w:rFonts w:asciiTheme="majorHAnsi" w:hAnsiTheme="majorHAnsi" w:cstheme="majorHAnsi"/>
                <w:sz w:val="20"/>
                <w:szCs w:val="20"/>
              </w:rPr>
              <w:t>Tako se u Strategiji navodi da ograničenje djelatnosti za korištenje poslovnih prostora umanjuje moguće prihode, te da je potrebno deregulirati to područje. To je još jedan primjer nerazumijevanja ostvarivanja željenih ciljeva politikom odabira/poticanja djelatnosti i ne-tržišnih cijena zakupa kako bi se potakle deficitarne ili željene aktivnosti.</w:t>
            </w:r>
          </w:p>
          <w:p w14:paraId="2E176643" w14:textId="77777777" w:rsidR="00870995" w:rsidRPr="00403F41" w:rsidRDefault="00870995" w:rsidP="00F1098A">
            <w:pPr>
              <w:rPr>
                <w:rFonts w:asciiTheme="majorHAnsi" w:hAnsiTheme="majorHAnsi" w:cstheme="majorHAnsi"/>
                <w:sz w:val="20"/>
                <w:szCs w:val="20"/>
              </w:rPr>
            </w:pPr>
            <w:r w:rsidRPr="00403F41">
              <w:rPr>
                <w:rFonts w:asciiTheme="majorHAnsi" w:hAnsiTheme="majorHAnsi" w:cstheme="majorHAnsi"/>
                <w:sz w:val="20"/>
                <w:szCs w:val="20"/>
              </w:rPr>
              <w:lastRenderedPageBreak/>
              <w:t>Iz tog razloga takav oblik “subvencije”  nazivate propuštenim dohotkom umjesto načinom ostvarivanja širih društvenih ciljeva.</w:t>
            </w:r>
          </w:p>
          <w:p w14:paraId="52BAF699" w14:textId="77777777" w:rsidR="00870995" w:rsidRPr="00403F41" w:rsidRDefault="00870995" w:rsidP="00F1098A">
            <w:pPr>
              <w:rPr>
                <w:rFonts w:asciiTheme="majorHAnsi" w:hAnsiTheme="majorHAnsi" w:cstheme="majorHAnsi"/>
                <w:sz w:val="20"/>
                <w:szCs w:val="20"/>
              </w:rPr>
            </w:pPr>
            <w:r w:rsidRPr="00403F41">
              <w:rPr>
                <w:rFonts w:asciiTheme="majorHAnsi" w:hAnsiTheme="majorHAnsi" w:cstheme="majorHAnsi"/>
                <w:sz w:val="20"/>
                <w:szCs w:val="20"/>
              </w:rPr>
              <w:t>Iz toga razloga ne slažemo se sa Strateškim ciljem - Menadžersko upravljanje imovinom, koji je opisan. “Strateški cilj menadžersko upravljanje predstavlja metodološku novinu u odnosu na dosadašnji pristup upravljanju imovinom Grada. Navedeno ne znači da se i do sada menadžersko upravljanje Gradom nije primjenjivalo, samo što se u ovom dokumentu ističe obvezna primjena istog. Sva pozitivna iskustva koja se primjenjuju u privatnom sektoru moguće je primijeniti i kod upravljanja dijelom javne imovine.”</w:t>
            </w:r>
          </w:p>
          <w:p w14:paraId="3183884B" w14:textId="5499ADE9" w:rsidR="00870995" w:rsidRDefault="00870995" w:rsidP="00F1098A">
            <w:pPr>
              <w:rPr>
                <w:rFonts w:asciiTheme="majorHAnsi" w:hAnsiTheme="majorHAnsi" w:cstheme="majorHAnsi"/>
                <w:sz w:val="20"/>
                <w:szCs w:val="20"/>
              </w:rPr>
            </w:pPr>
            <w:r w:rsidRPr="00403F41">
              <w:rPr>
                <w:rFonts w:asciiTheme="majorHAnsi" w:hAnsiTheme="majorHAnsi" w:cstheme="majorHAnsi"/>
                <w:sz w:val="20"/>
                <w:szCs w:val="20"/>
              </w:rPr>
              <w:t>Držimo da su se Strategijom trebali mapirati nedovoljno korišteni javni prostori čijom se većom iskorištenošću mogu na bolji način zadovoljiti društvene potrebe (npr. prostori mjesnih odbora).</w:t>
            </w:r>
          </w:p>
          <w:p w14:paraId="6A154C65" w14:textId="2000245C" w:rsidR="00870995" w:rsidRPr="009226D6" w:rsidRDefault="00870995" w:rsidP="00F1098A">
            <w:pPr>
              <w:rPr>
                <w:rFonts w:asciiTheme="majorHAnsi" w:hAnsiTheme="majorHAnsi" w:cstheme="majorHAnsi"/>
                <w:sz w:val="20"/>
                <w:szCs w:val="20"/>
              </w:rPr>
            </w:pPr>
          </w:p>
        </w:tc>
        <w:tc>
          <w:tcPr>
            <w:tcW w:w="1389" w:type="dxa"/>
            <w:vAlign w:val="center"/>
          </w:tcPr>
          <w:p w14:paraId="4E20BE72" w14:textId="59B26CC7" w:rsidR="00870995" w:rsidRDefault="00870995" w:rsidP="00F1098A">
            <w:pPr>
              <w:jc w:val="center"/>
              <w:rPr>
                <w:rFonts w:asciiTheme="majorHAnsi" w:hAnsiTheme="majorHAnsi" w:cstheme="majorHAnsi"/>
                <w:sz w:val="20"/>
                <w:szCs w:val="20"/>
              </w:rPr>
            </w:pPr>
            <w:r>
              <w:rPr>
                <w:rFonts w:asciiTheme="majorHAnsi" w:hAnsiTheme="majorHAnsi" w:cstheme="majorHAnsi"/>
                <w:sz w:val="20"/>
                <w:szCs w:val="20"/>
              </w:rPr>
              <w:lastRenderedPageBreak/>
              <w:t>Pojašnjeno</w:t>
            </w:r>
          </w:p>
        </w:tc>
        <w:tc>
          <w:tcPr>
            <w:tcW w:w="3084" w:type="dxa"/>
            <w:vAlign w:val="center"/>
          </w:tcPr>
          <w:p w14:paraId="23039F75" w14:textId="77777777" w:rsidR="00870995" w:rsidRDefault="00870995" w:rsidP="00F1098A">
            <w:pPr>
              <w:rPr>
                <w:rFonts w:asciiTheme="majorHAnsi" w:hAnsiTheme="majorHAnsi" w:cstheme="majorHAnsi"/>
                <w:sz w:val="20"/>
                <w:szCs w:val="20"/>
              </w:rPr>
            </w:pPr>
            <w:r>
              <w:rPr>
                <w:rFonts w:asciiTheme="majorHAnsi" w:hAnsiTheme="majorHAnsi" w:cstheme="majorHAnsi"/>
                <w:sz w:val="20"/>
                <w:szCs w:val="20"/>
              </w:rPr>
              <w:t>Minimiziranje subvencija potiče javnu upravu</w:t>
            </w:r>
            <w:r w:rsidRPr="00370DE4">
              <w:rPr>
                <w:rFonts w:asciiTheme="majorHAnsi" w:hAnsiTheme="majorHAnsi" w:cstheme="majorHAnsi"/>
                <w:sz w:val="20"/>
                <w:szCs w:val="20"/>
              </w:rPr>
              <w:t xml:space="preserve"> da </w:t>
            </w:r>
            <w:r>
              <w:rPr>
                <w:rFonts w:asciiTheme="majorHAnsi" w:hAnsiTheme="majorHAnsi" w:cstheme="majorHAnsi"/>
                <w:sz w:val="20"/>
                <w:szCs w:val="20"/>
              </w:rPr>
              <w:t>pronađe</w:t>
            </w:r>
            <w:r w:rsidRPr="00370DE4">
              <w:rPr>
                <w:rFonts w:asciiTheme="majorHAnsi" w:hAnsiTheme="majorHAnsi" w:cstheme="majorHAnsi"/>
                <w:sz w:val="20"/>
                <w:szCs w:val="20"/>
              </w:rPr>
              <w:t xml:space="preserve"> inovativna rješenja i bolje načine upravljanja i financiranja diskrecijskom imovinom - javno privatno partnerstvo, društvena angažiranost, uključivanje i promoviranje zajedničke odgovornosti</w:t>
            </w:r>
            <w:r>
              <w:rPr>
                <w:rFonts w:asciiTheme="majorHAnsi" w:hAnsiTheme="majorHAnsi" w:cstheme="majorHAnsi"/>
                <w:sz w:val="20"/>
                <w:szCs w:val="20"/>
              </w:rPr>
              <w:t>.</w:t>
            </w:r>
          </w:p>
          <w:p w14:paraId="53795889" w14:textId="77777777" w:rsidR="00870995" w:rsidRDefault="00870995" w:rsidP="00F1098A">
            <w:pPr>
              <w:rPr>
                <w:rFonts w:asciiTheme="majorHAnsi" w:hAnsiTheme="majorHAnsi" w:cstheme="majorHAnsi"/>
                <w:sz w:val="20"/>
                <w:szCs w:val="20"/>
              </w:rPr>
            </w:pPr>
            <w:r>
              <w:rPr>
                <w:rFonts w:asciiTheme="majorHAnsi" w:hAnsiTheme="majorHAnsi" w:cstheme="majorHAnsi"/>
                <w:sz w:val="20"/>
                <w:szCs w:val="20"/>
              </w:rPr>
              <w:t>Maksimiziranje financijskog povrata u</w:t>
            </w:r>
            <w:r w:rsidRPr="002B5EBF">
              <w:rPr>
                <w:rFonts w:asciiTheme="majorHAnsi" w:hAnsiTheme="majorHAnsi" w:cstheme="majorHAnsi"/>
                <w:sz w:val="20"/>
                <w:szCs w:val="20"/>
              </w:rPr>
              <w:t xml:space="preserve"> pojedinim segmentima jest i mora biti zadaća, upravo iz razloga da </w:t>
            </w:r>
            <w:r>
              <w:rPr>
                <w:rFonts w:asciiTheme="majorHAnsi" w:hAnsiTheme="majorHAnsi" w:cstheme="majorHAnsi"/>
                <w:sz w:val="20"/>
                <w:szCs w:val="20"/>
              </w:rPr>
              <w:lastRenderedPageBreak/>
              <w:t xml:space="preserve">Grad Pula-Pola osigura mogućnosti financiranja </w:t>
            </w:r>
            <w:r w:rsidRPr="002B5EBF">
              <w:rPr>
                <w:rFonts w:asciiTheme="majorHAnsi" w:hAnsiTheme="majorHAnsi" w:cstheme="majorHAnsi"/>
                <w:sz w:val="20"/>
                <w:szCs w:val="20"/>
              </w:rPr>
              <w:t>u područjima i segmentima koje definiraju strateški ciljevi.</w:t>
            </w:r>
          </w:p>
          <w:p w14:paraId="32924B3A" w14:textId="77777777" w:rsidR="00870995" w:rsidRDefault="00870995" w:rsidP="00F1098A">
            <w:pPr>
              <w:rPr>
                <w:rFonts w:asciiTheme="majorHAnsi" w:hAnsiTheme="majorHAnsi" w:cstheme="majorHAnsi"/>
                <w:sz w:val="20"/>
                <w:szCs w:val="20"/>
              </w:rPr>
            </w:pPr>
          </w:p>
          <w:p w14:paraId="5936E9A3" w14:textId="0761F741" w:rsidR="00870995" w:rsidRPr="00A55E86" w:rsidRDefault="00870995" w:rsidP="00F1098A">
            <w:pPr>
              <w:rPr>
                <w:rFonts w:asciiTheme="majorHAnsi" w:hAnsiTheme="majorHAnsi" w:cstheme="majorHAnsi"/>
                <w:sz w:val="20"/>
                <w:szCs w:val="20"/>
              </w:rPr>
            </w:pPr>
            <w:r w:rsidRPr="00F56E96">
              <w:rPr>
                <w:rFonts w:asciiTheme="majorHAnsi" w:hAnsiTheme="majorHAnsi" w:cstheme="majorHAnsi"/>
                <w:sz w:val="20"/>
                <w:szCs w:val="20"/>
              </w:rPr>
              <w:t>Grad</w:t>
            </w:r>
            <w:r>
              <w:rPr>
                <w:rFonts w:asciiTheme="majorHAnsi" w:hAnsiTheme="majorHAnsi" w:cstheme="majorHAnsi"/>
                <w:sz w:val="20"/>
                <w:szCs w:val="20"/>
              </w:rPr>
              <w:t xml:space="preserve"> Pula-Pola</w:t>
            </w:r>
            <w:r w:rsidRPr="00F56E96">
              <w:rPr>
                <w:rFonts w:asciiTheme="majorHAnsi" w:hAnsiTheme="majorHAnsi" w:cstheme="majorHAnsi"/>
                <w:sz w:val="20"/>
                <w:szCs w:val="20"/>
              </w:rPr>
              <w:t xml:space="preserve"> osim što mora zadovoljiti kulturne, socijalne, obrazovne i dr</w:t>
            </w:r>
            <w:r>
              <w:rPr>
                <w:rFonts w:asciiTheme="majorHAnsi" w:hAnsiTheme="majorHAnsi" w:cstheme="majorHAnsi"/>
                <w:sz w:val="20"/>
                <w:szCs w:val="20"/>
              </w:rPr>
              <w:t>uge p</w:t>
            </w:r>
            <w:r w:rsidRPr="00F56E96">
              <w:rPr>
                <w:rFonts w:asciiTheme="majorHAnsi" w:hAnsiTheme="majorHAnsi" w:cstheme="majorHAnsi"/>
                <w:sz w:val="20"/>
                <w:szCs w:val="20"/>
              </w:rPr>
              <w:t>otrebe svojih građana, mora svojom imovinom upravljati pažnjom dobrog gospodara i ostvarivati prihod na jedinicama imovine na kojima je to moguće</w:t>
            </w:r>
            <w:r>
              <w:rPr>
                <w:rFonts w:asciiTheme="majorHAnsi" w:hAnsiTheme="majorHAnsi" w:cstheme="majorHAnsi"/>
                <w:sz w:val="20"/>
                <w:szCs w:val="20"/>
              </w:rPr>
              <w:t>.</w:t>
            </w:r>
          </w:p>
        </w:tc>
      </w:tr>
      <w:tr w:rsidR="00870995" w:rsidRPr="00505D73" w14:paraId="523263CC" w14:textId="77777777" w:rsidTr="00C47C2F">
        <w:tc>
          <w:tcPr>
            <w:tcW w:w="490" w:type="dxa"/>
          </w:tcPr>
          <w:p w14:paraId="2D492ECD" w14:textId="25BB87EC" w:rsidR="00870995" w:rsidRPr="00505D73" w:rsidRDefault="00870995" w:rsidP="00F1098A">
            <w:pPr>
              <w:rPr>
                <w:rFonts w:asciiTheme="majorHAnsi" w:hAnsiTheme="majorHAnsi" w:cstheme="majorHAnsi"/>
                <w:sz w:val="20"/>
                <w:szCs w:val="20"/>
              </w:rPr>
            </w:pPr>
            <w:r>
              <w:rPr>
                <w:rFonts w:asciiTheme="majorHAnsi" w:hAnsiTheme="majorHAnsi" w:cstheme="majorHAnsi"/>
                <w:sz w:val="20"/>
                <w:szCs w:val="20"/>
              </w:rPr>
              <w:lastRenderedPageBreak/>
              <w:t>23.</w:t>
            </w:r>
          </w:p>
        </w:tc>
        <w:tc>
          <w:tcPr>
            <w:tcW w:w="1460" w:type="dxa"/>
            <w:vMerge/>
          </w:tcPr>
          <w:p w14:paraId="4592FE2E" w14:textId="77777777" w:rsidR="00870995" w:rsidRPr="000C5F5F" w:rsidRDefault="00870995" w:rsidP="00F1098A">
            <w:pPr>
              <w:rPr>
                <w:rFonts w:asciiTheme="majorHAnsi" w:hAnsiTheme="majorHAnsi" w:cstheme="majorHAnsi"/>
                <w:sz w:val="20"/>
                <w:szCs w:val="20"/>
              </w:rPr>
            </w:pPr>
          </w:p>
        </w:tc>
        <w:tc>
          <w:tcPr>
            <w:tcW w:w="7571" w:type="dxa"/>
          </w:tcPr>
          <w:p w14:paraId="405102BC" w14:textId="525297B6" w:rsidR="00870995" w:rsidRPr="000C5F5F" w:rsidRDefault="00870995" w:rsidP="00F1098A">
            <w:pPr>
              <w:rPr>
                <w:rFonts w:asciiTheme="majorHAnsi" w:hAnsiTheme="majorHAnsi" w:cstheme="majorHAnsi"/>
                <w:sz w:val="20"/>
                <w:szCs w:val="20"/>
              </w:rPr>
            </w:pPr>
            <w:r w:rsidRPr="000C5F5F">
              <w:rPr>
                <w:rFonts w:asciiTheme="majorHAnsi" w:hAnsiTheme="majorHAnsi" w:cstheme="majorHAnsi"/>
                <w:sz w:val="20"/>
                <w:szCs w:val="20"/>
              </w:rPr>
              <w:t>NEPOSTOJEĆA STAMBENA POLITIKA</w:t>
            </w:r>
          </w:p>
          <w:p w14:paraId="7EE2B63E" w14:textId="77777777" w:rsidR="00870995" w:rsidRPr="000C5F5F" w:rsidRDefault="00870995" w:rsidP="00F1098A">
            <w:pPr>
              <w:rPr>
                <w:rFonts w:asciiTheme="majorHAnsi" w:hAnsiTheme="majorHAnsi" w:cstheme="majorHAnsi"/>
                <w:sz w:val="20"/>
                <w:szCs w:val="20"/>
              </w:rPr>
            </w:pPr>
            <w:r w:rsidRPr="000C5F5F">
              <w:rPr>
                <w:rFonts w:asciiTheme="majorHAnsi" w:hAnsiTheme="majorHAnsi" w:cstheme="majorHAnsi"/>
                <w:sz w:val="20"/>
                <w:szCs w:val="20"/>
              </w:rPr>
              <w:t>U poglavlju 6.2.4.5. govori se o razvoju stambene politike. Navodi se kako je “važno istaknuti kao poseban strateški cilj razvoj stambene politike, koja je ovisna o općim gospodarskim, političkim i socijalnim prilikama. Stambena politika obuhvaća gradnju novih stanova, uređenje stambenih naselja, obnovu stambenog fonda te održavanje i opremanje stanova.”</w:t>
            </w:r>
          </w:p>
          <w:p w14:paraId="5A766175" w14:textId="77777777" w:rsidR="00870995" w:rsidRPr="000C5F5F" w:rsidRDefault="00870995" w:rsidP="00F1098A">
            <w:pPr>
              <w:rPr>
                <w:rFonts w:asciiTheme="majorHAnsi" w:hAnsiTheme="majorHAnsi" w:cstheme="majorHAnsi"/>
                <w:sz w:val="20"/>
                <w:szCs w:val="20"/>
              </w:rPr>
            </w:pPr>
            <w:r w:rsidRPr="000C5F5F">
              <w:rPr>
                <w:rFonts w:asciiTheme="majorHAnsi" w:hAnsiTheme="majorHAnsi" w:cstheme="majorHAnsi"/>
                <w:sz w:val="20"/>
                <w:szCs w:val="20"/>
              </w:rPr>
              <w:t xml:space="preserve">Ali među samim strateškim ciljevima nema razvoja, trenutno nepostojeće, stambene politike. </w:t>
            </w:r>
          </w:p>
          <w:p w14:paraId="0A85A5F1" w14:textId="77777777" w:rsidR="00870995" w:rsidRPr="000C5F5F" w:rsidRDefault="00870995" w:rsidP="00F1098A">
            <w:pPr>
              <w:rPr>
                <w:rFonts w:asciiTheme="majorHAnsi" w:hAnsiTheme="majorHAnsi" w:cstheme="majorHAnsi"/>
                <w:sz w:val="20"/>
                <w:szCs w:val="20"/>
              </w:rPr>
            </w:pPr>
            <w:r w:rsidRPr="000C5F5F">
              <w:rPr>
                <w:rFonts w:asciiTheme="majorHAnsi" w:hAnsiTheme="majorHAnsi" w:cstheme="majorHAnsi"/>
                <w:sz w:val="20"/>
                <w:szCs w:val="20"/>
              </w:rPr>
              <w:t xml:space="preserve">Taj je strateški cilj potrebno dodati, kao što smo naveli i na samom početku, gdje razmatramo strateške ciljeve. Na kraju komentara dodajemo temeljne smjernice za razvoj stambene politike: </w:t>
            </w:r>
            <w:r w:rsidRPr="000C5F5F">
              <w:rPr>
                <w:rFonts w:asciiTheme="majorHAnsi" w:hAnsiTheme="majorHAnsi" w:cstheme="majorHAnsi"/>
                <w:sz w:val="20"/>
                <w:szCs w:val="20"/>
              </w:rPr>
              <w:tab/>
            </w:r>
            <w:r w:rsidRPr="000C5F5F">
              <w:rPr>
                <w:rFonts w:asciiTheme="majorHAnsi" w:hAnsiTheme="majorHAnsi" w:cstheme="majorHAnsi"/>
                <w:sz w:val="20"/>
                <w:szCs w:val="20"/>
              </w:rPr>
              <w:tab/>
            </w:r>
            <w:r w:rsidRPr="000C5F5F">
              <w:rPr>
                <w:rFonts w:asciiTheme="majorHAnsi" w:hAnsiTheme="majorHAnsi" w:cstheme="majorHAnsi"/>
                <w:sz w:val="20"/>
                <w:szCs w:val="20"/>
              </w:rPr>
              <w:tab/>
            </w:r>
            <w:r w:rsidRPr="000C5F5F">
              <w:rPr>
                <w:rFonts w:asciiTheme="majorHAnsi" w:hAnsiTheme="majorHAnsi" w:cstheme="majorHAnsi"/>
                <w:sz w:val="20"/>
                <w:szCs w:val="20"/>
              </w:rPr>
              <w:tab/>
            </w:r>
            <w:r w:rsidRPr="000C5F5F">
              <w:rPr>
                <w:rFonts w:asciiTheme="majorHAnsi" w:hAnsiTheme="majorHAnsi" w:cstheme="majorHAnsi"/>
                <w:sz w:val="20"/>
                <w:szCs w:val="20"/>
              </w:rPr>
              <w:tab/>
            </w:r>
            <w:r w:rsidRPr="000C5F5F">
              <w:rPr>
                <w:rFonts w:asciiTheme="majorHAnsi" w:hAnsiTheme="majorHAnsi" w:cstheme="majorHAnsi"/>
                <w:sz w:val="20"/>
                <w:szCs w:val="20"/>
              </w:rPr>
              <w:tab/>
            </w:r>
          </w:p>
          <w:p w14:paraId="443BB943" w14:textId="77777777" w:rsidR="00870995" w:rsidRPr="000C5F5F" w:rsidRDefault="00870995" w:rsidP="00F1098A">
            <w:pPr>
              <w:rPr>
                <w:rFonts w:asciiTheme="majorHAnsi" w:hAnsiTheme="majorHAnsi" w:cstheme="majorHAnsi"/>
                <w:sz w:val="20"/>
                <w:szCs w:val="20"/>
              </w:rPr>
            </w:pPr>
            <w:r w:rsidRPr="000C5F5F">
              <w:rPr>
                <w:rFonts w:asciiTheme="majorHAnsi" w:hAnsiTheme="majorHAnsi" w:cstheme="majorHAnsi"/>
                <w:sz w:val="20"/>
                <w:szCs w:val="20"/>
              </w:rPr>
              <w:t>U predloženoj Strategiji postoji samo paušalna i nepotpuna analiza trenutnog stanja (“visoka cijena stanova i najamnina, što predstavlja ozbiljnu prepreku za ostanak mladih osoba na području Grada”). Osim što nema niti jednog podatka kojim bi se opravdao takav stav, ponuđena rješenja su potpuno neprikladna (“kroz donošenje programa subvencioniranja i pružanja poticaja u sferi stambene politike, doprinijet će se lakšem rješavanju stambenog pitanja za mlade osobe koje prvi put rješavaju svoje stambeno pitanje”).</w:t>
            </w:r>
          </w:p>
          <w:p w14:paraId="423F0759" w14:textId="77777777" w:rsidR="00870995" w:rsidRPr="000C5F5F" w:rsidRDefault="00870995" w:rsidP="00F1098A">
            <w:pPr>
              <w:rPr>
                <w:rFonts w:asciiTheme="majorHAnsi" w:hAnsiTheme="majorHAnsi" w:cstheme="majorHAnsi"/>
                <w:sz w:val="20"/>
                <w:szCs w:val="20"/>
              </w:rPr>
            </w:pPr>
            <w:r w:rsidRPr="000C5F5F">
              <w:rPr>
                <w:rFonts w:asciiTheme="majorHAnsi" w:hAnsiTheme="majorHAnsi" w:cstheme="majorHAnsi"/>
                <w:sz w:val="20"/>
                <w:szCs w:val="20"/>
              </w:rPr>
              <w:t>Kao inicijalni, ali i jedini model nudi sljedeće: ”Inicijalni model razvoja stambene politike pretpostavlja u suradnji s Republikom Hrvatskom izgradnju neprofitnih stambenih jedinica na javnom zemljištu uz mogućnost da u cijenu izgradnje ne ulazi i cijena zemljišta, odnosno izgradnju novih stanova po programu društveno poticane stanogradnje, a čime bi se postiglo stambeno zbrinjavanje mladih osoba, zadovoljavanje potreba građana stambenim jedinicama koje su u funkcionalnom stanju i u koja nisu potrebna ulaganja i stambeno zbrinjavanje osoba s Liste prvenstva.”</w:t>
            </w:r>
          </w:p>
          <w:p w14:paraId="0709AA2B" w14:textId="77777777" w:rsidR="00870995" w:rsidRPr="000C5F5F" w:rsidRDefault="00870995" w:rsidP="00F1098A">
            <w:pPr>
              <w:rPr>
                <w:rFonts w:asciiTheme="majorHAnsi" w:hAnsiTheme="majorHAnsi" w:cstheme="majorHAnsi"/>
                <w:sz w:val="20"/>
                <w:szCs w:val="20"/>
              </w:rPr>
            </w:pPr>
            <w:r w:rsidRPr="000C5F5F">
              <w:rPr>
                <w:rFonts w:asciiTheme="majorHAnsi" w:hAnsiTheme="majorHAnsi" w:cstheme="majorHAnsi"/>
                <w:sz w:val="20"/>
                <w:szCs w:val="20"/>
              </w:rPr>
              <w:t xml:space="preserve">Dakle, nudi se ono što već postoji i potpuno je jasno da nije dovoljno i ne planira se nikakva dodatna učinkovitija mjera. </w:t>
            </w:r>
          </w:p>
          <w:p w14:paraId="18D1D604" w14:textId="77777777" w:rsidR="00870995" w:rsidRPr="000C5F5F" w:rsidRDefault="00870995" w:rsidP="00F1098A">
            <w:pPr>
              <w:rPr>
                <w:rFonts w:asciiTheme="majorHAnsi" w:hAnsiTheme="majorHAnsi" w:cstheme="majorHAnsi"/>
                <w:sz w:val="20"/>
                <w:szCs w:val="20"/>
              </w:rPr>
            </w:pPr>
            <w:r w:rsidRPr="000C5F5F">
              <w:rPr>
                <w:rFonts w:asciiTheme="majorHAnsi" w:hAnsiTheme="majorHAnsi" w:cstheme="majorHAnsi"/>
                <w:sz w:val="20"/>
                <w:szCs w:val="20"/>
              </w:rPr>
              <w:lastRenderedPageBreak/>
              <w:t>I dalje se predlaže stambena politika koja je koncentrirana na davanje subvencija za kredite, no ove subvencije pretpostavljaju samo usku skupinu onih koji su u mogućnosti dignuti kredit, dok cijena stanova koje gradi država ili gradovi nije puno niža od one na tržištu (ako je uopće). Pritom, u periodima u kojima država daje subvencije na kredite iste utječu na cijenu nekretnina tako što povećana potražnja diže cijenu kvadrata. Problem subvencija isto počiva na tome da se javna sredstva transferiraju u privatne banke, a stanovi u konačnici postaju privatni i podložni špekulaciji (primjer: POS). To je potvrdio i sam guverner HNB-a u svojim javnim istupima.</w:t>
            </w:r>
          </w:p>
          <w:p w14:paraId="450C193D" w14:textId="77777777" w:rsidR="00870995" w:rsidRPr="000C5F5F" w:rsidRDefault="00870995" w:rsidP="00F1098A">
            <w:pPr>
              <w:rPr>
                <w:rFonts w:asciiTheme="majorHAnsi" w:hAnsiTheme="majorHAnsi" w:cstheme="majorHAnsi"/>
                <w:sz w:val="20"/>
                <w:szCs w:val="20"/>
              </w:rPr>
            </w:pPr>
            <w:r w:rsidRPr="000C5F5F">
              <w:rPr>
                <w:rFonts w:asciiTheme="majorHAnsi" w:hAnsiTheme="majorHAnsi" w:cstheme="majorHAnsi"/>
                <w:sz w:val="20"/>
                <w:szCs w:val="20"/>
              </w:rPr>
              <w:t>Stambena politika sastavni je dio uređenja socijalne države, odnosno prepuštanje problematike stanovanja isključivo tržišnim zakonitostima predstavlja dio šireg procesa demontaže socijalne države. Ovom se Strategijom predlaže svođenje stambene politike na poticanje zaduživanja kućanstava u stambenim kreditima.  Ne prepoznaje se stambena politika kao heterogeni i kompleksni problem i društvena briga koja pretpostavlja strategiju održivog financiranja javne i neprofitne stambene izgradnje i “opremanje” Grada za upravljanje ovim kompleksnim sustavom.</w:t>
            </w:r>
          </w:p>
          <w:p w14:paraId="7C31256E" w14:textId="77777777" w:rsidR="00870995" w:rsidRPr="000C5F5F" w:rsidRDefault="00870995" w:rsidP="00F1098A">
            <w:pPr>
              <w:rPr>
                <w:rFonts w:asciiTheme="majorHAnsi" w:hAnsiTheme="majorHAnsi" w:cstheme="majorHAnsi"/>
                <w:sz w:val="20"/>
                <w:szCs w:val="20"/>
              </w:rPr>
            </w:pPr>
            <w:r w:rsidRPr="000C5F5F">
              <w:rPr>
                <w:rFonts w:asciiTheme="majorHAnsi" w:hAnsiTheme="majorHAnsi" w:cstheme="majorHAnsi"/>
                <w:sz w:val="20"/>
                <w:szCs w:val="20"/>
              </w:rPr>
              <w:t>Mladi su tako jedna od ključnih socijalnih skupina kojima je smanjena dostupnost adekvatnog stambenog prostora budući su u izmijenjenim okolnostima tržišta rada u nemogućnosti da putem dostupnih javnih programa i ponude na tržištu ostvare mogućnost za sustavno rješavanje vlastitog stambenog pitanja. S obzirom da je Hrvatska EU prvak u kratkoročnim ugovorima o radu, a stabilnost radnog mjesta jedan od preduvjeta za stambeni kredit, ali i za upuštanje u najam, mladi bez nasljedstva su diskriminirani i u nezavidnom položaju.</w:t>
            </w:r>
          </w:p>
          <w:p w14:paraId="0475D8DD" w14:textId="77777777" w:rsidR="00870995" w:rsidRPr="000C5F5F" w:rsidRDefault="00870995" w:rsidP="00F1098A">
            <w:pPr>
              <w:rPr>
                <w:rFonts w:asciiTheme="majorHAnsi" w:hAnsiTheme="majorHAnsi" w:cstheme="majorHAnsi"/>
                <w:sz w:val="20"/>
                <w:szCs w:val="20"/>
              </w:rPr>
            </w:pPr>
          </w:p>
          <w:p w14:paraId="380D38FA" w14:textId="77777777" w:rsidR="00870995" w:rsidRPr="000C5F5F" w:rsidRDefault="00870995" w:rsidP="00F1098A">
            <w:pPr>
              <w:rPr>
                <w:rFonts w:asciiTheme="majorHAnsi" w:hAnsiTheme="majorHAnsi" w:cstheme="majorHAnsi"/>
                <w:sz w:val="20"/>
                <w:szCs w:val="20"/>
              </w:rPr>
            </w:pPr>
            <w:r w:rsidRPr="000C5F5F">
              <w:rPr>
                <w:rFonts w:asciiTheme="majorHAnsi" w:hAnsiTheme="majorHAnsi" w:cstheme="majorHAnsi"/>
                <w:sz w:val="20"/>
                <w:szCs w:val="20"/>
              </w:rPr>
              <w:t>Strategija ne navodi postotak ukupnog broja stambenih jedinica u u vlasništvu Grada. U Hrvatskoj je taj prosjek 2%, dok je europski prosjek oko 15%. To bi trebala biti početna informacija, a Strategijom bi se trebalo odlučiti koji cilj u postocima se želi postići u nekom razdoblju. Tek se tako može mjeriti uspjeh i postižu li se ciljevi, te bi Grad u tom slučaju svake godine morao iz proračuna izdvojiti sredstva za izgradnju planiranog broja stmabenih jeidnica za priuštivi najam (do ostvarenja planiranog postotka).</w:t>
            </w:r>
          </w:p>
          <w:p w14:paraId="6E4FAC7A" w14:textId="77777777" w:rsidR="00870995" w:rsidRPr="000C5F5F" w:rsidRDefault="00870995" w:rsidP="00F1098A">
            <w:pPr>
              <w:rPr>
                <w:rFonts w:asciiTheme="majorHAnsi" w:hAnsiTheme="majorHAnsi" w:cstheme="majorHAnsi"/>
                <w:sz w:val="20"/>
                <w:szCs w:val="20"/>
              </w:rPr>
            </w:pPr>
            <w:r w:rsidRPr="000C5F5F">
              <w:rPr>
                <w:rFonts w:asciiTheme="majorHAnsi" w:hAnsiTheme="majorHAnsi" w:cstheme="majorHAnsi"/>
                <w:sz w:val="20"/>
                <w:szCs w:val="20"/>
              </w:rPr>
              <w:t>Stoga u Strategiju treba uključiti:</w:t>
            </w:r>
          </w:p>
          <w:p w14:paraId="0198C67A" w14:textId="77777777" w:rsidR="00870995" w:rsidRPr="000C5F5F" w:rsidRDefault="00870995" w:rsidP="00F1098A">
            <w:pPr>
              <w:rPr>
                <w:rFonts w:asciiTheme="majorHAnsi" w:hAnsiTheme="majorHAnsi" w:cstheme="majorHAnsi"/>
                <w:sz w:val="20"/>
                <w:szCs w:val="20"/>
              </w:rPr>
            </w:pPr>
          </w:p>
          <w:p w14:paraId="5D02D710" w14:textId="776E2F8A" w:rsidR="00870995" w:rsidRPr="000C5F5F" w:rsidRDefault="00870995" w:rsidP="00F1098A">
            <w:pPr>
              <w:rPr>
                <w:rFonts w:asciiTheme="majorHAnsi" w:hAnsiTheme="majorHAnsi" w:cstheme="majorHAnsi"/>
                <w:sz w:val="20"/>
                <w:szCs w:val="20"/>
              </w:rPr>
            </w:pPr>
            <w:r w:rsidRPr="000C5F5F">
              <w:rPr>
                <w:rFonts w:asciiTheme="majorHAnsi" w:hAnsiTheme="majorHAnsi" w:cstheme="majorHAnsi"/>
                <w:sz w:val="20"/>
                <w:szCs w:val="20"/>
              </w:rPr>
              <w:t>1.</w:t>
            </w:r>
            <w:r>
              <w:rPr>
                <w:rFonts w:asciiTheme="majorHAnsi" w:hAnsiTheme="majorHAnsi" w:cstheme="majorHAnsi"/>
                <w:sz w:val="20"/>
                <w:szCs w:val="20"/>
              </w:rPr>
              <w:t xml:space="preserve"> </w:t>
            </w:r>
            <w:r w:rsidRPr="000C5F5F">
              <w:rPr>
                <w:rFonts w:asciiTheme="majorHAnsi" w:hAnsiTheme="majorHAnsi" w:cstheme="majorHAnsi"/>
                <w:sz w:val="20"/>
                <w:szCs w:val="20"/>
              </w:rPr>
              <w:t>Izgradnju stanova za najam kroz javno financirane i subvencionirane programe (ključno - stanovi za najam, a ne prodaju, radi sprječavanja špekulacije, prebacivanja javnih sredstava u privatnu imovinu i održavanjem fonda dostupnih i priuštivih stambenih jedinica)</w:t>
            </w:r>
          </w:p>
          <w:p w14:paraId="5101691D" w14:textId="25CD0D14" w:rsidR="00870995" w:rsidRPr="000C5F5F" w:rsidRDefault="00870995" w:rsidP="00F1098A">
            <w:pPr>
              <w:rPr>
                <w:rFonts w:asciiTheme="majorHAnsi" w:hAnsiTheme="majorHAnsi" w:cstheme="majorHAnsi"/>
                <w:sz w:val="20"/>
                <w:szCs w:val="20"/>
              </w:rPr>
            </w:pPr>
            <w:r w:rsidRPr="000C5F5F">
              <w:rPr>
                <w:rFonts w:asciiTheme="majorHAnsi" w:hAnsiTheme="majorHAnsi" w:cstheme="majorHAnsi"/>
                <w:sz w:val="20"/>
                <w:szCs w:val="20"/>
              </w:rPr>
              <w:t>2.</w:t>
            </w:r>
            <w:r>
              <w:rPr>
                <w:rFonts w:asciiTheme="majorHAnsi" w:hAnsiTheme="majorHAnsi" w:cstheme="majorHAnsi"/>
                <w:sz w:val="20"/>
                <w:szCs w:val="20"/>
              </w:rPr>
              <w:t xml:space="preserve"> </w:t>
            </w:r>
            <w:r w:rsidRPr="000C5F5F">
              <w:rPr>
                <w:rFonts w:asciiTheme="majorHAnsi" w:hAnsiTheme="majorHAnsi" w:cstheme="majorHAnsi"/>
                <w:sz w:val="20"/>
                <w:szCs w:val="20"/>
              </w:rPr>
              <w:t>poticanje neprofitnih stambenih inicijativa.</w:t>
            </w:r>
          </w:p>
          <w:p w14:paraId="3E2A5CD8" w14:textId="086283E1" w:rsidR="00870995" w:rsidRPr="000C5F5F" w:rsidRDefault="00870995" w:rsidP="00F1098A">
            <w:pPr>
              <w:rPr>
                <w:rFonts w:asciiTheme="majorHAnsi" w:hAnsiTheme="majorHAnsi" w:cstheme="majorHAnsi"/>
                <w:sz w:val="20"/>
                <w:szCs w:val="20"/>
              </w:rPr>
            </w:pPr>
            <w:r w:rsidRPr="000C5F5F">
              <w:rPr>
                <w:rFonts w:asciiTheme="majorHAnsi" w:hAnsiTheme="majorHAnsi" w:cstheme="majorHAnsi"/>
                <w:sz w:val="20"/>
                <w:szCs w:val="20"/>
              </w:rPr>
              <w:t>3.</w:t>
            </w:r>
            <w:r>
              <w:rPr>
                <w:rFonts w:asciiTheme="majorHAnsi" w:hAnsiTheme="majorHAnsi" w:cstheme="majorHAnsi"/>
                <w:sz w:val="20"/>
                <w:szCs w:val="20"/>
              </w:rPr>
              <w:t xml:space="preserve"> </w:t>
            </w:r>
            <w:r w:rsidRPr="000C5F5F">
              <w:rPr>
                <w:rFonts w:asciiTheme="majorHAnsi" w:hAnsiTheme="majorHAnsi" w:cstheme="majorHAnsi"/>
                <w:sz w:val="20"/>
                <w:szCs w:val="20"/>
              </w:rPr>
              <w:t>vođenje zemljišne politike koja uzima u obzir da je javno vlasništvo nad zemljom zalog za izgradnjom jeftinijih kvadrata</w:t>
            </w:r>
          </w:p>
          <w:p w14:paraId="7A38A61A" w14:textId="6CC6DF6F" w:rsidR="00870995" w:rsidRPr="000C5F5F" w:rsidRDefault="00870995" w:rsidP="00F1098A">
            <w:pPr>
              <w:rPr>
                <w:rFonts w:asciiTheme="majorHAnsi" w:hAnsiTheme="majorHAnsi" w:cstheme="majorHAnsi"/>
                <w:sz w:val="20"/>
                <w:szCs w:val="20"/>
              </w:rPr>
            </w:pPr>
            <w:r w:rsidRPr="000C5F5F">
              <w:rPr>
                <w:rFonts w:asciiTheme="majorHAnsi" w:hAnsiTheme="majorHAnsi" w:cstheme="majorHAnsi"/>
                <w:sz w:val="20"/>
                <w:szCs w:val="20"/>
              </w:rPr>
              <w:lastRenderedPageBreak/>
              <w:t>4.</w:t>
            </w:r>
            <w:r>
              <w:rPr>
                <w:rFonts w:asciiTheme="majorHAnsi" w:hAnsiTheme="majorHAnsi" w:cstheme="majorHAnsi"/>
                <w:sz w:val="20"/>
                <w:szCs w:val="20"/>
              </w:rPr>
              <w:t xml:space="preserve"> </w:t>
            </w:r>
            <w:r w:rsidRPr="000C5F5F">
              <w:rPr>
                <w:rFonts w:asciiTheme="majorHAnsi" w:hAnsiTheme="majorHAnsi" w:cstheme="majorHAnsi"/>
                <w:sz w:val="20"/>
                <w:szCs w:val="20"/>
              </w:rPr>
              <w:t>planiranje izgradnje javnih i neprofitnih stambenih prostora na način da se ne getoiziraju određene socijalne skupine, odnosno da se planiranje novih stambenih prostora vodi egidom koju grad Beč poznaje već cijelo stoljeće - “Adresa ne smije otkrivati socio-ekonomski status građana i građanki grada”</w:t>
            </w:r>
          </w:p>
          <w:p w14:paraId="6A493944" w14:textId="73DBFEB1" w:rsidR="00870995" w:rsidRPr="000C5F5F" w:rsidRDefault="00870995" w:rsidP="00F1098A">
            <w:pPr>
              <w:rPr>
                <w:rFonts w:asciiTheme="majorHAnsi" w:hAnsiTheme="majorHAnsi" w:cstheme="majorHAnsi"/>
                <w:sz w:val="20"/>
                <w:szCs w:val="20"/>
              </w:rPr>
            </w:pPr>
            <w:r w:rsidRPr="000C5F5F">
              <w:rPr>
                <w:rFonts w:asciiTheme="majorHAnsi" w:hAnsiTheme="majorHAnsi" w:cstheme="majorHAnsi"/>
                <w:sz w:val="20"/>
                <w:szCs w:val="20"/>
              </w:rPr>
              <w:t>5.</w:t>
            </w:r>
            <w:r>
              <w:rPr>
                <w:rFonts w:asciiTheme="majorHAnsi" w:hAnsiTheme="majorHAnsi" w:cstheme="majorHAnsi"/>
                <w:sz w:val="20"/>
                <w:szCs w:val="20"/>
              </w:rPr>
              <w:t xml:space="preserve"> </w:t>
            </w:r>
            <w:r w:rsidRPr="000C5F5F">
              <w:rPr>
                <w:rFonts w:asciiTheme="majorHAnsi" w:hAnsiTheme="majorHAnsi" w:cstheme="majorHAnsi"/>
                <w:sz w:val="20"/>
                <w:szCs w:val="20"/>
              </w:rPr>
              <w:t xml:space="preserve">stvaranje i opremanje gradskih službi koje posjeduju i kapacitete i znanje za upravljanje stambenim fondom u javnom vlasništvu </w:t>
            </w:r>
          </w:p>
          <w:p w14:paraId="1626CF6E" w14:textId="37110BAF" w:rsidR="00870995" w:rsidRPr="000C5F5F" w:rsidRDefault="00870995" w:rsidP="00F1098A">
            <w:pPr>
              <w:rPr>
                <w:rFonts w:asciiTheme="majorHAnsi" w:hAnsiTheme="majorHAnsi" w:cstheme="majorHAnsi"/>
                <w:sz w:val="20"/>
                <w:szCs w:val="20"/>
              </w:rPr>
            </w:pPr>
            <w:r w:rsidRPr="000C5F5F">
              <w:rPr>
                <w:rFonts w:asciiTheme="majorHAnsi" w:hAnsiTheme="majorHAnsi" w:cstheme="majorHAnsi"/>
                <w:sz w:val="20"/>
                <w:szCs w:val="20"/>
              </w:rPr>
              <w:t>6.</w:t>
            </w:r>
            <w:r>
              <w:rPr>
                <w:rFonts w:asciiTheme="majorHAnsi" w:hAnsiTheme="majorHAnsi" w:cstheme="majorHAnsi"/>
                <w:sz w:val="20"/>
                <w:szCs w:val="20"/>
              </w:rPr>
              <w:t xml:space="preserve"> </w:t>
            </w:r>
            <w:r w:rsidRPr="000C5F5F">
              <w:rPr>
                <w:rFonts w:asciiTheme="majorHAnsi" w:hAnsiTheme="majorHAnsi" w:cstheme="majorHAnsi"/>
                <w:sz w:val="20"/>
                <w:szCs w:val="20"/>
              </w:rPr>
              <w:t>stvaranje modela koji će omogućiti da neprofitne inicijative grade stambeni prostor kroz subvencije, ali sa strogom kontrolom protiv manipuliranja ovim kategorijama</w:t>
            </w:r>
          </w:p>
          <w:p w14:paraId="69F06DC0" w14:textId="483485A0" w:rsidR="00870995" w:rsidRPr="000C5F5F" w:rsidRDefault="00870995" w:rsidP="00F1098A">
            <w:pPr>
              <w:rPr>
                <w:rFonts w:asciiTheme="majorHAnsi" w:hAnsiTheme="majorHAnsi" w:cstheme="majorHAnsi"/>
                <w:sz w:val="20"/>
                <w:szCs w:val="20"/>
              </w:rPr>
            </w:pPr>
            <w:r w:rsidRPr="000C5F5F">
              <w:rPr>
                <w:rFonts w:asciiTheme="majorHAnsi" w:hAnsiTheme="majorHAnsi" w:cstheme="majorHAnsi"/>
                <w:sz w:val="20"/>
                <w:szCs w:val="20"/>
              </w:rPr>
              <w:t>7.</w:t>
            </w:r>
            <w:r>
              <w:rPr>
                <w:rFonts w:asciiTheme="majorHAnsi" w:hAnsiTheme="majorHAnsi" w:cstheme="majorHAnsi"/>
                <w:sz w:val="20"/>
                <w:szCs w:val="20"/>
              </w:rPr>
              <w:t xml:space="preserve"> </w:t>
            </w:r>
            <w:r w:rsidRPr="000C5F5F">
              <w:rPr>
                <w:rFonts w:asciiTheme="majorHAnsi" w:hAnsiTheme="majorHAnsi" w:cstheme="majorHAnsi"/>
                <w:sz w:val="20"/>
                <w:szCs w:val="20"/>
              </w:rPr>
              <w:t xml:space="preserve">svi ovi aspekti moraju u sebi sadržavati anti-špekulativne mjere i kontrolu javnih ili civilnih tijela u upravljanju ovom imovinom. </w:t>
            </w:r>
          </w:p>
          <w:p w14:paraId="47AF40D5" w14:textId="77777777" w:rsidR="00870995" w:rsidRPr="000C5F5F" w:rsidRDefault="00870995" w:rsidP="00F1098A">
            <w:pPr>
              <w:rPr>
                <w:rFonts w:asciiTheme="majorHAnsi" w:hAnsiTheme="majorHAnsi" w:cstheme="majorHAnsi"/>
                <w:sz w:val="20"/>
                <w:szCs w:val="20"/>
              </w:rPr>
            </w:pPr>
          </w:p>
          <w:p w14:paraId="6B9541F1" w14:textId="2956FC4E" w:rsidR="00870995" w:rsidRPr="009226D6" w:rsidRDefault="00870995" w:rsidP="00F1098A">
            <w:pPr>
              <w:rPr>
                <w:rFonts w:asciiTheme="majorHAnsi" w:hAnsiTheme="majorHAnsi" w:cstheme="majorHAnsi"/>
                <w:sz w:val="20"/>
                <w:szCs w:val="20"/>
              </w:rPr>
            </w:pPr>
            <w:r w:rsidRPr="000C5F5F">
              <w:rPr>
                <w:rFonts w:asciiTheme="majorHAnsi" w:hAnsiTheme="majorHAnsi" w:cstheme="majorHAnsi"/>
                <w:sz w:val="20"/>
                <w:szCs w:val="20"/>
              </w:rPr>
              <w:t>Dakle, ključni aspekti napretka bi bili - kontrola tržišta kroz pružanje alternative zaduživanju, modeli pružanja alternative koji onemogućavaju špekulaciju, prestanak prebacivanja javnih sredstava u privatne banke putem subvencije pojedinačnih kredita i osiguravanje upravljačke strukture stambenim fondom u kojoj svoj glas imaju i javna uprava i korisnici i ostali akteri bez direktnog interesa.</w:t>
            </w:r>
          </w:p>
        </w:tc>
        <w:tc>
          <w:tcPr>
            <w:tcW w:w="1389" w:type="dxa"/>
            <w:vAlign w:val="center"/>
          </w:tcPr>
          <w:p w14:paraId="580FA1BA" w14:textId="1F5F366D" w:rsidR="00870995" w:rsidRDefault="00870995" w:rsidP="00F1098A">
            <w:pPr>
              <w:jc w:val="center"/>
              <w:rPr>
                <w:rFonts w:asciiTheme="majorHAnsi" w:hAnsiTheme="majorHAnsi" w:cstheme="majorHAnsi"/>
                <w:sz w:val="20"/>
                <w:szCs w:val="20"/>
              </w:rPr>
            </w:pPr>
            <w:r>
              <w:rPr>
                <w:rFonts w:asciiTheme="majorHAnsi" w:hAnsiTheme="majorHAnsi" w:cstheme="majorHAnsi"/>
                <w:sz w:val="20"/>
                <w:szCs w:val="20"/>
              </w:rPr>
              <w:lastRenderedPageBreak/>
              <w:t>Pojašnjeno</w:t>
            </w:r>
          </w:p>
        </w:tc>
        <w:tc>
          <w:tcPr>
            <w:tcW w:w="3084" w:type="dxa"/>
            <w:vAlign w:val="center"/>
          </w:tcPr>
          <w:p w14:paraId="6ABC3B0D" w14:textId="12C58E13" w:rsidR="00870995" w:rsidRPr="00A55E86" w:rsidRDefault="00870995" w:rsidP="00F1098A">
            <w:pPr>
              <w:rPr>
                <w:rFonts w:asciiTheme="majorHAnsi" w:hAnsiTheme="majorHAnsi" w:cstheme="majorHAnsi"/>
                <w:sz w:val="20"/>
                <w:szCs w:val="20"/>
              </w:rPr>
            </w:pPr>
            <w:r>
              <w:rPr>
                <w:rFonts w:asciiTheme="majorHAnsi" w:hAnsiTheme="majorHAnsi" w:cstheme="majorHAnsi"/>
                <w:sz w:val="20"/>
                <w:szCs w:val="20"/>
              </w:rPr>
              <w:t>Razvoj stambene politike d</w:t>
            </w:r>
            <w:r w:rsidRPr="0095545B">
              <w:rPr>
                <w:rFonts w:asciiTheme="majorHAnsi" w:hAnsiTheme="majorHAnsi" w:cstheme="majorHAnsi"/>
                <w:sz w:val="20"/>
                <w:szCs w:val="20"/>
              </w:rPr>
              <w:t xml:space="preserve">io je šireg cilja/ciljeva te se planira </w:t>
            </w:r>
            <w:r>
              <w:rPr>
                <w:rFonts w:asciiTheme="majorHAnsi" w:hAnsiTheme="majorHAnsi" w:cstheme="majorHAnsi"/>
                <w:sz w:val="20"/>
                <w:szCs w:val="20"/>
              </w:rPr>
              <w:t xml:space="preserve">detaljno </w:t>
            </w:r>
            <w:r w:rsidRPr="0095545B">
              <w:rPr>
                <w:rFonts w:asciiTheme="majorHAnsi" w:hAnsiTheme="majorHAnsi" w:cstheme="majorHAnsi"/>
                <w:sz w:val="20"/>
                <w:szCs w:val="20"/>
              </w:rPr>
              <w:t>razrađivati kroz zasebne dokumente</w:t>
            </w:r>
            <w:r>
              <w:rPr>
                <w:rFonts w:asciiTheme="majorHAnsi" w:hAnsiTheme="majorHAnsi" w:cstheme="majorHAnsi"/>
                <w:sz w:val="20"/>
                <w:szCs w:val="20"/>
              </w:rPr>
              <w:t>.</w:t>
            </w:r>
          </w:p>
        </w:tc>
      </w:tr>
      <w:tr w:rsidR="00870995" w:rsidRPr="00505D73" w14:paraId="5EF16E35" w14:textId="77777777" w:rsidTr="00C47C2F">
        <w:tc>
          <w:tcPr>
            <w:tcW w:w="490" w:type="dxa"/>
          </w:tcPr>
          <w:p w14:paraId="607FDC23" w14:textId="2EEE9BB4" w:rsidR="00870995" w:rsidRPr="00505D73" w:rsidRDefault="00870995" w:rsidP="00F1098A">
            <w:pPr>
              <w:rPr>
                <w:rFonts w:asciiTheme="majorHAnsi" w:hAnsiTheme="majorHAnsi" w:cstheme="majorHAnsi"/>
                <w:sz w:val="20"/>
                <w:szCs w:val="20"/>
              </w:rPr>
            </w:pPr>
            <w:r>
              <w:rPr>
                <w:rFonts w:asciiTheme="majorHAnsi" w:hAnsiTheme="majorHAnsi" w:cstheme="majorHAnsi"/>
                <w:sz w:val="20"/>
                <w:szCs w:val="20"/>
              </w:rPr>
              <w:lastRenderedPageBreak/>
              <w:t>24.</w:t>
            </w:r>
          </w:p>
        </w:tc>
        <w:tc>
          <w:tcPr>
            <w:tcW w:w="1460" w:type="dxa"/>
            <w:vMerge/>
          </w:tcPr>
          <w:p w14:paraId="7E6FF095" w14:textId="77777777" w:rsidR="00870995" w:rsidRPr="00857D9A" w:rsidRDefault="00870995" w:rsidP="00F1098A">
            <w:pPr>
              <w:rPr>
                <w:rFonts w:asciiTheme="majorHAnsi" w:hAnsiTheme="majorHAnsi" w:cstheme="majorHAnsi"/>
                <w:sz w:val="20"/>
                <w:szCs w:val="20"/>
              </w:rPr>
            </w:pPr>
          </w:p>
        </w:tc>
        <w:tc>
          <w:tcPr>
            <w:tcW w:w="7571" w:type="dxa"/>
          </w:tcPr>
          <w:p w14:paraId="38C2223E" w14:textId="67DC031A" w:rsidR="00870995" w:rsidRPr="00857D9A" w:rsidRDefault="00870995" w:rsidP="00F1098A">
            <w:pPr>
              <w:rPr>
                <w:rFonts w:asciiTheme="majorHAnsi" w:hAnsiTheme="majorHAnsi" w:cstheme="majorHAnsi"/>
                <w:sz w:val="20"/>
                <w:szCs w:val="20"/>
              </w:rPr>
            </w:pPr>
            <w:r w:rsidRPr="00857D9A">
              <w:rPr>
                <w:rFonts w:asciiTheme="majorHAnsi" w:hAnsiTheme="majorHAnsi" w:cstheme="majorHAnsi"/>
                <w:sz w:val="20"/>
                <w:szCs w:val="20"/>
              </w:rPr>
              <w:t>RASPOLAGANJE IMOVINOM - STRATEGIJA NIGDJE NE SPOMINJE KUPOVINU IMOVINE</w:t>
            </w:r>
          </w:p>
          <w:p w14:paraId="242D08E7" w14:textId="0AA879B8" w:rsidR="00870995" w:rsidRPr="009226D6" w:rsidRDefault="00870995" w:rsidP="00F1098A">
            <w:pPr>
              <w:rPr>
                <w:rFonts w:asciiTheme="majorHAnsi" w:hAnsiTheme="majorHAnsi" w:cstheme="majorHAnsi"/>
                <w:sz w:val="20"/>
                <w:szCs w:val="20"/>
              </w:rPr>
            </w:pPr>
            <w:r w:rsidRPr="00857D9A">
              <w:rPr>
                <w:rFonts w:asciiTheme="majorHAnsi" w:hAnsiTheme="majorHAnsi" w:cstheme="majorHAnsi"/>
                <w:sz w:val="20"/>
                <w:szCs w:val="20"/>
              </w:rPr>
              <w:t>Za realizaciju nekih društvenih ili gospodarskih ciljeva nije se uzelo u obzir da Grad može i kupovati nekretnine. Da je ta svijest ili princip bio na snazi u slučaju Uljanik Standarda, Grad bi danas mogao biti bogatiji za npr. brojne stanove i druge nekretnine za rješavanje socijalnih pitanja.  Također, Grad bi mogao/trebao kupovati zemljišta za unaprjeđenje poduzetničke infrastrukture. Lošim upravljanjem i raspolaganjem imovinom u prošlosti Grad se doveo u situaciju da nema više na raspolaganju zemljišta za neke važne razvojne funkcije.</w:t>
            </w:r>
          </w:p>
        </w:tc>
        <w:tc>
          <w:tcPr>
            <w:tcW w:w="1389" w:type="dxa"/>
            <w:vAlign w:val="center"/>
          </w:tcPr>
          <w:p w14:paraId="6EBB45C1" w14:textId="02770210" w:rsidR="00870995" w:rsidRDefault="00870995" w:rsidP="00F1098A">
            <w:pPr>
              <w:jc w:val="center"/>
              <w:rPr>
                <w:rFonts w:asciiTheme="majorHAnsi" w:hAnsiTheme="majorHAnsi" w:cstheme="majorHAnsi"/>
                <w:sz w:val="20"/>
                <w:szCs w:val="20"/>
              </w:rPr>
            </w:pPr>
            <w:r>
              <w:rPr>
                <w:rFonts w:asciiTheme="majorHAnsi" w:hAnsiTheme="majorHAnsi" w:cstheme="majorHAnsi"/>
                <w:sz w:val="20"/>
                <w:szCs w:val="20"/>
              </w:rPr>
              <w:t>Prihvaća se</w:t>
            </w:r>
          </w:p>
        </w:tc>
        <w:tc>
          <w:tcPr>
            <w:tcW w:w="3084" w:type="dxa"/>
            <w:vAlign w:val="center"/>
          </w:tcPr>
          <w:p w14:paraId="216FF407" w14:textId="502BA912" w:rsidR="00870995" w:rsidRPr="00A55E86" w:rsidRDefault="00870995" w:rsidP="00F1098A">
            <w:pPr>
              <w:rPr>
                <w:rFonts w:asciiTheme="majorHAnsi" w:hAnsiTheme="majorHAnsi" w:cstheme="majorHAnsi"/>
                <w:sz w:val="20"/>
                <w:szCs w:val="20"/>
              </w:rPr>
            </w:pPr>
            <w:r>
              <w:rPr>
                <w:rFonts w:asciiTheme="majorHAnsi" w:hAnsiTheme="majorHAnsi" w:cstheme="majorHAnsi"/>
                <w:sz w:val="20"/>
                <w:szCs w:val="20"/>
              </w:rPr>
              <w:t>Komentar je usvojen te će se u tekst Strategije dodati mogućnost kupovine imovine u svrhu realizacije javnih i društvenih sadržaja.</w:t>
            </w:r>
          </w:p>
        </w:tc>
      </w:tr>
      <w:tr w:rsidR="00870995" w:rsidRPr="00505D73" w14:paraId="45603BCD" w14:textId="77777777" w:rsidTr="00C47C2F">
        <w:tc>
          <w:tcPr>
            <w:tcW w:w="490" w:type="dxa"/>
          </w:tcPr>
          <w:p w14:paraId="6A69D4AC" w14:textId="0DB48341" w:rsidR="00870995" w:rsidRPr="00505D73" w:rsidRDefault="00870995" w:rsidP="00252184">
            <w:pPr>
              <w:rPr>
                <w:rFonts w:asciiTheme="majorHAnsi" w:hAnsiTheme="majorHAnsi" w:cstheme="majorHAnsi"/>
                <w:sz w:val="20"/>
                <w:szCs w:val="20"/>
              </w:rPr>
            </w:pPr>
            <w:r>
              <w:rPr>
                <w:rFonts w:asciiTheme="majorHAnsi" w:hAnsiTheme="majorHAnsi" w:cstheme="majorHAnsi"/>
                <w:sz w:val="20"/>
                <w:szCs w:val="20"/>
              </w:rPr>
              <w:t>25.</w:t>
            </w:r>
          </w:p>
        </w:tc>
        <w:tc>
          <w:tcPr>
            <w:tcW w:w="1460" w:type="dxa"/>
            <w:vMerge/>
          </w:tcPr>
          <w:p w14:paraId="234753B5" w14:textId="77777777" w:rsidR="00870995" w:rsidRPr="00F662D4" w:rsidRDefault="00870995" w:rsidP="00252184">
            <w:pPr>
              <w:rPr>
                <w:rFonts w:asciiTheme="majorHAnsi" w:hAnsiTheme="majorHAnsi" w:cstheme="majorHAnsi"/>
                <w:sz w:val="20"/>
                <w:szCs w:val="20"/>
              </w:rPr>
            </w:pPr>
          </w:p>
        </w:tc>
        <w:tc>
          <w:tcPr>
            <w:tcW w:w="7571" w:type="dxa"/>
          </w:tcPr>
          <w:p w14:paraId="14208AB9" w14:textId="3D954A11" w:rsidR="00870995" w:rsidRPr="00F662D4" w:rsidRDefault="00870995" w:rsidP="00252184">
            <w:pPr>
              <w:rPr>
                <w:rFonts w:asciiTheme="majorHAnsi" w:hAnsiTheme="majorHAnsi" w:cstheme="majorHAnsi"/>
                <w:sz w:val="20"/>
                <w:szCs w:val="20"/>
              </w:rPr>
            </w:pPr>
            <w:r w:rsidRPr="00F662D4">
              <w:rPr>
                <w:rFonts w:asciiTheme="majorHAnsi" w:hAnsiTheme="majorHAnsi" w:cstheme="majorHAnsi"/>
                <w:sz w:val="20"/>
                <w:szCs w:val="20"/>
              </w:rPr>
              <w:t>RASPOLAGANJE IMOVINOM - PRODAJA ZEMLJIŠTA</w:t>
            </w:r>
          </w:p>
          <w:p w14:paraId="3F76A636" w14:textId="77777777" w:rsidR="00870995" w:rsidRPr="00F662D4" w:rsidRDefault="00870995" w:rsidP="00252184">
            <w:pPr>
              <w:rPr>
                <w:rFonts w:asciiTheme="majorHAnsi" w:hAnsiTheme="majorHAnsi" w:cstheme="majorHAnsi"/>
                <w:sz w:val="20"/>
                <w:szCs w:val="20"/>
              </w:rPr>
            </w:pPr>
            <w:r w:rsidRPr="00F662D4">
              <w:rPr>
                <w:rFonts w:asciiTheme="majorHAnsi" w:hAnsiTheme="majorHAnsi" w:cstheme="majorHAnsi"/>
                <w:sz w:val="20"/>
                <w:szCs w:val="20"/>
              </w:rPr>
              <w:t>Strategijom bi trebalo uvesti kriterije za eventualnu prodaju zemljišta tek nakon evaluacije mogućnosti korištenja nekretnine za poboljšanje ponude javne namjene u bliskoj ili dalekoj budućnosti (uzeti u obzir širenje grada, potrebe za školama, dječjim vrtićima, javnom kulturnim i sportskim objektima, parkovima, drvoredima, komunalnom infrastrukturom, zelenom infrastrukturom, poslovnim zonama, te zaključka da takvih potreba u specifičnom slučaju nema.</w:t>
            </w:r>
          </w:p>
          <w:p w14:paraId="45D338A3" w14:textId="77777777" w:rsidR="00870995" w:rsidRPr="00F662D4" w:rsidRDefault="00870995" w:rsidP="00252184">
            <w:pPr>
              <w:rPr>
                <w:rFonts w:asciiTheme="majorHAnsi" w:hAnsiTheme="majorHAnsi" w:cstheme="majorHAnsi"/>
                <w:sz w:val="20"/>
                <w:szCs w:val="20"/>
              </w:rPr>
            </w:pPr>
            <w:r w:rsidRPr="00F662D4">
              <w:rPr>
                <w:rFonts w:asciiTheme="majorHAnsi" w:hAnsiTheme="majorHAnsi" w:cstheme="majorHAnsi"/>
                <w:sz w:val="20"/>
                <w:szCs w:val="20"/>
              </w:rPr>
              <w:t>Drugi razlog je kod formiranja građevinske parcele kad je površina u vlasništvu Grada u dijelu manjem od 40% novoformirane parcele.</w:t>
            </w:r>
          </w:p>
          <w:p w14:paraId="7910BCF9" w14:textId="5330A8F2" w:rsidR="00870995" w:rsidRPr="00857D9A" w:rsidRDefault="00870995" w:rsidP="00252184">
            <w:pPr>
              <w:rPr>
                <w:rFonts w:asciiTheme="majorHAnsi" w:hAnsiTheme="majorHAnsi" w:cstheme="majorHAnsi"/>
                <w:sz w:val="20"/>
                <w:szCs w:val="20"/>
              </w:rPr>
            </w:pPr>
            <w:r w:rsidRPr="00F662D4">
              <w:rPr>
                <w:rFonts w:asciiTheme="majorHAnsi" w:hAnsiTheme="majorHAnsi" w:cstheme="majorHAnsi"/>
                <w:sz w:val="20"/>
                <w:szCs w:val="20"/>
              </w:rPr>
              <w:t xml:space="preserve">U slučaju prodaje nekretnine, ograničiti korištenje sredstava od prodaje isključivo za kupovinu druge nekretnine, a ne za ulaganje u nekretninu, komunalnu infrastrukturu ili održavanje jer vodi Grad u rasprodaju i umanjenje imovine. Jedina dugotrajna imovina koja </w:t>
            </w:r>
            <w:r w:rsidRPr="00F662D4">
              <w:rPr>
                <w:rFonts w:asciiTheme="majorHAnsi" w:hAnsiTheme="majorHAnsi" w:cstheme="majorHAnsi"/>
                <w:sz w:val="20"/>
                <w:szCs w:val="20"/>
              </w:rPr>
              <w:lastRenderedPageBreak/>
              <w:t>se ne smije amortizirati jer se ne troši je, uz financijsku imovinu, i zemljište. Stoga jedino kupovinom drugog zemljišta Grad savjesno vodi računa o zadržavanju imovinskog statusa.</w:t>
            </w:r>
          </w:p>
        </w:tc>
        <w:tc>
          <w:tcPr>
            <w:tcW w:w="1389" w:type="dxa"/>
            <w:vAlign w:val="center"/>
          </w:tcPr>
          <w:p w14:paraId="122E8B47" w14:textId="3940F681" w:rsidR="00870995" w:rsidRDefault="00870995" w:rsidP="00252184">
            <w:pPr>
              <w:jc w:val="center"/>
              <w:rPr>
                <w:rFonts w:asciiTheme="majorHAnsi" w:hAnsiTheme="majorHAnsi" w:cstheme="majorHAnsi"/>
                <w:sz w:val="20"/>
                <w:szCs w:val="20"/>
              </w:rPr>
            </w:pPr>
            <w:r>
              <w:rPr>
                <w:rFonts w:asciiTheme="majorHAnsi" w:hAnsiTheme="majorHAnsi" w:cstheme="majorHAnsi"/>
                <w:sz w:val="20"/>
                <w:szCs w:val="20"/>
              </w:rPr>
              <w:lastRenderedPageBreak/>
              <w:t>Pojašnjeno</w:t>
            </w:r>
          </w:p>
        </w:tc>
        <w:tc>
          <w:tcPr>
            <w:tcW w:w="3084" w:type="dxa"/>
            <w:vAlign w:val="center"/>
          </w:tcPr>
          <w:p w14:paraId="1EA1EF26" w14:textId="0C3D8EBB" w:rsidR="00870995" w:rsidRPr="00A55E86" w:rsidRDefault="00870995" w:rsidP="00252184">
            <w:pPr>
              <w:rPr>
                <w:rFonts w:asciiTheme="majorHAnsi" w:hAnsiTheme="majorHAnsi" w:cstheme="majorHAnsi"/>
                <w:sz w:val="20"/>
                <w:szCs w:val="20"/>
              </w:rPr>
            </w:pPr>
            <w:r>
              <w:rPr>
                <w:rFonts w:asciiTheme="majorHAnsi" w:hAnsiTheme="majorHAnsi" w:cstheme="majorHAnsi"/>
                <w:sz w:val="20"/>
                <w:szCs w:val="20"/>
              </w:rPr>
              <w:t>Po potrebi će se rješavati kroz godišnje planove.</w:t>
            </w:r>
          </w:p>
        </w:tc>
      </w:tr>
      <w:tr w:rsidR="00870995" w:rsidRPr="00505D73" w14:paraId="365D5D15" w14:textId="77777777" w:rsidTr="00C47C2F">
        <w:tc>
          <w:tcPr>
            <w:tcW w:w="490" w:type="dxa"/>
          </w:tcPr>
          <w:p w14:paraId="147E1823" w14:textId="763EC032" w:rsidR="00870995" w:rsidRPr="00505D73" w:rsidRDefault="00870995" w:rsidP="00F1098A">
            <w:pPr>
              <w:rPr>
                <w:rFonts w:asciiTheme="majorHAnsi" w:hAnsiTheme="majorHAnsi" w:cstheme="majorHAnsi"/>
                <w:sz w:val="20"/>
                <w:szCs w:val="20"/>
              </w:rPr>
            </w:pPr>
            <w:r>
              <w:rPr>
                <w:rFonts w:asciiTheme="majorHAnsi" w:hAnsiTheme="majorHAnsi" w:cstheme="majorHAnsi"/>
                <w:sz w:val="20"/>
                <w:szCs w:val="20"/>
              </w:rPr>
              <w:t>26.</w:t>
            </w:r>
          </w:p>
        </w:tc>
        <w:tc>
          <w:tcPr>
            <w:tcW w:w="1460" w:type="dxa"/>
            <w:vMerge/>
          </w:tcPr>
          <w:p w14:paraId="08030A89" w14:textId="77777777" w:rsidR="00870995" w:rsidRPr="00120EBB" w:rsidRDefault="00870995" w:rsidP="00F1098A">
            <w:pPr>
              <w:rPr>
                <w:rFonts w:asciiTheme="majorHAnsi" w:hAnsiTheme="majorHAnsi" w:cstheme="majorHAnsi"/>
                <w:sz w:val="20"/>
                <w:szCs w:val="20"/>
              </w:rPr>
            </w:pPr>
          </w:p>
        </w:tc>
        <w:tc>
          <w:tcPr>
            <w:tcW w:w="7571" w:type="dxa"/>
          </w:tcPr>
          <w:p w14:paraId="600FA187" w14:textId="44A1A350" w:rsidR="00870995" w:rsidRPr="00120EBB" w:rsidRDefault="00870995" w:rsidP="00F1098A">
            <w:pPr>
              <w:rPr>
                <w:rFonts w:asciiTheme="majorHAnsi" w:hAnsiTheme="majorHAnsi" w:cstheme="majorHAnsi"/>
                <w:sz w:val="20"/>
                <w:szCs w:val="20"/>
              </w:rPr>
            </w:pPr>
            <w:r w:rsidRPr="00120EBB">
              <w:rPr>
                <w:rFonts w:asciiTheme="majorHAnsi" w:hAnsiTheme="majorHAnsi" w:cstheme="majorHAnsi"/>
                <w:sz w:val="20"/>
                <w:szCs w:val="20"/>
              </w:rPr>
              <w:t xml:space="preserve">NEMA SPOMENA ZAKONA O NEPROCIJENJENOM GRAĐEVINSKOM ZEMLJIŠTU </w:t>
            </w:r>
          </w:p>
          <w:p w14:paraId="52B4945B" w14:textId="77777777" w:rsidR="00870995" w:rsidRPr="00120EBB" w:rsidRDefault="00870995" w:rsidP="00F1098A">
            <w:pPr>
              <w:rPr>
                <w:rFonts w:asciiTheme="majorHAnsi" w:hAnsiTheme="majorHAnsi" w:cstheme="majorHAnsi"/>
                <w:sz w:val="20"/>
                <w:szCs w:val="20"/>
              </w:rPr>
            </w:pPr>
            <w:r w:rsidRPr="00120EBB">
              <w:rPr>
                <w:rFonts w:asciiTheme="majorHAnsi" w:hAnsiTheme="majorHAnsi" w:cstheme="majorHAnsi"/>
                <w:sz w:val="20"/>
                <w:szCs w:val="20"/>
              </w:rPr>
              <w:t xml:space="preserve"> Zakon o neprocijenjenom građevinskom zemljištu („Narodne novine“ br. 50/20) stupio je na snagu 2. svibnja 2020. godine, a donesen je s ciljem trajnog rješavanja neriješenih imovinskopravnih odnosa na neprocijenjenom građevinskom zemljištu u postupku pretvorbe i privatizacije (turističkom zemljištu, zemljištu u kampovima i ostalom neprocijenjenom građevinskom zemljištu). </w:t>
            </w:r>
          </w:p>
          <w:p w14:paraId="4470B86D" w14:textId="74AC3881" w:rsidR="00870995" w:rsidRPr="00857D9A" w:rsidRDefault="00870995" w:rsidP="00F1098A">
            <w:pPr>
              <w:rPr>
                <w:rFonts w:asciiTheme="majorHAnsi" w:hAnsiTheme="majorHAnsi" w:cstheme="majorHAnsi"/>
                <w:sz w:val="20"/>
                <w:szCs w:val="20"/>
              </w:rPr>
            </w:pPr>
            <w:r w:rsidRPr="00120EBB">
              <w:rPr>
                <w:rFonts w:asciiTheme="majorHAnsi" w:hAnsiTheme="majorHAnsi" w:cstheme="majorHAnsi"/>
                <w:sz w:val="20"/>
                <w:szCs w:val="20"/>
              </w:rPr>
              <w:t>Premda se tim Zakonom daje mogućnost trgovačkom društvu da od jedinice lokalne samouprave zatraži kupnju turističkog zemljišta u vlasništvu jedinice lokalne samouprave, taj se Zakon i zahtjevi koje su trgovačka društva predala od donošenja zakona (u Istri ih je najveći broj) i čija je procedura u tijeku,  u Strategiji se uopće ne spominju.  Potrebno je dodati podatke o  zemljištu (i tvrtkama) na području Pule koje su zatražile turističke tvrtke.</w:t>
            </w:r>
          </w:p>
        </w:tc>
        <w:tc>
          <w:tcPr>
            <w:tcW w:w="1389" w:type="dxa"/>
            <w:vAlign w:val="center"/>
          </w:tcPr>
          <w:p w14:paraId="336012E7" w14:textId="02D0E4B7" w:rsidR="00870995" w:rsidRDefault="00870995" w:rsidP="00F1098A">
            <w:pPr>
              <w:jc w:val="center"/>
              <w:rPr>
                <w:rFonts w:asciiTheme="majorHAnsi" w:hAnsiTheme="majorHAnsi" w:cstheme="majorHAnsi"/>
                <w:sz w:val="20"/>
                <w:szCs w:val="20"/>
              </w:rPr>
            </w:pPr>
            <w:r>
              <w:rPr>
                <w:rFonts w:asciiTheme="majorHAnsi" w:hAnsiTheme="majorHAnsi" w:cstheme="majorHAnsi"/>
                <w:sz w:val="20"/>
                <w:szCs w:val="20"/>
              </w:rPr>
              <w:t>Pojašnjeno</w:t>
            </w:r>
          </w:p>
        </w:tc>
        <w:tc>
          <w:tcPr>
            <w:tcW w:w="3084" w:type="dxa"/>
            <w:vAlign w:val="center"/>
          </w:tcPr>
          <w:p w14:paraId="07C1F194" w14:textId="61EE962C" w:rsidR="00870995" w:rsidRPr="00A55E86" w:rsidRDefault="00870995" w:rsidP="00F1098A">
            <w:pPr>
              <w:rPr>
                <w:rFonts w:asciiTheme="majorHAnsi" w:hAnsiTheme="majorHAnsi" w:cstheme="majorHAnsi"/>
                <w:sz w:val="20"/>
                <w:szCs w:val="20"/>
              </w:rPr>
            </w:pPr>
            <w:r>
              <w:rPr>
                <w:rFonts w:asciiTheme="majorHAnsi" w:hAnsiTheme="majorHAnsi" w:cstheme="majorHAnsi"/>
                <w:sz w:val="20"/>
                <w:szCs w:val="20"/>
              </w:rPr>
              <w:t>Po potrebi će se rješavati kroz godišnje planove.</w:t>
            </w:r>
          </w:p>
        </w:tc>
      </w:tr>
      <w:tr w:rsidR="00870995" w:rsidRPr="00505D73" w14:paraId="186C1ACF" w14:textId="77777777" w:rsidTr="00C47C2F">
        <w:tc>
          <w:tcPr>
            <w:tcW w:w="490" w:type="dxa"/>
          </w:tcPr>
          <w:p w14:paraId="0F2BD446" w14:textId="295104D2" w:rsidR="00870995" w:rsidRPr="00505D73" w:rsidRDefault="00870995" w:rsidP="00F1098A">
            <w:pPr>
              <w:rPr>
                <w:rFonts w:asciiTheme="majorHAnsi" w:hAnsiTheme="majorHAnsi" w:cstheme="majorHAnsi"/>
                <w:sz w:val="20"/>
                <w:szCs w:val="20"/>
              </w:rPr>
            </w:pPr>
            <w:r>
              <w:rPr>
                <w:rFonts w:asciiTheme="majorHAnsi" w:hAnsiTheme="majorHAnsi" w:cstheme="majorHAnsi"/>
                <w:sz w:val="20"/>
                <w:szCs w:val="20"/>
              </w:rPr>
              <w:t>27.</w:t>
            </w:r>
          </w:p>
        </w:tc>
        <w:tc>
          <w:tcPr>
            <w:tcW w:w="1460" w:type="dxa"/>
            <w:vMerge/>
          </w:tcPr>
          <w:p w14:paraId="1384BDB0" w14:textId="77777777" w:rsidR="00870995" w:rsidRPr="00A4138D" w:rsidRDefault="00870995" w:rsidP="00F1098A">
            <w:pPr>
              <w:rPr>
                <w:rFonts w:asciiTheme="majorHAnsi" w:hAnsiTheme="majorHAnsi" w:cstheme="majorHAnsi"/>
                <w:sz w:val="20"/>
                <w:szCs w:val="20"/>
              </w:rPr>
            </w:pPr>
          </w:p>
        </w:tc>
        <w:tc>
          <w:tcPr>
            <w:tcW w:w="7571" w:type="dxa"/>
          </w:tcPr>
          <w:p w14:paraId="428E8B76" w14:textId="1613DFFE" w:rsidR="00870995" w:rsidRPr="00A4138D" w:rsidRDefault="00870995" w:rsidP="00F1098A">
            <w:pPr>
              <w:rPr>
                <w:rFonts w:asciiTheme="majorHAnsi" w:hAnsiTheme="majorHAnsi" w:cstheme="majorHAnsi"/>
                <w:sz w:val="20"/>
                <w:szCs w:val="20"/>
              </w:rPr>
            </w:pPr>
            <w:r w:rsidRPr="00A4138D">
              <w:rPr>
                <w:rFonts w:asciiTheme="majorHAnsi" w:hAnsiTheme="majorHAnsi" w:cstheme="majorHAnsi"/>
                <w:sz w:val="20"/>
                <w:szCs w:val="20"/>
              </w:rPr>
              <w:t>NEPOSTOJANJE SUSTAVA UNUTARNJE KONTROLE</w:t>
            </w:r>
            <w:r w:rsidRPr="00A4138D">
              <w:rPr>
                <w:rFonts w:asciiTheme="majorHAnsi" w:hAnsiTheme="majorHAnsi" w:cstheme="majorHAnsi"/>
                <w:sz w:val="20"/>
                <w:szCs w:val="20"/>
              </w:rPr>
              <w:tab/>
            </w:r>
            <w:r w:rsidRPr="00A4138D">
              <w:rPr>
                <w:rFonts w:asciiTheme="majorHAnsi" w:hAnsiTheme="majorHAnsi" w:cstheme="majorHAnsi"/>
                <w:sz w:val="20"/>
                <w:szCs w:val="20"/>
              </w:rPr>
              <w:tab/>
            </w:r>
          </w:p>
          <w:p w14:paraId="1F7B3176" w14:textId="7188F99E" w:rsidR="00870995" w:rsidRPr="00120EBB" w:rsidRDefault="00870995" w:rsidP="00F1098A">
            <w:pPr>
              <w:rPr>
                <w:rFonts w:asciiTheme="majorHAnsi" w:hAnsiTheme="majorHAnsi" w:cstheme="majorHAnsi"/>
                <w:sz w:val="20"/>
                <w:szCs w:val="20"/>
              </w:rPr>
            </w:pPr>
            <w:r w:rsidRPr="00A4138D">
              <w:rPr>
                <w:rFonts w:asciiTheme="majorHAnsi" w:hAnsiTheme="majorHAnsi" w:cstheme="majorHAnsi"/>
                <w:sz w:val="20"/>
                <w:szCs w:val="20"/>
              </w:rPr>
              <w:t>U poglavlju 6.2.3.7. govori se o unapređenje sustava unutarnjih kontrola i unutarnju reviziju kao dio sustava unutarnjih kontrola. Grad Pula nema službu za unutarnju reviziju više od dvije godine, pa je to, također, potrebno navesti, kao i kada se planira početak njenog rada.</w:t>
            </w:r>
          </w:p>
        </w:tc>
        <w:tc>
          <w:tcPr>
            <w:tcW w:w="1389" w:type="dxa"/>
            <w:vAlign w:val="center"/>
          </w:tcPr>
          <w:p w14:paraId="54253FE7" w14:textId="3D064491" w:rsidR="00870995" w:rsidRDefault="00870995" w:rsidP="00F1098A">
            <w:pPr>
              <w:jc w:val="center"/>
              <w:rPr>
                <w:rFonts w:asciiTheme="majorHAnsi" w:hAnsiTheme="majorHAnsi" w:cstheme="majorHAnsi"/>
                <w:sz w:val="20"/>
                <w:szCs w:val="20"/>
              </w:rPr>
            </w:pPr>
            <w:r>
              <w:rPr>
                <w:rFonts w:asciiTheme="majorHAnsi" w:hAnsiTheme="majorHAnsi" w:cstheme="majorHAnsi"/>
                <w:sz w:val="20"/>
                <w:szCs w:val="20"/>
              </w:rPr>
              <w:t>Pojašnjeno</w:t>
            </w:r>
          </w:p>
        </w:tc>
        <w:tc>
          <w:tcPr>
            <w:tcW w:w="3084" w:type="dxa"/>
            <w:vAlign w:val="center"/>
          </w:tcPr>
          <w:p w14:paraId="34115810" w14:textId="4B84E5C1" w:rsidR="00870995" w:rsidRPr="00A55E86" w:rsidRDefault="00870995" w:rsidP="00F1098A">
            <w:pPr>
              <w:rPr>
                <w:rFonts w:asciiTheme="majorHAnsi" w:hAnsiTheme="majorHAnsi" w:cstheme="majorHAnsi"/>
                <w:sz w:val="20"/>
                <w:szCs w:val="20"/>
              </w:rPr>
            </w:pPr>
            <w:r>
              <w:rPr>
                <w:rFonts w:asciiTheme="majorHAnsi" w:hAnsiTheme="majorHAnsi" w:cstheme="majorHAnsi"/>
                <w:sz w:val="20"/>
                <w:szCs w:val="20"/>
              </w:rPr>
              <w:t>Navedeno nije predmet Strategije.</w:t>
            </w:r>
          </w:p>
        </w:tc>
      </w:tr>
    </w:tbl>
    <w:p w14:paraId="046066DD" w14:textId="77777777" w:rsidR="00C46F76" w:rsidRPr="00C46F76" w:rsidRDefault="00C46F76" w:rsidP="00C46F76"/>
    <w:sectPr w:rsidR="00C46F76" w:rsidRPr="00C46F76" w:rsidSect="00C46F7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76"/>
    <w:rsid w:val="000074AB"/>
    <w:rsid w:val="00033367"/>
    <w:rsid w:val="000356F8"/>
    <w:rsid w:val="00065837"/>
    <w:rsid w:val="00073532"/>
    <w:rsid w:val="000802BC"/>
    <w:rsid w:val="0009511B"/>
    <w:rsid w:val="000B1BAC"/>
    <w:rsid w:val="000B2768"/>
    <w:rsid w:val="000B6031"/>
    <w:rsid w:val="000C5F5F"/>
    <w:rsid w:val="000F3E57"/>
    <w:rsid w:val="00103614"/>
    <w:rsid w:val="00112C42"/>
    <w:rsid w:val="00120EBB"/>
    <w:rsid w:val="00146989"/>
    <w:rsid w:val="00196EE1"/>
    <w:rsid w:val="001B22E0"/>
    <w:rsid w:val="001C323A"/>
    <w:rsid w:val="001D4925"/>
    <w:rsid w:val="00211769"/>
    <w:rsid w:val="00212C87"/>
    <w:rsid w:val="00230D3A"/>
    <w:rsid w:val="0023550B"/>
    <w:rsid w:val="00241BB3"/>
    <w:rsid w:val="00246480"/>
    <w:rsid w:val="00252184"/>
    <w:rsid w:val="002705AB"/>
    <w:rsid w:val="002B5EBF"/>
    <w:rsid w:val="002E247F"/>
    <w:rsid w:val="002E69FD"/>
    <w:rsid w:val="002F63E3"/>
    <w:rsid w:val="0030176E"/>
    <w:rsid w:val="0034578B"/>
    <w:rsid w:val="00370DE4"/>
    <w:rsid w:val="003771E3"/>
    <w:rsid w:val="00377A43"/>
    <w:rsid w:val="00381E4B"/>
    <w:rsid w:val="0039794A"/>
    <w:rsid w:val="003D0623"/>
    <w:rsid w:val="003D14E9"/>
    <w:rsid w:val="003E3EE1"/>
    <w:rsid w:val="00402706"/>
    <w:rsid w:val="00403F41"/>
    <w:rsid w:val="004603A1"/>
    <w:rsid w:val="004619E0"/>
    <w:rsid w:val="004665D4"/>
    <w:rsid w:val="00485B39"/>
    <w:rsid w:val="004B4BEB"/>
    <w:rsid w:val="004C6B47"/>
    <w:rsid w:val="004D0FF7"/>
    <w:rsid w:val="004D5090"/>
    <w:rsid w:val="0050217B"/>
    <w:rsid w:val="00505747"/>
    <w:rsid w:val="00505D73"/>
    <w:rsid w:val="00525425"/>
    <w:rsid w:val="0052714B"/>
    <w:rsid w:val="00543F7C"/>
    <w:rsid w:val="00547EA5"/>
    <w:rsid w:val="0055469B"/>
    <w:rsid w:val="005802A4"/>
    <w:rsid w:val="005A3A85"/>
    <w:rsid w:val="005A4149"/>
    <w:rsid w:val="005B37C9"/>
    <w:rsid w:val="005C0123"/>
    <w:rsid w:val="005C051B"/>
    <w:rsid w:val="005C0BCA"/>
    <w:rsid w:val="005F0328"/>
    <w:rsid w:val="005F612E"/>
    <w:rsid w:val="0060289D"/>
    <w:rsid w:val="0063209B"/>
    <w:rsid w:val="00633E34"/>
    <w:rsid w:val="00637607"/>
    <w:rsid w:val="006455AF"/>
    <w:rsid w:val="00647294"/>
    <w:rsid w:val="00653ABA"/>
    <w:rsid w:val="006641F9"/>
    <w:rsid w:val="00664348"/>
    <w:rsid w:val="0069115A"/>
    <w:rsid w:val="006A6330"/>
    <w:rsid w:val="006B0D69"/>
    <w:rsid w:val="006D0483"/>
    <w:rsid w:val="006D0533"/>
    <w:rsid w:val="006E313D"/>
    <w:rsid w:val="006F2FC7"/>
    <w:rsid w:val="007106CC"/>
    <w:rsid w:val="0073336B"/>
    <w:rsid w:val="00740C10"/>
    <w:rsid w:val="00743828"/>
    <w:rsid w:val="00746500"/>
    <w:rsid w:val="00752297"/>
    <w:rsid w:val="00771EBA"/>
    <w:rsid w:val="007831C4"/>
    <w:rsid w:val="0078468D"/>
    <w:rsid w:val="007A15B6"/>
    <w:rsid w:val="007A5333"/>
    <w:rsid w:val="00845429"/>
    <w:rsid w:val="008528DF"/>
    <w:rsid w:val="00857D9A"/>
    <w:rsid w:val="00866970"/>
    <w:rsid w:val="00870995"/>
    <w:rsid w:val="008730E0"/>
    <w:rsid w:val="008808A6"/>
    <w:rsid w:val="0088336C"/>
    <w:rsid w:val="008C106D"/>
    <w:rsid w:val="008E26F4"/>
    <w:rsid w:val="008F0ADE"/>
    <w:rsid w:val="00910591"/>
    <w:rsid w:val="009226D6"/>
    <w:rsid w:val="00927856"/>
    <w:rsid w:val="0095545B"/>
    <w:rsid w:val="00956FD7"/>
    <w:rsid w:val="00957AC3"/>
    <w:rsid w:val="009623FA"/>
    <w:rsid w:val="009732DE"/>
    <w:rsid w:val="009753C2"/>
    <w:rsid w:val="0098123F"/>
    <w:rsid w:val="00992625"/>
    <w:rsid w:val="009C18BB"/>
    <w:rsid w:val="009D47AE"/>
    <w:rsid w:val="009E1AF7"/>
    <w:rsid w:val="00A234B7"/>
    <w:rsid w:val="00A33794"/>
    <w:rsid w:val="00A4138D"/>
    <w:rsid w:val="00A55863"/>
    <w:rsid w:val="00A55E86"/>
    <w:rsid w:val="00A66851"/>
    <w:rsid w:val="00A857D2"/>
    <w:rsid w:val="00A85F82"/>
    <w:rsid w:val="00AA6FDC"/>
    <w:rsid w:val="00AB5606"/>
    <w:rsid w:val="00AB6BEE"/>
    <w:rsid w:val="00AC0D8E"/>
    <w:rsid w:val="00AF648E"/>
    <w:rsid w:val="00B0711D"/>
    <w:rsid w:val="00B100E1"/>
    <w:rsid w:val="00B35523"/>
    <w:rsid w:val="00B82047"/>
    <w:rsid w:val="00B86AF4"/>
    <w:rsid w:val="00BA1CD6"/>
    <w:rsid w:val="00BB2E78"/>
    <w:rsid w:val="00BD0BBF"/>
    <w:rsid w:val="00BD6B3F"/>
    <w:rsid w:val="00BF7049"/>
    <w:rsid w:val="00C03B57"/>
    <w:rsid w:val="00C111AC"/>
    <w:rsid w:val="00C211CE"/>
    <w:rsid w:val="00C43BF9"/>
    <w:rsid w:val="00C46F76"/>
    <w:rsid w:val="00C47C2F"/>
    <w:rsid w:val="00C73FB5"/>
    <w:rsid w:val="00C84AEC"/>
    <w:rsid w:val="00C857AC"/>
    <w:rsid w:val="00C95235"/>
    <w:rsid w:val="00CA6F3D"/>
    <w:rsid w:val="00CB278A"/>
    <w:rsid w:val="00CD6B59"/>
    <w:rsid w:val="00CE1E6E"/>
    <w:rsid w:val="00D02D12"/>
    <w:rsid w:val="00D1183F"/>
    <w:rsid w:val="00D476BE"/>
    <w:rsid w:val="00D56B0C"/>
    <w:rsid w:val="00D56EC2"/>
    <w:rsid w:val="00D62E32"/>
    <w:rsid w:val="00D71C67"/>
    <w:rsid w:val="00D850FB"/>
    <w:rsid w:val="00D9043F"/>
    <w:rsid w:val="00D959F3"/>
    <w:rsid w:val="00DC6B0C"/>
    <w:rsid w:val="00E20653"/>
    <w:rsid w:val="00E31F46"/>
    <w:rsid w:val="00E53D60"/>
    <w:rsid w:val="00E54AD9"/>
    <w:rsid w:val="00E87A1F"/>
    <w:rsid w:val="00EB0A9E"/>
    <w:rsid w:val="00EC3AD2"/>
    <w:rsid w:val="00EE131F"/>
    <w:rsid w:val="00EE1B87"/>
    <w:rsid w:val="00EF6D45"/>
    <w:rsid w:val="00F06FF9"/>
    <w:rsid w:val="00F07991"/>
    <w:rsid w:val="00F1098A"/>
    <w:rsid w:val="00F11B3C"/>
    <w:rsid w:val="00F1474C"/>
    <w:rsid w:val="00F25481"/>
    <w:rsid w:val="00F333DE"/>
    <w:rsid w:val="00F33450"/>
    <w:rsid w:val="00F51DD8"/>
    <w:rsid w:val="00F56E96"/>
    <w:rsid w:val="00F662D4"/>
    <w:rsid w:val="00F74C6C"/>
    <w:rsid w:val="00F811D3"/>
    <w:rsid w:val="00F9028C"/>
    <w:rsid w:val="00FB1328"/>
    <w:rsid w:val="00FD39BA"/>
    <w:rsid w:val="00FD63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8EF9"/>
  <w15:chartTrackingRefBased/>
  <w15:docId w15:val="{754D884C-5F46-439A-916D-14C2550B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F76"/>
    <w:pPr>
      <w:spacing w:after="0" w:line="240" w:lineRule="auto"/>
      <w:jc w:val="both"/>
    </w:pPr>
    <w:rPr>
      <w:rFonts w:ascii="Calibri" w:eastAsia="Calibri" w:hAnsi="Calibri" w:cs="Calibri"/>
      <w:lang w:eastAsia="hr-HR"/>
    </w:rPr>
  </w:style>
  <w:style w:type="paragraph" w:styleId="Heading1">
    <w:name w:val="heading 1"/>
    <w:basedOn w:val="Normal"/>
    <w:next w:val="Normal"/>
    <w:link w:val="Heading1Char"/>
    <w:uiPriority w:val="9"/>
    <w:qFormat/>
    <w:rsid w:val="00C46F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F76"/>
    <w:rPr>
      <w:rFonts w:asciiTheme="majorHAnsi" w:eastAsiaTheme="majorEastAsia" w:hAnsiTheme="majorHAnsi" w:cstheme="majorBidi"/>
      <w:color w:val="2F5496" w:themeColor="accent1" w:themeShade="BF"/>
      <w:sz w:val="32"/>
      <w:szCs w:val="32"/>
      <w:lang w:eastAsia="hr-HR"/>
    </w:rPr>
  </w:style>
  <w:style w:type="paragraph" w:styleId="TOCHeading">
    <w:name w:val="TOC Heading"/>
    <w:basedOn w:val="Heading1"/>
    <w:next w:val="Normal"/>
    <w:uiPriority w:val="39"/>
    <w:unhideWhenUsed/>
    <w:qFormat/>
    <w:rsid w:val="00C46F76"/>
    <w:pPr>
      <w:spacing w:line="259" w:lineRule="auto"/>
      <w:jc w:val="left"/>
      <w:outlineLvl w:val="9"/>
    </w:pPr>
    <w:rPr>
      <w:lang w:val="en-US" w:eastAsia="en-US"/>
    </w:rPr>
  </w:style>
  <w:style w:type="table" w:styleId="TableGrid">
    <w:name w:val="Table Grid"/>
    <w:basedOn w:val="TableNormal"/>
    <w:uiPriority w:val="39"/>
    <w:rsid w:val="00973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753C2"/>
    <w:pPr>
      <w:spacing w:after="100"/>
    </w:pPr>
  </w:style>
  <w:style w:type="character" w:styleId="Hyperlink">
    <w:name w:val="Hyperlink"/>
    <w:basedOn w:val="DefaultParagraphFont"/>
    <w:uiPriority w:val="99"/>
    <w:unhideWhenUsed/>
    <w:rsid w:val="009753C2"/>
    <w:rPr>
      <w:color w:val="0563C1" w:themeColor="hyperlink"/>
      <w:u w:val="single"/>
    </w:rPr>
  </w:style>
  <w:style w:type="paragraph" w:customStyle="1" w:styleId="pf0">
    <w:name w:val="pf0"/>
    <w:basedOn w:val="Normal"/>
    <w:rsid w:val="006B0D69"/>
    <w:pPr>
      <w:spacing w:before="100" w:beforeAutospacing="1" w:after="100" w:afterAutospacing="1"/>
      <w:jc w:val="left"/>
    </w:pPr>
    <w:rPr>
      <w:rFonts w:ascii="Times New Roman" w:eastAsia="Times New Roman" w:hAnsi="Times New Roman" w:cs="Times New Roman"/>
      <w:sz w:val="24"/>
      <w:szCs w:val="24"/>
    </w:rPr>
  </w:style>
  <w:style w:type="character" w:customStyle="1" w:styleId="cf01">
    <w:name w:val="cf01"/>
    <w:basedOn w:val="DefaultParagraphFont"/>
    <w:rsid w:val="006B0D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471653">
      <w:bodyDiv w:val="1"/>
      <w:marLeft w:val="0"/>
      <w:marRight w:val="0"/>
      <w:marTop w:val="0"/>
      <w:marBottom w:val="0"/>
      <w:divBdr>
        <w:top w:val="none" w:sz="0" w:space="0" w:color="auto"/>
        <w:left w:val="none" w:sz="0" w:space="0" w:color="auto"/>
        <w:bottom w:val="none" w:sz="0" w:space="0" w:color="auto"/>
        <w:right w:val="none" w:sz="0" w:space="0" w:color="auto"/>
      </w:divBdr>
    </w:div>
    <w:div w:id="191407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8624F-828D-42C3-A753-1D2FECEE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5696</Words>
  <Characters>32472</Characters>
  <Application>Microsoft Office Word</Application>
  <DocSecurity>0</DocSecurity>
  <Lines>270</Lines>
  <Paragraphs>76</Paragraphs>
  <ScaleCrop>false</ScaleCrop>
  <Company/>
  <LinksUpToDate>false</LinksUpToDate>
  <CharactersWithSpaces>38092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Ivančić Iva</cp:lastModifiedBy>
  <cp:revision>2</cp:revision>
  <dcterms:created xsi:type="dcterms:W3CDTF">2023-07-05T14:06:00Z</dcterms:created>
  <dcterms:modified xsi:type="dcterms:W3CDTF">2023-07-05T14:06:00Z</dcterms:modified>
</cp:coreProperties>
</file>