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0C" w:rsidRDefault="00C3250C" w:rsidP="00194A9A">
      <w:pPr>
        <w:jc w:val="center"/>
        <w:rPr>
          <w:b/>
        </w:rPr>
      </w:pPr>
    </w:p>
    <w:p w:rsidR="00194A9A" w:rsidRPr="0099493F" w:rsidRDefault="00194A9A" w:rsidP="00194A9A">
      <w:pPr>
        <w:jc w:val="center"/>
        <w:rPr>
          <w:b/>
        </w:rPr>
      </w:pPr>
      <w:r w:rsidRPr="0099493F">
        <w:rPr>
          <w:b/>
        </w:rPr>
        <w:t>OBRAZLOŽENJE</w:t>
      </w:r>
    </w:p>
    <w:p w:rsidR="00194A9A" w:rsidRDefault="00194A9A" w:rsidP="00194A9A">
      <w:pPr>
        <w:rPr>
          <w:b/>
        </w:rPr>
      </w:pPr>
    </w:p>
    <w:p w:rsidR="00C3250C" w:rsidRPr="0099493F" w:rsidRDefault="00C3250C" w:rsidP="00194A9A">
      <w:pPr>
        <w:rPr>
          <w:b/>
        </w:rPr>
      </w:pPr>
    </w:p>
    <w:p w:rsidR="00194A9A" w:rsidRPr="0099493F" w:rsidRDefault="00194A9A" w:rsidP="00E20137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99493F">
        <w:rPr>
          <w:b/>
        </w:rPr>
        <w:t>PRAVNI TEMELJ ZA DONOŠENJE AKTA</w:t>
      </w:r>
    </w:p>
    <w:p w:rsidR="00C4561A" w:rsidRPr="007A0020" w:rsidRDefault="008C72A7" w:rsidP="00C4561A">
      <w:pPr>
        <w:ind w:firstLine="720"/>
        <w:jc w:val="both"/>
        <w:rPr>
          <w:rFonts w:ascii="Minion Pro" w:hAnsi="Minion Pro"/>
          <w:color w:val="000000"/>
          <w:shd w:val="clear" w:color="auto" w:fill="FFFFFF"/>
        </w:rPr>
      </w:pPr>
      <w:r>
        <w:t xml:space="preserve">Pravni temelj za donošenje ovog akta predstavlja članak </w:t>
      </w:r>
      <w:r w:rsidR="00A91627">
        <w:t>10.</w:t>
      </w:r>
      <w:r>
        <w:t xml:space="preserve"> </w:t>
      </w:r>
      <w:r w:rsidR="00AE710F">
        <w:t xml:space="preserve">stavak </w:t>
      </w:r>
      <w:r w:rsidR="00C4561A">
        <w:t>1</w:t>
      </w:r>
      <w:r w:rsidR="00AE710F">
        <w:t xml:space="preserve">. </w:t>
      </w:r>
      <w:r>
        <w:t>Zakona o trgovini („Narodne novine</w:t>
      </w:r>
      <w:r w:rsidRPr="008C72A7">
        <w:t xml:space="preserve">“ </w:t>
      </w:r>
      <w:r w:rsidR="00C141A9">
        <w:t xml:space="preserve">br. </w:t>
      </w:r>
      <w:hyperlink r:id="rId6" w:tgtFrame="_blank" w:history="1">
        <w:r w:rsidRPr="008C72A7">
          <w:rPr>
            <w:rStyle w:val="Hyperlink"/>
            <w:color w:val="auto"/>
            <w:u w:val="none"/>
            <w:shd w:val="clear" w:color="auto" w:fill="FFFFFF"/>
          </w:rPr>
          <w:t>87/08</w:t>
        </w:r>
      </w:hyperlink>
      <w:r w:rsidRPr="00AE710F">
        <w:rPr>
          <w:shd w:val="clear" w:color="auto" w:fill="FFFFFF"/>
        </w:rPr>
        <w:t xml:space="preserve">, </w:t>
      </w:r>
      <w:hyperlink r:id="rId7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96/08</w:t>
        </w:r>
      </w:hyperlink>
      <w:r w:rsidRPr="00AE710F">
        <w:rPr>
          <w:shd w:val="clear" w:color="auto" w:fill="FFFFFF"/>
        </w:rPr>
        <w:t xml:space="preserve">, </w:t>
      </w:r>
      <w:hyperlink r:id="rId8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116/08</w:t>
        </w:r>
      </w:hyperlink>
      <w:r w:rsidRPr="00AE710F">
        <w:rPr>
          <w:shd w:val="clear" w:color="auto" w:fill="FFFFFF"/>
        </w:rPr>
        <w:t xml:space="preserve">, 76/09, </w:t>
      </w:r>
      <w:hyperlink r:id="rId9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114/11</w:t>
        </w:r>
      </w:hyperlink>
      <w:r w:rsidRPr="00AE710F">
        <w:rPr>
          <w:shd w:val="clear" w:color="auto" w:fill="FFFFFF"/>
        </w:rPr>
        <w:t xml:space="preserve">, </w:t>
      </w:r>
      <w:hyperlink r:id="rId10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68/13</w:t>
        </w:r>
      </w:hyperlink>
      <w:r w:rsidRPr="00AE710F">
        <w:rPr>
          <w:shd w:val="clear" w:color="auto" w:fill="FFFFFF"/>
        </w:rPr>
        <w:t xml:space="preserve">, </w:t>
      </w:r>
      <w:hyperlink r:id="rId11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30/14</w:t>
        </w:r>
      </w:hyperlink>
      <w:r w:rsidRPr="00AE710F">
        <w:rPr>
          <w:shd w:val="clear" w:color="auto" w:fill="FFFFFF"/>
        </w:rPr>
        <w:t xml:space="preserve">, </w:t>
      </w:r>
      <w:hyperlink r:id="rId12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32/19</w:t>
        </w:r>
      </w:hyperlink>
      <w:r w:rsidRPr="00AE710F">
        <w:rPr>
          <w:shd w:val="clear" w:color="auto" w:fill="FFFFFF"/>
        </w:rPr>
        <w:t xml:space="preserve">, </w:t>
      </w:r>
      <w:hyperlink r:id="rId13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98/19</w:t>
        </w:r>
      </w:hyperlink>
      <w:r w:rsidRPr="00AE710F">
        <w:t xml:space="preserve"> </w:t>
      </w:r>
      <w:r w:rsidRPr="00AE710F">
        <w:rPr>
          <w:shd w:val="clear" w:color="auto" w:fill="FFFFFF"/>
        </w:rPr>
        <w:t xml:space="preserve">i </w:t>
      </w:r>
      <w:hyperlink r:id="rId14" w:tgtFrame="_blank" w:history="1">
        <w:r w:rsidRPr="00AE710F">
          <w:rPr>
            <w:rStyle w:val="Hyperlink"/>
            <w:color w:val="auto"/>
            <w:u w:val="none"/>
            <w:shd w:val="clear" w:color="auto" w:fill="FFFFFF"/>
          </w:rPr>
          <w:t>32/20</w:t>
        </w:r>
      </w:hyperlink>
      <w:r w:rsidR="00246597" w:rsidRPr="00AE710F">
        <w:t>)</w:t>
      </w:r>
      <w:r w:rsidR="00C4561A">
        <w:t xml:space="preserve"> kojim je utvrđeno da je trgovina na malo izvan prodavaonica oblik trgovine na malo kada se prodaja roba i/ili usluga obavlja, između ostalog, na štandovima i kl</w:t>
      </w:r>
      <w:r w:rsidR="007A0020">
        <w:t>upama izvan tržnica na malo i</w:t>
      </w:r>
      <w:r w:rsidR="00C4561A">
        <w:t xml:space="preserve"> putem kioska, </w:t>
      </w:r>
      <w:r w:rsidR="005D072C" w:rsidRPr="00AE710F">
        <w:t>te član</w:t>
      </w:r>
      <w:r w:rsidR="00AE710F">
        <w:t>ak</w:t>
      </w:r>
      <w:r w:rsidR="005D072C" w:rsidRPr="00AE710F">
        <w:t xml:space="preserve"> 29.</w:t>
      </w:r>
      <w:r w:rsidR="00AE710F">
        <w:t xml:space="preserve"> stavak 2.</w:t>
      </w:r>
      <w:r w:rsidR="005D072C" w:rsidRPr="00AE710F">
        <w:t xml:space="preserve"> i </w:t>
      </w:r>
      <w:r w:rsidR="00AE710F">
        <w:t xml:space="preserve">članak </w:t>
      </w:r>
      <w:r w:rsidR="005D072C" w:rsidRPr="00AE710F">
        <w:t>3</w:t>
      </w:r>
      <w:r w:rsidR="00FA51DB">
        <w:t>1</w:t>
      </w:r>
      <w:r w:rsidR="005D072C" w:rsidRPr="00AE710F">
        <w:t xml:space="preserve">. </w:t>
      </w:r>
      <w:r w:rsidR="00AE710F">
        <w:t xml:space="preserve">stavak </w:t>
      </w:r>
      <w:r w:rsidR="00FA51DB">
        <w:t>2</w:t>
      </w:r>
      <w:r w:rsidR="00AE710F">
        <w:t xml:space="preserve">. </w:t>
      </w:r>
      <w:r w:rsidR="005D072C" w:rsidRPr="00AE710F">
        <w:t xml:space="preserve">Pravilnika o </w:t>
      </w:r>
      <w:r w:rsidR="005D072C" w:rsidRPr="00AE710F">
        <w:rPr>
          <w:shd w:val="clear" w:color="auto" w:fill="FFFFFF"/>
        </w:rPr>
        <w:t>minimalnim tehničkim uvjetima i drugim uvjetima koji se odnose na prodajne objekte, opremu i sredstva u prodajnim objektima i uvjetima za prodaju robe izvan prodavaonica (</w:t>
      </w:r>
      <w:r w:rsidR="00C141A9">
        <w:rPr>
          <w:shd w:val="clear" w:color="auto" w:fill="FFFFFF"/>
        </w:rPr>
        <w:t>„</w:t>
      </w:r>
      <w:r w:rsidR="005D072C" w:rsidRPr="00AE710F">
        <w:rPr>
          <w:shd w:val="clear" w:color="auto" w:fill="FFFFFF"/>
        </w:rPr>
        <w:t>Narodne novine</w:t>
      </w:r>
      <w:r w:rsidR="00C141A9">
        <w:rPr>
          <w:shd w:val="clear" w:color="auto" w:fill="FFFFFF"/>
        </w:rPr>
        <w:t>“ br.</w:t>
      </w:r>
      <w:r w:rsidR="005D072C" w:rsidRPr="00AE710F">
        <w:rPr>
          <w:shd w:val="clear" w:color="auto" w:fill="FFFFFF"/>
        </w:rPr>
        <w:t xml:space="preserve"> 66/09, </w:t>
      </w:r>
      <w:hyperlink r:id="rId15" w:tgtFrame="_blank" w:history="1">
        <w:r w:rsidR="005D072C" w:rsidRPr="00AE710F">
          <w:rPr>
            <w:rStyle w:val="Hyperlink"/>
            <w:color w:val="auto"/>
            <w:u w:val="none"/>
            <w:shd w:val="clear" w:color="auto" w:fill="FFFFFF"/>
          </w:rPr>
          <w:t>108/09</w:t>
        </w:r>
      </w:hyperlink>
      <w:r w:rsidR="005D072C" w:rsidRPr="00AE710F">
        <w:rPr>
          <w:shd w:val="clear" w:color="auto" w:fill="FFFFFF"/>
        </w:rPr>
        <w:t xml:space="preserve">, </w:t>
      </w:r>
      <w:hyperlink r:id="rId16" w:tgtFrame="_blank" w:history="1">
        <w:r w:rsidR="005D072C" w:rsidRPr="00AE710F">
          <w:rPr>
            <w:rStyle w:val="Hyperlink"/>
            <w:color w:val="auto"/>
            <w:u w:val="none"/>
            <w:shd w:val="clear" w:color="auto" w:fill="FFFFFF"/>
          </w:rPr>
          <w:t>8/10</w:t>
        </w:r>
      </w:hyperlink>
      <w:r w:rsidR="005D072C" w:rsidRPr="00AE710F">
        <w:t xml:space="preserve"> </w:t>
      </w:r>
      <w:r w:rsidR="005D072C" w:rsidRPr="00AE710F">
        <w:rPr>
          <w:shd w:val="clear" w:color="auto" w:fill="FFFFFF"/>
        </w:rPr>
        <w:t xml:space="preserve">i </w:t>
      </w:r>
      <w:hyperlink r:id="rId17" w:tgtFrame="_blank" w:history="1">
        <w:r w:rsidR="005D072C" w:rsidRPr="00AE710F">
          <w:rPr>
            <w:rStyle w:val="Hyperlink"/>
            <w:color w:val="auto"/>
            <w:u w:val="none"/>
            <w:shd w:val="clear" w:color="auto" w:fill="FFFFFF"/>
          </w:rPr>
          <w:t>108/14</w:t>
        </w:r>
      </w:hyperlink>
      <w:r w:rsidR="005D072C" w:rsidRPr="00AE710F">
        <w:rPr>
          <w:shd w:val="clear" w:color="auto" w:fill="FFFFFF"/>
        </w:rPr>
        <w:t>)</w:t>
      </w:r>
      <w:r w:rsidR="00AE710F">
        <w:rPr>
          <w:shd w:val="clear" w:color="auto" w:fill="FFFFFF"/>
        </w:rPr>
        <w:t xml:space="preserve"> </w:t>
      </w:r>
      <w:r w:rsidR="00A91627" w:rsidRPr="00AE710F">
        <w:t>kojim</w:t>
      </w:r>
      <w:r w:rsidR="00AE710F">
        <w:t>a</w:t>
      </w:r>
      <w:r w:rsidR="00A91627" w:rsidRPr="00AE710F">
        <w:t xml:space="preserve"> je propisano da se prodaja robe na </w:t>
      </w:r>
      <w:r w:rsidR="00FA51DB">
        <w:t xml:space="preserve">kioscima </w:t>
      </w:r>
      <w:r w:rsidR="007A0020">
        <w:t>te</w:t>
      </w:r>
      <w:r w:rsidR="00FA51DB">
        <w:t xml:space="preserve"> na </w:t>
      </w:r>
      <w:r w:rsidR="00A91627" w:rsidRPr="00AE710F">
        <w:t>štandovima i klupama</w:t>
      </w:r>
      <w:r w:rsidR="00A91627">
        <w:t xml:space="preserve"> izvan tržnica na </w:t>
      </w:r>
      <w:r w:rsidR="007A0020">
        <w:t xml:space="preserve">malo </w:t>
      </w:r>
      <w:r w:rsidR="007A0020" w:rsidRPr="00AE710F">
        <w:t xml:space="preserve">na površinama </w:t>
      </w:r>
      <w:r w:rsidR="007A0020">
        <w:t xml:space="preserve">koje imaju pristup s javno-prometne površine </w:t>
      </w:r>
      <w:r w:rsidR="00A91627">
        <w:t xml:space="preserve">može obavljati samo na </w:t>
      </w:r>
      <w:r w:rsidR="00A91627" w:rsidRPr="007A0020">
        <w:t>mjestima</w:t>
      </w:r>
      <w:r w:rsidR="005D072C" w:rsidRPr="007A0020">
        <w:t xml:space="preserve"> </w:t>
      </w:r>
      <w:r w:rsidR="005D072C" w:rsidRPr="007A0020">
        <w:rPr>
          <w:rFonts w:ascii="Minion Pro" w:hAnsi="Minion Pro"/>
          <w:color w:val="000000"/>
          <w:shd w:val="clear" w:color="auto" w:fill="FFFFFF"/>
        </w:rPr>
        <w:t>za koja je nadležno tijelo jedinice lokalne samouprave</w:t>
      </w:r>
      <w:r w:rsidR="00C4561A" w:rsidRPr="007A0020">
        <w:rPr>
          <w:rFonts w:ascii="Minion Pro" w:hAnsi="Minion Pro"/>
          <w:color w:val="000000"/>
          <w:shd w:val="clear" w:color="auto" w:fill="FFFFFF"/>
        </w:rPr>
        <w:t xml:space="preserve"> dalo odobrenje.</w:t>
      </w:r>
    </w:p>
    <w:p w:rsidR="00D93F52" w:rsidRPr="009E59E1" w:rsidRDefault="00194A9A" w:rsidP="00D93F52">
      <w:pPr>
        <w:pStyle w:val="ListParagraph"/>
        <w:ind w:left="0" w:firstLine="709"/>
        <w:jc w:val="both"/>
      </w:pPr>
      <w:r w:rsidRPr="007A0020">
        <w:t>Pravni temelj za don</w:t>
      </w:r>
      <w:r w:rsidR="00D328AD" w:rsidRPr="007A0020">
        <w:t xml:space="preserve">ošenje </w:t>
      </w:r>
      <w:r w:rsidR="00240DC4" w:rsidRPr="007A0020">
        <w:t>ov</w:t>
      </w:r>
      <w:r w:rsidR="008F68AF" w:rsidRPr="007A0020">
        <w:t>og akta</w:t>
      </w:r>
      <w:r w:rsidR="00240DC4" w:rsidRPr="0099493F">
        <w:t xml:space="preserve"> predstavljaju </w:t>
      </w:r>
      <w:r w:rsidR="00C4561A">
        <w:t xml:space="preserve">i </w:t>
      </w:r>
      <w:r w:rsidR="008E309E">
        <w:t xml:space="preserve">odredbe </w:t>
      </w:r>
      <w:r w:rsidR="00CB733D" w:rsidRPr="0099493F">
        <w:t xml:space="preserve">Odluke o komunalnom redu </w:t>
      </w:r>
      <w:r w:rsidR="00C11E6D">
        <w:t>G</w:t>
      </w:r>
      <w:r w:rsidR="005908E1">
        <w:t>rada Pule</w:t>
      </w:r>
      <w:r w:rsidR="00352908" w:rsidRPr="00352908">
        <w:t xml:space="preserve"> </w:t>
      </w:r>
      <w:r w:rsidR="00352908">
        <w:t>kojom su propisani uvjeti uređenja naselja</w:t>
      </w:r>
      <w:r w:rsidR="005908E1">
        <w:t xml:space="preserve">, </w:t>
      </w:r>
      <w:r w:rsidR="00B60CF8">
        <w:t xml:space="preserve">odnosno odredbe članka 104. stavak 5. Zakona o komunalnom gospodarstvu </w:t>
      </w:r>
      <w:r w:rsidR="00E06471">
        <w:t>(„Narodne novine</w:t>
      </w:r>
      <w:r w:rsidR="00E06471" w:rsidRPr="008C72A7">
        <w:t xml:space="preserve">“ </w:t>
      </w:r>
      <w:r w:rsidR="00E06471">
        <w:t xml:space="preserve">br. 68/18, 110/18 i 32/20), </w:t>
      </w:r>
      <w:r w:rsidR="00B60CF8">
        <w:t>kojim je propisano da se sadržaj Odluke o komunalnom redu može propisati i s više odluka – općih akata koje donosi predstavničko tijelo.</w:t>
      </w:r>
      <w:r w:rsidR="00B06D7A" w:rsidRPr="00B06D7A">
        <w:t xml:space="preserve"> </w:t>
      </w:r>
      <w:r w:rsidR="00B06D7A">
        <w:t xml:space="preserve">U konkretnom slučaju </w:t>
      </w:r>
      <w:r w:rsidR="00D93F52">
        <w:t xml:space="preserve">ovim se aktom utvrđuju </w:t>
      </w:r>
      <w:r w:rsidR="00B06D7A" w:rsidRPr="00BE7544">
        <w:t xml:space="preserve">smjernice </w:t>
      </w:r>
      <w:r w:rsidR="00B06D7A" w:rsidRPr="008301DE">
        <w:t xml:space="preserve">pri oblikovanju, raspored i način postavljanja </w:t>
      </w:r>
      <w:r w:rsidR="00D93F52">
        <w:t>urbane opreme (kiosci, pokretne naprave, uslužne naprave i štandovi),</w:t>
      </w:r>
      <w:r w:rsidR="00053E56">
        <w:t xml:space="preserve"> </w:t>
      </w:r>
      <w:r w:rsidR="00D93F52">
        <w:t>jarbola za isticanje zastava i b</w:t>
      </w:r>
      <w:r w:rsidR="003200E4">
        <w:t>ankomata, kao i</w:t>
      </w:r>
      <w:r w:rsidR="00D93F52">
        <w:t xml:space="preserve"> komunalnih objekata u općoj uporabi (javni gradski satovi i stajališta javnog prometa-nadstrešnice).</w:t>
      </w:r>
    </w:p>
    <w:p w:rsidR="0099493F" w:rsidRPr="0099493F" w:rsidRDefault="00212E28" w:rsidP="00212E28">
      <w:pPr>
        <w:ind w:firstLine="709"/>
        <w:jc w:val="both"/>
      </w:pPr>
      <w:r>
        <w:t>P</w:t>
      </w:r>
      <w:r w:rsidR="00D01076">
        <w:t>ravni t</w:t>
      </w:r>
      <w:r w:rsidR="00D91E68" w:rsidRPr="007A0020">
        <w:t xml:space="preserve">emelj </w:t>
      </w:r>
      <w:r w:rsidR="0099493F" w:rsidRPr="007A0020">
        <w:t xml:space="preserve">za donošenje </w:t>
      </w:r>
      <w:r w:rsidR="00D91E68" w:rsidRPr="007A0020">
        <w:t>ov</w:t>
      </w:r>
      <w:r w:rsidR="008F68AF" w:rsidRPr="007A0020">
        <w:t>og Plana</w:t>
      </w:r>
      <w:r w:rsidR="0099493F" w:rsidRPr="007A0020">
        <w:t xml:space="preserve"> je </w:t>
      </w:r>
      <w:r w:rsidR="008E309E" w:rsidRPr="007A0020">
        <w:t xml:space="preserve">i </w:t>
      </w:r>
      <w:r w:rsidR="00A55B69">
        <w:t>članak 39</w:t>
      </w:r>
      <w:r w:rsidR="00B9209F">
        <w:t>. Statuta Grada Pule</w:t>
      </w:r>
      <w:r w:rsidR="0099493F" w:rsidRPr="007A0020">
        <w:t xml:space="preserve"> (</w:t>
      </w:r>
      <w:r w:rsidR="008E309E" w:rsidRPr="007A0020">
        <w:t>„</w:t>
      </w:r>
      <w:r w:rsidR="0099493F" w:rsidRPr="007A0020">
        <w:t xml:space="preserve">Službene novine“ Grada Pule br. </w:t>
      </w:r>
      <w:r w:rsidR="008E309E" w:rsidRPr="007A0020">
        <w:t>07/09, 1</w:t>
      </w:r>
      <w:r w:rsidR="003A26F7">
        <w:t xml:space="preserve">6/09, 12/11, 1/13, 2/18, 2/20, </w:t>
      </w:r>
      <w:r w:rsidR="008E309E" w:rsidRPr="007A0020">
        <w:t>4/21</w:t>
      </w:r>
      <w:r w:rsidR="003A26F7">
        <w:t xml:space="preserve"> i 5/21</w:t>
      </w:r>
      <w:r w:rsidR="0099493F" w:rsidRPr="007A0020">
        <w:t xml:space="preserve">), kojim je propisano da </w:t>
      </w:r>
      <w:r w:rsidR="00A55B69">
        <w:t>Gradsko vijeće</w:t>
      </w:r>
      <w:r w:rsidR="0099493F" w:rsidRPr="007A0020">
        <w:t xml:space="preserve"> Grada Pule </w:t>
      </w:r>
      <w:r w:rsidR="00A55B69">
        <w:t xml:space="preserve">donosi odluke i druge opće akte kojima </w:t>
      </w:r>
      <w:r w:rsidR="00B9209F">
        <w:t>se uređuju</w:t>
      </w:r>
      <w:r w:rsidR="00A55B69">
        <w:t xml:space="preserve"> pitanja iz samoupravnog djelokruga Grada Pule.</w:t>
      </w:r>
    </w:p>
    <w:p w:rsidR="00194A9A" w:rsidRPr="0099493F" w:rsidRDefault="00194A9A" w:rsidP="00107B81">
      <w:pPr>
        <w:spacing w:line="360" w:lineRule="auto"/>
      </w:pPr>
    </w:p>
    <w:p w:rsidR="00194A9A" w:rsidRPr="00737A8B" w:rsidRDefault="00194A9A" w:rsidP="00E201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</w:rPr>
      </w:pPr>
      <w:r w:rsidRPr="00737A8B">
        <w:rPr>
          <w:b/>
        </w:rPr>
        <w:t>OSNOVNA PITANJA I PRIKAZ STANJA KOJE SE UREĐUJE AKTOM</w:t>
      </w:r>
      <w:r w:rsidR="00184ADD">
        <w:rPr>
          <w:b/>
        </w:rPr>
        <w:t xml:space="preserve"> I </w:t>
      </w:r>
      <w:r w:rsidR="00184ADD" w:rsidRPr="0082278D">
        <w:rPr>
          <w:b/>
        </w:rPr>
        <w:t>DOSADAŠNJA REGULATIVA</w:t>
      </w:r>
    </w:p>
    <w:p w:rsidR="008F68AF" w:rsidRDefault="00466279" w:rsidP="00DE5FA1">
      <w:pPr>
        <w:ind w:right="110" w:firstLine="720"/>
        <w:jc w:val="both"/>
        <w:rPr>
          <w:color w:val="000000"/>
        </w:rPr>
      </w:pPr>
      <w:r>
        <w:t xml:space="preserve">Na području Grada Pule se </w:t>
      </w:r>
      <w:r w:rsidR="00AA7D28">
        <w:t>na javnim površinama u skladu s</w:t>
      </w:r>
      <w:r w:rsidR="008C72A7">
        <w:t xml:space="preserve"> relevantnim propisima te </w:t>
      </w:r>
      <w:r>
        <w:t>temeljem Odlu</w:t>
      </w:r>
      <w:r w:rsidR="00AA7D28">
        <w:t>ke o komunalnom redu i važećih p</w:t>
      </w:r>
      <w:r>
        <w:t>lanova urbane opreme postavlja urbana oprema namijenjena obavljanju pojedinih djelatnosti i usluga</w:t>
      </w:r>
      <w:r w:rsidR="00DE5FA1">
        <w:t>.</w:t>
      </w:r>
    </w:p>
    <w:p w:rsidR="00184ADD" w:rsidRPr="0082278D" w:rsidRDefault="00E20137" w:rsidP="00184ADD">
      <w:pPr>
        <w:pStyle w:val="ListParagraph"/>
        <w:ind w:left="0" w:firstLine="720"/>
        <w:contextualSpacing w:val="0"/>
        <w:jc w:val="both"/>
      </w:pPr>
      <w:r>
        <w:rPr>
          <w:color w:val="000000"/>
        </w:rPr>
        <w:t xml:space="preserve">Navedena pitanja trenutno su regulirana važećim </w:t>
      </w:r>
      <w:r w:rsidR="00AA7D28">
        <w:t>p</w:t>
      </w:r>
      <w:r w:rsidR="00184ADD" w:rsidRPr="0082278D">
        <w:t>lanovi</w:t>
      </w:r>
      <w:r>
        <w:t>ma</w:t>
      </w:r>
      <w:r w:rsidR="00184ADD" w:rsidRPr="0082278D">
        <w:t xml:space="preserve"> urbane opreme</w:t>
      </w:r>
      <w:r>
        <w:t>,</w:t>
      </w:r>
      <w:r w:rsidR="00184ADD" w:rsidRPr="0082278D">
        <w:t xml:space="preserve"> kojima su</w:t>
      </w:r>
      <w:r w:rsidR="00AA7D28">
        <w:t xml:space="preserve"> utvrđeni način i </w:t>
      </w:r>
      <w:r w:rsidR="00184ADD">
        <w:t xml:space="preserve">uvjeti postavljanja </w:t>
      </w:r>
      <w:r w:rsidR="00060B49">
        <w:t xml:space="preserve">pojedine </w:t>
      </w:r>
      <w:r w:rsidR="00184ADD">
        <w:t>urbane opreme i komu</w:t>
      </w:r>
      <w:r>
        <w:t>nalnih objekata u općoj uporabi, a to su:</w:t>
      </w:r>
    </w:p>
    <w:p w:rsidR="00184ADD" w:rsidRPr="00054D17" w:rsidRDefault="00184ADD" w:rsidP="00184ADD">
      <w:pPr>
        <w:pStyle w:val="ListParagraph"/>
        <w:numPr>
          <w:ilvl w:val="0"/>
          <w:numId w:val="5"/>
        </w:numPr>
        <w:contextualSpacing w:val="0"/>
        <w:jc w:val="both"/>
      </w:pPr>
      <w:r w:rsidRPr="00054D17">
        <w:t xml:space="preserve">Plan rasporeda kioska za Grad Pulu („Službene novine“ </w:t>
      </w:r>
      <w:r w:rsidRPr="00120ACF">
        <w:t>Grada Pule br. 9/97, 5/98, 6/99, 2/01, 5/02, 11a/05, 3/07, 8/08, 6/09, 3/10, 4/10, 6/11, 15/11, 4/12, 3/13, 3/14, 11/14, 3/15, 17/15, 6/16 i 15/18)</w:t>
      </w:r>
      <w:r>
        <w:t>,</w:t>
      </w:r>
    </w:p>
    <w:p w:rsidR="00184ADD" w:rsidRPr="00120ACF" w:rsidRDefault="00184ADD" w:rsidP="00184ADD">
      <w:pPr>
        <w:pStyle w:val="ListParagraph"/>
        <w:numPr>
          <w:ilvl w:val="0"/>
          <w:numId w:val="5"/>
        </w:numPr>
        <w:contextualSpacing w:val="0"/>
        <w:jc w:val="both"/>
      </w:pPr>
      <w:r w:rsidRPr="00054D17">
        <w:t xml:space="preserve">Odluka o lokacijama </w:t>
      </w:r>
      <w:r w:rsidRPr="00054D17">
        <w:rPr>
          <w:color w:val="000000"/>
        </w:rPr>
        <w:t xml:space="preserve">za prodaju robe izvan prostorija na </w:t>
      </w:r>
      <w:r>
        <w:rPr>
          <w:color w:val="000000"/>
        </w:rPr>
        <w:t>pokretnim napravama</w:t>
      </w:r>
      <w:r w:rsidRPr="00054D17">
        <w:rPr>
          <w:color w:val="000000"/>
        </w:rPr>
        <w:t xml:space="preserve"> </w:t>
      </w:r>
      <w:r w:rsidRPr="00054D17">
        <w:t xml:space="preserve">(„Službene novine“ </w:t>
      </w:r>
      <w:r w:rsidRPr="00120ACF">
        <w:t xml:space="preserve">Grada Pule br. </w:t>
      </w:r>
      <w:r>
        <w:rPr>
          <w:rFonts w:eastAsia="Calibri"/>
        </w:rPr>
        <w:t>3/06, 6/06, 4/10, 7/14, 7/15,</w:t>
      </w:r>
      <w:r w:rsidRPr="00120ACF">
        <w:rPr>
          <w:rFonts w:eastAsia="Calibri"/>
        </w:rPr>
        <w:t xml:space="preserve"> 14/18</w:t>
      </w:r>
      <w:r>
        <w:t xml:space="preserve"> i 8/19</w:t>
      </w:r>
      <w:r w:rsidRPr="00120ACF">
        <w:rPr>
          <w:rFonts w:eastAsia="Calibri"/>
        </w:rPr>
        <w:t>)</w:t>
      </w:r>
      <w:r w:rsidRPr="00120ACF">
        <w:t>,</w:t>
      </w:r>
      <w:r w:rsidRPr="00120ACF">
        <w:rPr>
          <w:rFonts w:eastAsia="Calibri"/>
        </w:rPr>
        <w:t xml:space="preserve"> </w:t>
      </w:r>
    </w:p>
    <w:p w:rsidR="00184ADD" w:rsidRPr="00054D17" w:rsidRDefault="00184ADD" w:rsidP="00184ADD">
      <w:pPr>
        <w:pStyle w:val="ListParagraph"/>
        <w:numPr>
          <w:ilvl w:val="0"/>
          <w:numId w:val="5"/>
        </w:numPr>
        <w:contextualSpacing w:val="0"/>
        <w:jc w:val="both"/>
      </w:pPr>
      <w:r w:rsidRPr="00120ACF">
        <w:t>Odluka o postavljanju nadstrešnica za sklanjanje ljudi u javnom prometu („Službene novine“ Grada Pule br. 9/00,</w:t>
      </w:r>
      <w:r>
        <w:t xml:space="preserve"> 12/01, 4/03, 11a/05, 12a/05, 4/12 i 9/12)</w:t>
      </w:r>
      <w:r w:rsidRPr="00054D17">
        <w:t xml:space="preserve">, </w:t>
      </w:r>
    </w:p>
    <w:p w:rsidR="00184ADD" w:rsidRPr="00A841D5" w:rsidRDefault="00184ADD" w:rsidP="00184ADD">
      <w:pPr>
        <w:pStyle w:val="ListParagraph"/>
        <w:numPr>
          <w:ilvl w:val="0"/>
          <w:numId w:val="5"/>
        </w:numPr>
        <w:contextualSpacing w:val="0"/>
        <w:jc w:val="both"/>
      </w:pPr>
      <w:r w:rsidRPr="00054D17">
        <w:t>Plan i raspored za postavu zastava na javnim površinama na području Grada Pule</w:t>
      </w:r>
      <w:r>
        <w:t xml:space="preserve"> </w:t>
      </w:r>
      <w:r w:rsidRPr="00054D17">
        <w:t xml:space="preserve">(„Službene novine“ </w:t>
      </w:r>
      <w:r w:rsidRPr="00A841D5">
        <w:t>Grada Pule br. 12/07 i 14/09),</w:t>
      </w:r>
    </w:p>
    <w:p w:rsidR="00184ADD" w:rsidRPr="0099493F" w:rsidRDefault="00184ADD" w:rsidP="00184ADD">
      <w:pPr>
        <w:pStyle w:val="ListParagraph"/>
        <w:numPr>
          <w:ilvl w:val="0"/>
          <w:numId w:val="5"/>
        </w:numPr>
        <w:jc w:val="both"/>
      </w:pPr>
      <w:r w:rsidRPr="00A841D5">
        <w:t>Plan lokacija za postavu gradskih satova („Službene novine“ Grada Pule br.</w:t>
      </w:r>
      <w:r w:rsidRPr="00054D17">
        <w:t xml:space="preserve"> </w:t>
      </w:r>
      <w:r>
        <w:t>4/09).</w:t>
      </w:r>
    </w:p>
    <w:p w:rsidR="00AA7D28" w:rsidRDefault="00E20137" w:rsidP="00184ADD">
      <w:pPr>
        <w:ind w:firstLine="720"/>
        <w:jc w:val="both"/>
      </w:pPr>
      <w:r>
        <w:lastRenderedPageBreak/>
        <w:t>Prijedlogom ovog akta</w:t>
      </w:r>
      <w:r w:rsidR="00184ADD">
        <w:t xml:space="preserve"> se</w:t>
      </w:r>
      <w:r w:rsidR="003F79F5">
        <w:t>,</w:t>
      </w:r>
      <w:r w:rsidR="00184ADD">
        <w:t xml:space="preserve"> s ciljem jednostavnije provedbe</w:t>
      </w:r>
      <w:r w:rsidR="003F79F5">
        <w:t>,</w:t>
      </w:r>
      <w:r w:rsidR="00184ADD">
        <w:t xml:space="preserve"> objedinjavaju i sistematiziraju uvjeti postavljanja i korištenja </w:t>
      </w:r>
      <w:r w:rsidR="00DE5FA1">
        <w:t xml:space="preserve">urbane opreme i </w:t>
      </w:r>
      <w:r w:rsidR="00184ADD">
        <w:t>komunalnih objekata u općo</w:t>
      </w:r>
      <w:r w:rsidR="003F79F5">
        <w:t>j uporabi,</w:t>
      </w:r>
      <w:r w:rsidR="00184ADD">
        <w:t xml:space="preserve"> </w:t>
      </w:r>
      <w:r>
        <w:t xml:space="preserve">utvrđeni prethodno navedenim </w:t>
      </w:r>
      <w:r w:rsidR="00DE5FA1">
        <w:t xml:space="preserve">važećim </w:t>
      </w:r>
      <w:r w:rsidR="00AA7D28">
        <w:t>p</w:t>
      </w:r>
      <w:r>
        <w:t xml:space="preserve">lanovima urbane opreme. </w:t>
      </w:r>
    </w:p>
    <w:p w:rsidR="00DE5FA1" w:rsidRDefault="006C1D24" w:rsidP="00184ADD">
      <w:pPr>
        <w:ind w:firstLine="720"/>
        <w:jc w:val="both"/>
      </w:pPr>
      <w:r>
        <w:t>Postojeće lokacije urbane opreme</w:t>
      </w:r>
      <w:r w:rsidR="00FC6A44">
        <w:t xml:space="preserve"> (kiosci, pokretne naprave, uslužne naprave i štandovi),</w:t>
      </w:r>
      <w:r>
        <w:t xml:space="preserve"> analizirane su u odnosu na dosadašnje korištenje, te su u većem dijelu i preuzete u grafičke i tabelarne prikaze koji su sastavni dio prijedloga ovog akta. Također je izvršena analiza </w:t>
      </w:r>
      <w:r w:rsidR="003F79F5">
        <w:t xml:space="preserve">zaprimljenih </w:t>
      </w:r>
      <w:r>
        <w:t>zahtjeva za planiranje novih lokacija za postavu predmetne urbane opreme, te su pojedine lokacije</w:t>
      </w:r>
      <w:r w:rsidR="003F79F5">
        <w:t>,</w:t>
      </w:r>
      <w:r>
        <w:t xml:space="preserve"> za koje je procijenjeno postojanje prostornih mogućnosti </w:t>
      </w:r>
      <w:r w:rsidR="003F79F5">
        <w:t xml:space="preserve">te opravdanost postavljanja, </w:t>
      </w:r>
      <w:r>
        <w:t xml:space="preserve">uvrštene u grafičke i tabelarne prikaze </w:t>
      </w:r>
      <w:r w:rsidR="003F79F5">
        <w:t xml:space="preserve">koji su sastavni dio </w:t>
      </w:r>
      <w:r>
        <w:t>ove Odluke</w:t>
      </w:r>
      <w:r w:rsidR="003F79F5">
        <w:t>.</w:t>
      </w:r>
      <w:r>
        <w:t xml:space="preserve"> Donoš</w:t>
      </w:r>
      <w:r w:rsidR="00AA7D28">
        <w:t>enjem predmetnog akta</w:t>
      </w:r>
      <w:r w:rsidR="00FC6A44">
        <w:t>,</w:t>
      </w:r>
      <w:r w:rsidR="00AA7D28">
        <w:t xml:space="preserve"> </w:t>
      </w:r>
      <w:r w:rsidR="00FC6A44">
        <w:t>dosad postojeći</w:t>
      </w:r>
      <w:r w:rsidR="00AA7D28">
        <w:t xml:space="preserve"> p</w:t>
      </w:r>
      <w:r>
        <w:t>lanovi urbane opreme stav</w:t>
      </w:r>
      <w:r w:rsidR="003F79F5">
        <w:t>ljaju</w:t>
      </w:r>
      <w:r>
        <w:t xml:space="preserve"> se  izvan snage.</w:t>
      </w:r>
    </w:p>
    <w:p w:rsidR="00AA7D28" w:rsidRPr="00AA7D28" w:rsidRDefault="003F79F5" w:rsidP="00AA7D28">
      <w:pPr>
        <w:ind w:right="110" w:firstLine="720"/>
        <w:jc w:val="both"/>
      </w:pPr>
      <w:r>
        <w:t>Slijedom svega navedenog,</w:t>
      </w:r>
      <w:r w:rsidR="00DE5FA1">
        <w:t xml:space="preserve"> prijedlogom ovog akta</w:t>
      </w:r>
      <w:r w:rsidR="00DE5FA1" w:rsidRPr="0099493F">
        <w:t xml:space="preserve"> određuj</w:t>
      </w:r>
      <w:r w:rsidR="00DE5FA1">
        <w:t xml:space="preserve">e </w:t>
      </w:r>
      <w:r w:rsidR="00DE5FA1" w:rsidRPr="0099493F">
        <w:t xml:space="preserve">se </w:t>
      </w:r>
      <w:r w:rsidR="00DE5FA1">
        <w:t>raspored</w:t>
      </w:r>
      <w:r w:rsidR="00DE5FA1" w:rsidRPr="0099493F">
        <w:t xml:space="preserve"> površin</w:t>
      </w:r>
      <w:r w:rsidR="00DE5FA1">
        <w:t>a</w:t>
      </w:r>
      <w:r w:rsidR="00DE5FA1" w:rsidRPr="0099493F">
        <w:t xml:space="preserve"> </w:t>
      </w:r>
      <w:r w:rsidR="00DE5FA1">
        <w:t xml:space="preserve">javne namjene (lokacija) </w:t>
      </w:r>
      <w:r w:rsidR="00DE5FA1" w:rsidRPr="0099493F">
        <w:t>u Gradu Puli na kojima se</w:t>
      </w:r>
      <w:r w:rsidR="00DE5FA1">
        <w:t>, sukladno odredbama Odluke o komunalnom redu</w:t>
      </w:r>
      <w:r w:rsidR="00DE5FA1" w:rsidRPr="0099493F">
        <w:t xml:space="preserve"> mo</w:t>
      </w:r>
      <w:r w:rsidR="00AA7D28">
        <w:t>gu</w:t>
      </w:r>
      <w:r w:rsidR="00DE5FA1">
        <w:t xml:space="preserve"> posta</w:t>
      </w:r>
      <w:r w:rsidR="00AA7D28">
        <w:t xml:space="preserve">vljati privremeni objekti - </w:t>
      </w:r>
      <w:r w:rsidR="00DE5FA1">
        <w:t xml:space="preserve">kiosci </w:t>
      </w:r>
      <w:r w:rsidR="00AA7D28">
        <w:rPr>
          <w:color w:val="000000"/>
        </w:rPr>
        <w:t>te</w:t>
      </w:r>
      <w:r w:rsidR="00DE5FA1" w:rsidRPr="00AA7D28">
        <w:rPr>
          <w:color w:val="000000"/>
        </w:rPr>
        <w:t xml:space="preserve"> pokretne naprave i štandovi za prodaju robe i vršenje usluga izvan prodavaonica na otvorenim prostorima</w:t>
      </w:r>
      <w:r w:rsidR="00AA7D28">
        <w:rPr>
          <w:color w:val="000000"/>
        </w:rPr>
        <w:t>.</w:t>
      </w:r>
    </w:p>
    <w:p w:rsidR="00DE5FA1" w:rsidRDefault="00DE5FA1" w:rsidP="00AA7D28">
      <w:pPr>
        <w:pStyle w:val="ListParagraph"/>
        <w:ind w:left="0" w:right="110" w:firstLine="1080"/>
        <w:jc w:val="both"/>
        <w:rPr>
          <w:color w:val="000000"/>
        </w:rPr>
      </w:pPr>
      <w:r>
        <w:t xml:space="preserve">Pored rasporeda lokacija, ovim se aktom reguliraju </w:t>
      </w:r>
      <w:r w:rsidRPr="00CE56C4">
        <w:rPr>
          <w:color w:val="000000"/>
        </w:rPr>
        <w:t>djelatnosti i usluge koje se mogu obavljati na određenoj lokaciji za postavu privremenih objekata</w:t>
      </w:r>
      <w:r>
        <w:t>, odnosno određuju</w:t>
      </w:r>
      <w:r w:rsidRPr="0099493F">
        <w:t xml:space="preserve"> </w:t>
      </w:r>
      <w:r>
        <w:t xml:space="preserve">se </w:t>
      </w:r>
      <w:r w:rsidRPr="0099493F">
        <w:t>djelatnost</w:t>
      </w:r>
      <w:r>
        <w:t>i</w:t>
      </w:r>
      <w:r w:rsidRPr="0099493F">
        <w:t xml:space="preserve"> koj</w:t>
      </w:r>
      <w:r>
        <w:t>e</w:t>
      </w:r>
      <w:r w:rsidRPr="0099493F">
        <w:t xml:space="preserve"> se mo</w:t>
      </w:r>
      <w:r>
        <w:t>gu</w:t>
      </w:r>
      <w:r w:rsidRPr="0099493F">
        <w:t xml:space="preserve"> obavljati</w:t>
      </w:r>
      <w:r>
        <w:t xml:space="preserve"> </w:t>
      </w:r>
      <w:r w:rsidRPr="0099493F">
        <w:t>u kios</w:t>
      </w:r>
      <w:r>
        <w:t>cima, regulira se prodaja robe i vršenje</w:t>
      </w:r>
      <w:r w:rsidRPr="00CE56C4">
        <w:rPr>
          <w:color w:val="000000"/>
        </w:rPr>
        <w:t xml:space="preserve"> uslug</w:t>
      </w:r>
      <w:r>
        <w:rPr>
          <w:color w:val="000000"/>
        </w:rPr>
        <w:t>a</w:t>
      </w:r>
      <w:r w:rsidRPr="00CE56C4">
        <w:rPr>
          <w:color w:val="000000"/>
        </w:rPr>
        <w:t xml:space="preserve"> </w:t>
      </w:r>
      <w:r>
        <w:t xml:space="preserve">na pokretnim napravama i štandovima </w:t>
      </w:r>
      <w:r w:rsidRPr="00CE56C4">
        <w:rPr>
          <w:color w:val="000000"/>
        </w:rPr>
        <w:t>izvan prodavaonica na otvorenim prostorima,</w:t>
      </w:r>
      <w:r>
        <w:t xml:space="preserve"> </w:t>
      </w:r>
      <w:r w:rsidRPr="00CE56C4">
        <w:rPr>
          <w:color w:val="000000"/>
        </w:rPr>
        <w:t xml:space="preserve">način postavljanja te </w:t>
      </w:r>
      <w:r w:rsidRPr="001F2FC8">
        <w:t>smjernice pri oblikovanju</w:t>
      </w:r>
      <w:r w:rsidRPr="00CE56C4">
        <w:rPr>
          <w:color w:val="000000"/>
        </w:rPr>
        <w:t xml:space="preserve"> navedene urbane opreme</w:t>
      </w:r>
      <w:r w:rsidR="00060B49">
        <w:rPr>
          <w:color w:val="000000"/>
        </w:rPr>
        <w:t>.</w:t>
      </w:r>
      <w:r w:rsidRPr="00CE56C4">
        <w:rPr>
          <w:color w:val="000000"/>
        </w:rPr>
        <w:t xml:space="preserve"> </w:t>
      </w:r>
      <w:r w:rsidR="00060B49">
        <w:rPr>
          <w:color w:val="000000"/>
        </w:rPr>
        <w:t xml:space="preserve">Pobliže se uređuju i pojedina pitanja vezano za </w:t>
      </w:r>
      <w:r w:rsidR="00060B49" w:rsidRPr="00EC6788">
        <w:t>isticanje, održavanje i nabavu zastava koje se na području Grada Pule</w:t>
      </w:r>
      <w:r w:rsidR="00060B49" w:rsidRPr="00EC6788">
        <w:rPr>
          <w:b/>
          <w:bCs/>
        </w:rPr>
        <w:t xml:space="preserve"> </w:t>
      </w:r>
      <w:r w:rsidR="00060B49" w:rsidRPr="00EC6788">
        <w:t xml:space="preserve">postavljaju na javnim površinama </w:t>
      </w:r>
      <w:r w:rsidR="00060B49" w:rsidRPr="00CE56C4">
        <w:rPr>
          <w:color w:val="000000"/>
        </w:rPr>
        <w:t xml:space="preserve">na lokacijama jarbola </w:t>
      </w:r>
      <w:r w:rsidR="00060B49">
        <w:rPr>
          <w:color w:val="000000"/>
        </w:rPr>
        <w:t xml:space="preserve">(stupova) za isticanje zastava, </w:t>
      </w:r>
      <w:r w:rsidRPr="00CE56C4">
        <w:rPr>
          <w:color w:val="000000"/>
        </w:rPr>
        <w:t xml:space="preserve">kao i način postavljanja te </w:t>
      </w:r>
      <w:r w:rsidRPr="001F2FC8">
        <w:t>smjernice pri oblikovanju</w:t>
      </w:r>
      <w:r w:rsidRPr="00CE56C4">
        <w:rPr>
          <w:color w:val="000000"/>
        </w:rPr>
        <w:t xml:space="preserve"> </w:t>
      </w:r>
      <w:r w:rsidR="00086A0A">
        <w:rPr>
          <w:color w:val="000000"/>
        </w:rPr>
        <w:t>određenih</w:t>
      </w:r>
      <w:r w:rsidR="00B263AE">
        <w:rPr>
          <w:color w:val="000000"/>
        </w:rPr>
        <w:t xml:space="preserve"> </w:t>
      </w:r>
      <w:r w:rsidRPr="00CE56C4">
        <w:rPr>
          <w:color w:val="000000"/>
        </w:rPr>
        <w:t>komunalnih</w:t>
      </w:r>
      <w:r>
        <w:rPr>
          <w:color w:val="000000"/>
        </w:rPr>
        <w:t xml:space="preserve"> objekata u općoj uporabi</w:t>
      </w:r>
      <w:r w:rsidR="00B263AE">
        <w:rPr>
          <w:color w:val="000000"/>
        </w:rPr>
        <w:t xml:space="preserve"> i pokretnih naprava</w:t>
      </w:r>
      <w:r>
        <w:rPr>
          <w:color w:val="000000"/>
        </w:rPr>
        <w:t xml:space="preserve">. </w:t>
      </w:r>
    </w:p>
    <w:p w:rsidR="00BC2452" w:rsidRPr="00CE56C4" w:rsidRDefault="00BC2452" w:rsidP="00CE56C4">
      <w:pPr>
        <w:pStyle w:val="ListParagraph"/>
        <w:ind w:left="0" w:right="110" w:firstLine="720"/>
        <w:jc w:val="both"/>
        <w:rPr>
          <w:color w:val="000000"/>
        </w:rPr>
      </w:pPr>
      <w:r>
        <w:rPr>
          <w:color w:val="000000"/>
        </w:rPr>
        <w:t xml:space="preserve">Nadalje, </w:t>
      </w:r>
      <w:r w:rsidR="00683F64">
        <w:rPr>
          <w:color w:val="000000"/>
        </w:rPr>
        <w:t>prijedlogom ovog akta</w:t>
      </w:r>
      <w:r>
        <w:rPr>
          <w:color w:val="000000"/>
        </w:rPr>
        <w:t xml:space="preserve"> </w:t>
      </w:r>
      <w:r w:rsidR="00DE5FA1">
        <w:rPr>
          <w:color w:val="000000"/>
        </w:rPr>
        <w:t>dopunjava se dosadašnja regulativa na način da se,</w:t>
      </w:r>
      <w:r w:rsidR="00C4561A">
        <w:rPr>
          <w:color w:val="000000"/>
        </w:rPr>
        <w:t xml:space="preserve"> pored prethodno navedenog, </w:t>
      </w:r>
      <w:r w:rsidR="00DE5FA1">
        <w:rPr>
          <w:color w:val="000000"/>
        </w:rPr>
        <w:t>određuju</w:t>
      </w:r>
      <w:r w:rsidR="00C4561A">
        <w:rPr>
          <w:color w:val="000000"/>
        </w:rPr>
        <w:t xml:space="preserve"> </w:t>
      </w:r>
      <w:r>
        <w:rPr>
          <w:color w:val="000000"/>
        </w:rPr>
        <w:t>i uvjeti za postavljanje bankomata na području zaštićene kulturno povijesne cjeline grada Pule te na širem području grada, s obzirom na njihov značajan</w:t>
      </w:r>
      <w:r w:rsidR="00184ADD">
        <w:rPr>
          <w:color w:val="000000"/>
        </w:rPr>
        <w:t xml:space="preserve"> utjecaj na </w:t>
      </w:r>
      <w:r w:rsidR="00C4561A">
        <w:rPr>
          <w:color w:val="000000"/>
        </w:rPr>
        <w:t>uređenje prostora, oblikovanje građevina i vizualni utjecaj.</w:t>
      </w:r>
    </w:p>
    <w:p w:rsidR="00FE7321" w:rsidRDefault="006C1D24" w:rsidP="0082278D">
      <w:pPr>
        <w:ind w:firstLine="720"/>
        <w:jc w:val="both"/>
      </w:pPr>
      <w:r>
        <w:t>Potrebno je istaknuti, a v</w:t>
      </w:r>
      <w:r w:rsidR="00DE5FA1">
        <w:t xml:space="preserve">ezano uz planirane lokacije za postavu navedene urbane opreme, </w:t>
      </w:r>
      <w:r>
        <w:t xml:space="preserve">da se </w:t>
      </w:r>
      <w:r w:rsidR="00DE5FA1">
        <w:t>p</w:t>
      </w:r>
      <w:r w:rsidR="00FE7321">
        <w:t xml:space="preserve">od površinama javne namjene </w:t>
      </w:r>
      <w:r w:rsidR="00DE5FA1">
        <w:t>u smislu ovo prijedloga akta podrazumijevaju</w:t>
      </w:r>
      <w:r w:rsidR="00DE5FA1" w:rsidRPr="001D104C">
        <w:rPr>
          <w:color w:val="000000"/>
        </w:rPr>
        <w:t xml:space="preserve"> </w:t>
      </w:r>
      <w:r w:rsidR="00DE5FA1" w:rsidRPr="001D104C">
        <w:t xml:space="preserve">površine čije je korištenje namijenjeno svima i pod jednakim uvjetima, bez obzira </w:t>
      </w:r>
      <w:r w:rsidR="00DE5FA1" w:rsidRPr="00DE5FA1">
        <w:t xml:space="preserve">na </w:t>
      </w:r>
      <w:r w:rsidR="00DE5FA1" w:rsidRPr="00DE5FA1">
        <w:rPr>
          <w:rStyle w:val="Bodytext2"/>
          <w:rFonts w:eastAsiaTheme="minorHAnsi"/>
          <w:sz w:val="24"/>
          <w:szCs w:val="24"/>
          <w:u w:val="none"/>
        </w:rPr>
        <w:t>imo</w:t>
      </w:r>
      <w:r w:rsidR="00DE5FA1" w:rsidRPr="00DE5FA1">
        <w:t>vinsko</w:t>
      </w:r>
      <w:r w:rsidR="00DE5FA1">
        <w:t xml:space="preserve">-pravni status, određene </w:t>
      </w:r>
      <w:r>
        <w:t xml:space="preserve">kao takve </w:t>
      </w:r>
      <w:r w:rsidR="00DE5FA1">
        <w:t>O</w:t>
      </w:r>
      <w:r w:rsidR="00DE5FA1" w:rsidRPr="001D104C">
        <w:t xml:space="preserve">dlukom </w:t>
      </w:r>
      <w:r w:rsidR="00DE5FA1">
        <w:t>o komunalnom redu.</w:t>
      </w:r>
    </w:p>
    <w:p w:rsidR="0099493F" w:rsidRPr="0099493F" w:rsidRDefault="0099493F" w:rsidP="00107B81">
      <w:pPr>
        <w:spacing w:line="360" w:lineRule="auto"/>
        <w:ind w:right="110"/>
        <w:jc w:val="both"/>
      </w:pPr>
    </w:p>
    <w:p w:rsidR="00194A9A" w:rsidRPr="0099493F" w:rsidRDefault="00194A9A" w:rsidP="00CB733D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b/>
        </w:rPr>
      </w:pPr>
      <w:r w:rsidRPr="0099493F">
        <w:rPr>
          <w:b/>
        </w:rPr>
        <w:t xml:space="preserve">PROCJENA POTREBNIH FINANCIJSKIH SREDSTAVA ZA PROVEDBU AKTA </w:t>
      </w:r>
    </w:p>
    <w:p w:rsidR="00194A9A" w:rsidRPr="0099493F" w:rsidRDefault="00194A9A" w:rsidP="00924140">
      <w:pPr>
        <w:pStyle w:val="BodyText"/>
        <w:spacing w:after="120"/>
        <w:ind w:firstLine="709"/>
        <w:rPr>
          <w:lang w:val="hr-HR"/>
        </w:rPr>
      </w:pPr>
      <w:r w:rsidRPr="0099493F">
        <w:rPr>
          <w:lang w:val="hr-HR"/>
        </w:rPr>
        <w:t>Za provedbu ovog akta nije potrebno osigurati posebna financijska sredstva.</w:t>
      </w:r>
    </w:p>
    <w:p w:rsidR="008B6D89" w:rsidRPr="0099493F" w:rsidRDefault="008B6D89" w:rsidP="008B6D89">
      <w:pPr>
        <w:jc w:val="both"/>
      </w:pPr>
    </w:p>
    <w:p w:rsidR="00EA07D9" w:rsidRDefault="00EA07D9" w:rsidP="00194A9A">
      <w:pPr>
        <w:ind w:firstLine="5245"/>
        <w:jc w:val="center"/>
        <w:rPr>
          <w:b/>
        </w:rPr>
      </w:pPr>
    </w:p>
    <w:p w:rsidR="00EA07D9" w:rsidRDefault="00EA07D9" w:rsidP="00194A9A">
      <w:pPr>
        <w:ind w:firstLine="5245"/>
        <w:jc w:val="center"/>
        <w:rPr>
          <w:b/>
        </w:rPr>
      </w:pPr>
    </w:p>
    <w:p w:rsidR="00194A9A" w:rsidRPr="0099493F" w:rsidRDefault="00C3250C" w:rsidP="00194A9A">
      <w:pPr>
        <w:ind w:firstLine="5245"/>
        <w:jc w:val="center"/>
        <w:rPr>
          <w:b/>
        </w:rPr>
      </w:pPr>
      <w:r>
        <w:rPr>
          <w:b/>
        </w:rPr>
        <w:t xml:space="preserve"> </w:t>
      </w:r>
      <w:r w:rsidR="00FE2E69">
        <w:rPr>
          <w:b/>
        </w:rPr>
        <w:t>P.O. GRADONAČELNIKA</w:t>
      </w:r>
    </w:p>
    <w:p w:rsidR="00194A9A" w:rsidRPr="0099493F" w:rsidRDefault="00194A9A" w:rsidP="00194A9A">
      <w:pPr>
        <w:tabs>
          <w:tab w:val="center" w:pos="7088"/>
        </w:tabs>
        <w:ind w:firstLine="5245"/>
        <w:jc w:val="center"/>
        <w:rPr>
          <w:b/>
        </w:rPr>
      </w:pPr>
      <w:r w:rsidRPr="0099493F">
        <w:rPr>
          <w:b/>
        </w:rPr>
        <w:t>Ingrid Bulian, dipl.ing.</w:t>
      </w:r>
      <w:r w:rsidR="00D328AD" w:rsidRPr="0099493F">
        <w:rPr>
          <w:b/>
        </w:rPr>
        <w:t>arh</w:t>
      </w:r>
      <w:r w:rsidRPr="0099493F">
        <w:rPr>
          <w:b/>
        </w:rPr>
        <w:t>.</w:t>
      </w:r>
    </w:p>
    <w:sectPr w:rsidR="00194A9A" w:rsidRPr="0099493F" w:rsidSect="004C7FE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DC0"/>
    <w:multiLevelType w:val="hybridMultilevel"/>
    <w:tmpl w:val="D87C84A2"/>
    <w:lvl w:ilvl="0" w:tplc="E062A9A6">
      <w:start w:val="5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662A80"/>
    <w:multiLevelType w:val="hybridMultilevel"/>
    <w:tmpl w:val="577ED05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9045E"/>
    <w:multiLevelType w:val="hybridMultilevel"/>
    <w:tmpl w:val="7252149C"/>
    <w:lvl w:ilvl="0" w:tplc="A5D42336">
      <w:start w:val="1"/>
      <w:numFmt w:val="bullet"/>
      <w:lvlText w:val="o"/>
      <w:lvlJc w:val="left"/>
      <w:pPr>
        <w:tabs>
          <w:tab w:val="num" w:pos="993"/>
        </w:tabs>
        <w:ind w:left="709" w:firstLine="0"/>
      </w:pPr>
      <w:rPr>
        <w:rFonts w:ascii="Courier New" w:hAnsi="Courier New" w:hint="default"/>
        <w:color w:val="auto"/>
        <w:sz w:val="16"/>
      </w:rPr>
    </w:lvl>
    <w:lvl w:ilvl="1" w:tplc="F382704E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9A2390F"/>
    <w:multiLevelType w:val="hybridMultilevel"/>
    <w:tmpl w:val="234690EA"/>
    <w:lvl w:ilvl="0" w:tplc="6BFAB8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D8D303F"/>
    <w:multiLevelType w:val="hybridMultilevel"/>
    <w:tmpl w:val="D792ABE0"/>
    <w:lvl w:ilvl="0" w:tplc="411061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382DBC"/>
    <w:multiLevelType w:val="hybridMultilevel"/>
    <w:tmpl w:val="38A4777A"/>
    <w:lvl w:ilvl="0" w:tplc="95F450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AA3864"/>
    <w:multiLevelType w:val="hybridMultilevel"/>
    <w:tmpl w:val="220A472A"/>
    <w:lvl w:ilvl="0" w:tplc="8954E5EE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4A9A"/>
    <w:rsid w:val="00042F0E"/>
    <w:rsid w:val="00053E56"/>
    <w:rsid w:val="00060B49"/>
    <w:rsid w:val="0008094E"/>
    <w:rsid w:val="00086A0A"/>
    <w:rsid w:val="000A2FA5"/>
    <w:rsid w:val="00107B81"/>
    <w:rsid w:val="00126334"/>
    <w:rsid w:val="00152F66"/>
    <w:rsid w:val="00184ADD"/>
    <w:rsid w:val="00185305"/>
    <w:rsid w:val="00186FDF"/>
    <w:rsid w:val="00194A9A"/>
    <w:rsid w:val="001D6D7A"/>
    <w:rsid w:val="00212E28"/>
    <w:rsid w:val="00240DC4"/>
    <w:rsid w:val="00246597"/>
    <w:rsid w:val="002D4320"/>
    <w:rsid w:val="002F5C86"/>
    <w:rsid w:val="003200E4"/>
    <w:rsid w:val="003235B7"/>
    <w:rsid w:val="00352908"/>
    <w:rsid w:val="00361358"/>
    <w:rsid w:val="003A222B"/>
    <w:rsid w:val="003A2493"/>
    <w:rsid w:val="003A26F7"/>
    <w:rsid w:val="003D611C"/>
    <w:rsid w:val="003F79F5"/>
    <w:rsid w:val="00415AE7"/>
    <w:rsid w:val="00417F3B"/>
    <w:rsid w:val="00466279"/>
    <w:rsid w:val="004B2B89"/>
    <w:rsid w:val="004C7FE7"/>
    <w:rsid w:val="00502440"/>
    <w:rsid w:val="0052616E"/>
    <w:rsid w:val="0052655C"/>
    <w:rsid w:val="00566BC6"/>
    <w:rsid w:val="00583F6D"/>
    <w:rsid w:val="005908E1"/>
    <w:rsid w:val="00594FF1"/>
    <w:rsid w:val="005D072C"/>
    <w:rsid w:val="0062160B"/>
    <w:rsid w:val="00634310"/>
    <w:rsid w:val="00683F64"/>
    <w:rsid w:val="00691AE9"/>
    <w:rsid w:val="006B6930"/>
    <w:rsid w:val="006C1724"/>
    <w:rsid w:val="006C1D24"/>
    <w:rsid w:val="00733DF8"/>
    <w:rsid w:val="00737A8B"/>
    <w:rsid w:val="007A0020"/>
    <w:rsid w:val="0082278D"/>
    <w:rsid w:val="008301DE"/>
    <w:rsid w:val="008424D5"/>
    <w:rsid w:val="00851A27"/>
    <w:rsid w:val="008B0887"/>
    <w:rsid w:val="008B6D89"/>
    <w:rsid w:val="008C72A7"/>
    <w:rsid w:val="008E309E"/>
    <w:rsid w:val="008F68AF"/>
    <w:rsid w:val="00924140"/>
    <w:rsid w:val="00935D60"/>
    <w:rsid w:val="00952A4D"/>
    <w:rsid w:val="00955337"/>
    <w:rsid w:val="00981E67"/>
    <w:rsid w:val="00985010"/>
    <w:rsid w:val="0099493F"/>
    <w:rsid w:val="009D04A8"/>
    <w:rsid w:val="009E59E1"/>
    <w:rsid w:val="00A55B69"/>
    <w:rsid w:val="00A57130"/>
    <w:rsid w:val="00A57D14"/>
    <w:rsid w:val="00A91627"/>
    <w:rsid w:val="00A946DF"/>
    <w:rsid w:val="00AA7D28"/>
    <w:rsid w:val="00AE710F"/>
    <w:rsid w:val="00AF2692"/>
    <w:rsid w:val="00B06D7A"/>
    <w:rsid w:val="00B23249"/>
    <w:rsid w:val="00B263AE"/>
    <w:rsid w:val="00B60CF8"/>
    <w:rsid w:val="00B9209F"/>
    <w:rsid w:val="00B97C70"/>
    <w:rsid w:val="00BC1004"/>
    <w:rsid w:val="00BC2452"/>
    <w:rsid w:val="00C11E6D"/>
    <w:rsid w:val="00C141A9"/>
    <w:rsid w:val="00C3250C"/>
    <w:rsid w:val="00C44559"/>
    <w:rsid w:val="00C4561A"/>
    <w:rsid w:val="00C53504"/>
    <w:rsid w:val="00C85175"/>
    <w:rsid w:val="00CB733D"/>
    <w:rsid w:val="00CE56C4"/>
    <w:rsid w:val="00D01076"/>
    <w:rsid w:val="00D06116"/>
    <w:rsid w:val="00D328AD"/>
    <w:rsid w:val="00D86FEF"/>
    <w:rsid w:val="00D91E68"/>
    <w:rsid w:val="00D93F52"/>
    <w:rsid w:val="00DC0D4E"/>
    <w:rsid w:val="00DC128F"/>
    <w:rsid w:val="00DC68C1"/>
    <w:rsid w:val="00DE5FA1"/>
    <w:rsid w:val="00E06471"/>
    <w:rsid w:val="00E20137"/>
    <w:rsid w:val="00E2487B"/>
    <w:rsid w:val="00E419D3"/>
    <w:rsid w:val="00EA07D9"/>
    <w:rsid w:val="00ED7527"/>
    <w:rsid w:val="00EF253F"/>
    <w:rsid w:val="00F20236"/>
    <w:rsid w:val="00F304A6"/>
    <w:rsid w:val="00FA51DB"/>
    <w:rsid w:val="00FA6835"/>
    <w:rsid w:val="00FC6A44"/>
    <w:rsid w:val="00FE2E69"/>
    <w:rsid w:val="00FE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9A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A9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94A9A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94A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-8">
    <w:name w:val="t-9-8"/>
    <w:basedOn w:val="Normal"/>
    <w:rsid w:val="004C7FE7"/>
    <w:pPr>
      <w:spacing w:before="100" w:beforeAutospacing="1" w:after="100" w:afterAutospacing="1"/>
    </w:pPr>
  </w:style>
  <w:style w:type="paragraph" w:styleId="NormalWeb">
    <w:name w:val="Normal (Web)"/>
    <w:basedOn w:val="Normal"/>
    <w:unhideWhenUsed/>
    <w:rsid w:val="0052655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C72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597"/>
    <w:rPr>
      <w:color w:val="800080" w:themeColor="followedHyperlink"/>
      <w:u w:val="single"/>
    </w:rPr>
  </w:style>
  <w:style w:type="paragraph" w:customStyle="1" w:styleId="t-10-9-kurz-s-fett">
    <w:name w:val="t-10-9-kurz-s-fett"/>
    <w:basedOn w:val="Normal"/>
    <w:rsid w:val="00A57130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A57130"/>
    <w:pPr>
      <w:spacing w:before="100" w:beforeAutospacing="1" w:after="100" w:afterAutospacing="1"/>
    </w:pPr>
  </w:style>
  <w:style w:type="character" w:customStyle="1" w:styleId="Bodytext2">
    <w:name w:val="Body text (2)"/>
    <w:basedOn w:val="DefaultParagraphFont"/>
    <w:rsid w:val="00DE5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8_10_116_3351.html" TargetMode="External"/><Relationship Id="rId13" Type="http://schemas.openxmlformats.org/officeDocument/2006/relationships/hyperlink" Target="https://narodne-novine.nn.hr/clanci/sluzbeni/2019_10_98_196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08_08_96_2998.html" TargetMode="External"/><Relationship Id="rId12" Type="http://schemas.openxmlformats.org/officeDocument/2006/relationships/hyperlink" Target="https://narodne-novine.nn.hr/clanci/sluzbeni/2019_03_32_648.html" TargetMode="External"/><Relationship Id="rId17" Type="http://schemas.openxmlformats.org/officeDocument/2006/relationships/hyperlink" Target="https://narodne-novine.nn.hr/clanci/sluzbeni/2014_09_108_209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0_01_8_17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08_07_87_2790.html" TargetMode="External"/><Relationship Id="rId11" Type="http://schemas.openxmlformats.org/officeDocument/2006/relationships/hyperlink" Target="https://narodne-novine.nn.hr/clanci/sluzbeni/2014_03_30_50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09_09_108_2793.html" TargetMode="External"/><Relationship Id="rId10" Type="http://schemas.openxmlformats.org/officeDocument/2006/relationships/hyperlink" Target="https://narodne-novine.nn.hr/clanci/sluzbeni/2013_06_68_1349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1_10_114_2222.html" TargetMode="External"/><Relationship Id="rId14" Type="http://schemas.openxmlformats.org/officeDocument/2006/relationships/hyperlink" Target="https://narodne-novine.nn.hr/clanci/sluzbeni/2020_03_32_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C2FA-9F7B-4086-905D-CEE162E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eskomersic</dc:creator>
  <cp:lastModifiedBy>bbelic</cp:lastModifiedBy>
  <cp:revision>2</cp:revision>
  <dcterms:created xsi:type="dcterms:W3CDTF">2021-09-16T12:52:00Z</dcterms:created>
  <dcterms:modified xsi:type="dcterms:W3CDTF">2021-09-16T12:52:00Z</dcterms:modified>
</cp:coreProperties>
</file>