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F" w:rsidRPr="009A7813" w:rsidRDefault="009A7813" w:rsidP="0079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- </w:t>
      </w:r>
      <w:r w:rsidR="00BF70A6" w:rsidRPr="009A7813">
        <w:rPr>
          <w:rFonts w:ascii="Times New Roman" w:hAnsi="Times New Roman" w:cs="Times New Roman"/>
          <w:b/>
          <w:sz w:val="24"/>
          <w:szCs w:val="24"/>
        </w:rPr>
        <w:t>O</w:t>
      </w:r>
      <w:r w:rsidR="00792A1F" w:rsidRPr="009A7813">
        <w:rPr>
          <w:rFonts w:ascii="Times New Roman" w:hAnsi="Times New Roman" w:cs="Times New Roman"/>
          <w:b/>
          <w:sz w:val="24"/>
          <w:szCs w:val="24"/>
        </w:rPr>
        <w:t>bveze Grada Pule sa stanjem na dan 31.12.201</w:t>
      </w:r>
      <w:r w:rsidR="001A5DC1" w:rsidRPr="009A7813">
        <w:rPr>
          <w:rFonts w:ascii="Times New Roman" w:hAnsi="Times New Roman" w:cs="Times New Roman"/>
          <w:b/>
          <w:sz w:val="24"/>
          <w:szCs w:val="24"/>
        </w:rPr>
        <w:t>5</w:t>
      </w:r>
      <w:r w:rsidR="00792A1F" w:rsidRPr="009A781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A7813" w:rsidRDefault="009A7813" w:rsidP="009A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1F" w:rsidRPr="001A5DC1" w:rsidRDefault="00792A1F" w:rsidP="009A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1">
        <w:rPr>
          <w:rFonts w:ascii="Times New Roman" w:hAnsi="Times New Roman" w:cs="Times New Roman"/>
          <w:sz w:val="24"/>
          <w:szCs w:val="24"/>
        </w:rPr>
        <w:t>Ukupne obveze na dan 31.12.201</w:t>
      </w:r>
      <w:r w:rsidR="001A5DC1">
        <w:rPr>
          <w:rFonts w:ascii="Times New Roman" w:hAnsi="Times New Roman" w:cs="Times New Roman"/>
          <w:sz w:val="24"/>
          <w:szCs w:val="24"/>
        </w:rPr>
        <w:t>5</w:t>
      </w:r>
      <w:r w:rsidRPr="001A5DC1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1A5DC1">
        <w:rPr>
          <w:rFonts w:ascii="Times New Roman" w:hAnsi="Times New Roman" w:cs="Times New Roman"/>
          <w:sz w:val="24"/>
          <w:szCs w:val="24"/>
        </w:rPr>
        <w:t>16.389.460</w:t>
      </w:r>
      <w:r w:rsidRPr="001A5DC1">
        <w:rPr>
          <w:rFonts w:ascii="Times New Roman" w:hAnsi="Times New Roman" w:cs="Times New Roman"/>
          <w:sz w:val="24"/>
          <w:szCs w:val="24"/>
        </w:rPr>
        <w:t xml:space="preserve"> kn </w:t>
      </w:r>
      <w:r w:rsidR="00B54533">
        <w:rPr>
          <w:rFonts w:ascii="Times New Roman" w:hAnsi="Times New Roman" w:cs="Times New Roman"/>
          <w:sz w:val="24"/>
          <w:szCs w:val="24"/>
        </w:rPr>
        <w:t xml:space="preserve">te čine </w:t>
      </w:r>
      <w:r w:rsidR="009A7813">
        <w:rPr>
          <w:rFonts w:ascii="Times New Roman" w:hAnsi="Times New Roman" w:cs="Times New Roman"/>
          <w:sz w:val="24"/>
          <w:szCs w:val="24"/>
        </w:rPr>
        <w:t>obv</w:t>
      </w:r>
      <w:r w:rsidR="00B54533">
        <w:rPr>
          <w:rFonts w:ascii="Times New Roman" w:hAnsi="Times New Roman" w:cs="Times New Roman"/>
          <w:sz w:val="24"/>
          <w:szCs w:val="24"/>
        </w:rPr>
        <w:t>eze Grada te M</w:t>
      </w:r>
      <w:r w:rsidR="009A7813">
        <w:rPr>
          <w:rFonts w:ascii="Times New Roman" w:hAnsi="Times New Roman" w:cs="Times New Roman"/>
          <w:sz w:val="24"/>
          <w:szCs w:val="24"/>
        </w:rPr>
        <w:t>jesni</w:t>
      </w:r>
      <w:r w:rsidR="00B54533">
        <w:rPr>
          <w:rFonts w:ascii="Times New Roman" w:hAnsi="Times New Roman" w:cs="Times New Roman"/>
          <w:sz w:val="24"/>
          <w:szCs w:val="24"/>
        </w:rPr>
        <w:t>h odbora</w:t>
      </w:r>
      <w:r w:rsidR="009A7813">
        <w:rPr>
          <w:rFonts w:ascii="Times New Roman" w:hAnsi="Times New Roman" w:cs="Times New Roman"/>
          <w:sz w:val="24"/>
          <w:szCs w:val="24"/>
        </w:rPr>
        <w:t xml:space="preserve"> i Vijeća nacionalnih manjina, </w:t>
      </w:r>
      <w:r w:rsidRPr="001A5DC1">
        <w:rPr>
          <w:rFonts w:ascii="Times New Roman" w:hAnsi="Times New Roman" w:cs="Times New Roman"/>
          <w:sz w:val="24"/>
          <w:szCs w:val="24"/>
        </w:rPr>
        <w:t>prema tablici koja slijedi:</w:t>
      </w:r>
    </w:p>
    <w:p w:rsidR="009A7813" w:rsidRDefault="009A7813" w:rsidP="00792A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0E4B" w:rsidRPr="001A5DC1" w:rsidRDefault="001A0E4B" w:rsidP="00792A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DC1">
        <w:rPr>
          <w:rFonts w:ascii="Times New Roman" w:hAnsi="Times New Roman" w:cs="Times New Roman"/>
          <w:b/>
          <w:i/>
          <w:sz w:val="24"/>
          <w:szCs w:val="24"/>
        </w:rPr>
        <w:t xml:space="preserve">Tablica 1 – Rekapitulacija </w:t>
      </w:r>
      <w:r w:rsidR="001A5DC1">
        <w:rPr>
          <w:rFonts w:ascii="Times New Roman" w:hAnsi="Times New Roman" w:cs="Times New Roman"/>
          <w:b/>
          <w:i/>
          <w:sz w:val="24"/>
          <w:szCs w:val="24"/>
        </w:rPr>
        <w:t>ukupnih obveza na dan 31.12.2015</w:t>
      </w:r>
      <w:r w:rsidRPr="001A5DC1">
        <w:rPr>
          <w:rFonts w:ascii="Times New Roman" w:hAnsi="Times New Roman" w:cs="Times New Roman"/>
          <w:b/>
          <w:i/>
          <w:sz w:val="24"/>
          <w:szCs w:val="24"/>
        </w:rPr>
        <w:t>. godine</w:t>
      </w:r>
    </w:p>
    <w:tbl>
      <w:tblPr>
        <w:tblW w:w="8480" w:type="dxa"/>
        <w:jc w:val="center"/>
        <w:tblInd w:w="93" w:type="dxa"/>
        <w:tblLook w:val="04A0"/>
      </w:tblPr>
      <w:tblGrid>
        <w:gridCol w:w="1266"/>
        <w:gridCol w:w="4589"/>
        <w:gridCol w:w="1231"/>
        <w:gridCol w:w="1394"/>
      </w:tblGrid>
      <w:tr w:rsidR="001A5DC1" w:rsidRPr="001A5DC1" w:rsidTr="005D5D3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A5DC1" w:rsidRPr="001A5DC1" w:rsidRDefault="001A5DC1" w:rsidP="00B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OBVEZE NA 31.12.201</w:t>
            </w:r>
            <w:r w:rsidR="00B5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UDIO U UKUPNIM OBVEZAMA</w:t>
            </w:r>
          </w:p>
        </w:tc>
      </w:tr>
      <w:tr w:rsidR="001A5DC1" w:rsidRPr="001A5DC1" w:rsidTr="005D5D39">
        <w:trPr>
          <w:trHeight w:val="49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DC1" w:rsidRPr="001A5DC1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2.104.340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12,84%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6.512.270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39,73%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financijske rashode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279.943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1,71%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subvencije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60.077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0,37%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temeljem sredstava pomoći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naknade građanima i kućanstvima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131.427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0,80%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kazne, naknade šteta i kapitalne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76.000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0,46%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porez na dodanu vrijednost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1.401.876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8,55%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2395</w:t>
            </w:r>
            <w:r w:rsidR="00174114"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3, 2395</w:t>
            </w: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174114"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,23957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Ostale nespomenute obveze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1.323.649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8,08%</w:t>
            </w:r>
          </w:p>
        </w:tc>
      </w:tr>
      <w:tr w:rsidR="001A5DC1" w:rsidRPr="001A5DC1" w:rsidTr="0017411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5DC1" w:rsidRPr="009058FC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Obveze za nabavu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5DC1" w:rsidRPr="009058FC" w:rsidRDefault="001A5DC1" w:rsidP="001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4.499.758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27,46%</w:t>
            </w:r>
          </w:p>
        </w:tc>
      </w:tr>
      <w:tr w:rsidR="001A5DC1" w:rsidRPr="001A5DC1" w:rsidTr="005D5D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Obveze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16.389.460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5DC1" w:rsidRPr="001A5DC1" w:rsidRDefault="001A5DC1" w:rsidP="001A5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</w:tbl>
    <w:p w:rsidR="00E733A3" w:rsidRPr="001A5DC1" w:rsidRDefault="00E733A3" w:rsidP="0079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C1" w:rsidRDefault="00E733A3" w:rsidP="00792A1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DC1">
        <w:rPr>
          <w:rFonts w:ascii="Times New Roman" w:hAnsi="Times New Roman" w:cs="Times New Roman"/>
          <w:b/>
          <w:i/>
          <w:sz w:val="24"/>
          <w:szCs w:val="24"/>
        </w:rPr>
        <w:t>Grafikon 1 - Obvez</w:t>
      </w:r>
      <w:r w:rsidR="00887FA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1A5DC1">
        <w:rPr>
          <w:rFonts w:ascii="Times New Roman" w:hAnsi="Times New Roman" w:cs="Times New Roman"/>
          <w:b/>
          <w:i/>
          <w:sz w:val="24"/>
          <w:szCs w:val="24"/>
        </w:rPr>
        <w:t xml:space="preserve"> na dan 31.12.201</w:t>
      </w:r>
      <w:r w:rsidR="001A5D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A5DC1">
        <w:rPr>
          <w:rFonts w:ascii="Times New Roman" w:hAnsi="Times New Roman" w:cs="Times New Roman"/>
          <w:b/>
          <w:i/>
          <w:sz w:val="24"/>
          <w:szCs w:val="24"/>
        </w:rPr>
        <w:t>. godine</w:t>
      </w:r>
    </w:p>
    <w:p w:rsidR="00E733A3" w:rsidRPr="001A5DC1" w:rsidRDefault="00887FA3" w:rsidP="00887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FA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72150" cy="389572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0E4B" w:rsidRPr="001A5DC1" w:rsidRDefault="001A0E4B" w:rsidP="001A0E4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C1">
        <w:rPr>
          <w:rFonts w:ascii="Times New Roman" w:hAnsi="Times New Roman" w:cs="Times New Roman"/>
          <w:sz w:val="24"/>
          <w:szCs w:val="24"/>
        </w:rPr>
        <w:lastRenderedPageBreak/>
        <w:t>Na dan 31.12.201</w:t>
      </w:r>
      <w:r w:rsidR="009A7813">
        <w:rPr>
          <w:rFonts w:ascii="Times New Roman" w:hAnsi="Times New Roman" w:cs="Times New Roman"/>
          <w:sz w:val="24"/>
          <w:szCs w:val="24"/>
        </w:rPr>
        <w:t>5</w:t>
      </w:r>
      <w:r w:rsidRPr="001A5DC1">
        <w:rPr>
          <w:rFonts w:ascii="Times New Roman" w:hAnsi="Times New Roman" w:cs="Times New Roman"/>
          <w:sz w:val="24"/>
          <w:szCs w:val="24"/>
        </w:rPr>
        <w:t xml:space="preserve">. godine dospjele obveze iznose </w:t>
      </w:r>
      <w:r w:rsidR="009A7813">
        <w:rPr>
          <w:rFonts w:ascii="Times New Roman" w:hAnsi="Times New Roman" w:cs="Times New Roman"/>
          <w:sz w:val="24"/>
          <w:szCs w:val="24"/>
        </w:rPr>
        <w:t>3.597.639</w:t>
      </w:r>
      <w:r w:rsidRPr="001A5DC1">
        <w:rPr>
          <w:rFonts w:ascii="Times New Roman" w:hAnsi="Times New Roman" w:cs="Times New Roman"/>
          <w:sz w:val="24"/>
          <w:szCs w:val="24"/>
        </w:rPr>
        <w:t xml:space="preserve"> kn, od čega se na obveze za </w:t>
      </w:r>
      <w:r w:rsidR="009A7813">
        <w:rPr>
          <w:rFonts w:ascii="Times New Roman" w:hAnsi="Times New Roman" w:cs="Times New Roman"/>
          <w:sz w:val="24"/>
          <w:szCs w:val="24"/>
        </w:rPr>
        <w:t>materijalne rashode</w:t>
      </w:r>
      <w:r w:rsidRPr="001A5DC1">
        <w:rPr>
          <w:rFonts w:ascii="Times New Roman" w:hAnsi="Times New Roman" w:cs="Times New Roman"/>
          <w:sz w:val="24"/>
          <w:szCs w:val="24"/>
        </w:rPr>
        <w:t xml:space="preserve"> odnosi iznos od </w:t>
      </w:r>
      <w:r w:rsidR="009A7813">
        <w:rPr>
          <w:rFonts w:ascii="Times New Roman" w:hAnsi="Times New Roman" w:cs="Times New Roman"/>
          <w:sz w:val="24"/>
          <w:szCs w:val="24"/>
        </w:rPr>
        <w:t>1.389.982 kn</w:t>
      </w:r>
      <w:r w:rsidR="00B54533">
        <w:rPr>
          <w:rFonts w:ascii="Times New Roman" w:hAnsi="Times New Roman" w:cs="Times New Roman"/>
          <w:sz w:val="24"/>
          <w:szCs w:val="24"/>
        </w:rPr>
        <w:t>,</w:t>
      </w:r>
      <w:r w:rsidRPr="001A5DC1">
        <w:rPr>
          <w:rFonts w:ascii="Times New Roman" w:hAnsi="Times New Roman" w:cs="Times New Roman"/>
          <w:sz w:val="24"/>
          <w:szCs w:val="24"/>
        </w:rPr>
        <w:t xml:space="preserve"> financijske rashode </w:t>
      </w:r>
      <w:r w:rsidR="00B54533">
        <w:rPr>
          <w:rFonts w:ascii="Times New Roman" w:hAnsi="Times New Roman" w:cs="Times New Roman"/>
          <w:sz w:val="24"/>
          <w:szCs w:val="24"/>
        </w:rPr>
        <w:t xml:space="preserve">iznos od </w:t>
      </w:r>
      <w:r w:rsidR="009A7813">
        <w:rPr>
          <w:rFonts w:ascii="Times New Roman" w:hAnsi="Times New Roman" w:cs="Times New Roman"/>
          <w:sz w:val="24"/>
          <w:szCs w:val="24"/>
        </w:rPr>
        <w:t>205</w:t>
      </w:r>
      <w:r w:rsidRPr="001A5DC1">
        <w:rPr>
          <w:rFonts w:ascii="Times New Roman" w:hAnsi="Times New Roman" w:cs="Times New Roman"/>
          <w:sz w:val="24"/>
          <w:szCs w:val="24"/>
        </w:rPr>
        <w:t xml:space="preserve"> kn, obveze </w:t>
      </w:r>
      <w:r w:rsidR="009A7813">
        <w:rPr>
          <w:rFonts w:ascii="Times New Roman" w:hAnsi="Times New Roman" w:cs="Times New Roman"/>
          <w:sz w:val="24"/>
          <w:szCs w:val="24"/>
        </w:rPr>
        <w:t xml:space="preserve">temeljem sredstava pomoći unutar općeg proračuna </w:t>
      </w:r>
      <w:r w:rsidR="00B54533">
        <w:rPr>
          <w:rFonts w:ascii="Times New Roman" w:hAnsi="Times New Roman" w:cs="Times New Roman"/>
          <w:sz w:val="24"/>
          <w:szCs w:val="24"/>
        </w:rPr>
        <w:t>iznos</w:t>
      </w:r>
      <w:r w:rsidR="009A7813">
        <w:rPr>
          <w:rFonts w:ascii="Times New Roman" w:hAnsi="Times New Roman" w:cs="Times New Roman"/>
          <w:sz w:val="24"/>
          <w:szCs w:val="24"/>
        </w:rPr>
        <w:t xml:space="preserve"> od 120 kn, obveze </w:t>
      </w:r>
      <w:r w:rsidRPr="001A5DC1">
        <w:rPr>
          <w:rFonts w:ascii="Times New Roman" w:hAnsi="Times New Roman" w:cs="Times New Roman"/>
          <w:sz w:val="24"/>
          <w:szCs w:val="24"/>
        </w:rPr>
        <w:t xml:space="preserve">za naknade građanima i kućanstvima </w:t>
      </w:r>
      <w:r w:rsidR="00B54533">
        <w:rPr>
          <w:rFonts w:ascii="Times New Roman" w:hAnsi="Times New Roman" w:cs="Times New Roman"/>
          <w:sz w:val="24"/>
          <w:szCs w:val="24"/>
        </w:rPr>
        <w:t>iznos</w:t>
      </w:r>
      <w:r w:rsidRPr="001A5DC1">
        <w:rPr>
          <w:rFonts w:ascii="Times New Roman" w:hAnsi="Times New Roman" w:cs="Times New Roman"/>
          <w:sz w:val="24"/>
          <w:szCs w:val="24"/>
        </w:rPr>
        <w:t xml:space="preserve"> od </w:t>
      </w:r>
      <w:r w:rsidR="009A7813">
        <w:rPr>
          <w:rFonts w:ascii="Times New Roman" w:hAnsi="Times New Roman" w:cs="Times New Roman"/>
          <w:sz w:val="24"/>
          <w:szCs w:val="24"/>
        </w:rPr>
        <w:t>12.644 kn</w:t>
      </w:r>
      <w:r w:rsidRPr="001A5DC1">
        <w:rPr>
          <w:rFonts w:ascii="Times New Roman" w:hAnsi="Times New Roman" w:cs="Times New Roman"/>
          <w:sz w:val="24"/>
          <w:szCs w:val="24"/>
        </w:rPr>
        <w:t xml:space="preserve">. Dospjele obveze za nabavu nefinancijske imovine iznose </w:t>
      </w:r>
      <w:r w:rsidR="009A7813">
        <w:rPr>
          <w:rFonts w:ascii="Times New Roman" w:hAnsi="Times New Roman" w:cs="Times New Roman"/>
          <w:sz w:val="24"/>
          <w:szCs w:val="24"/>
        </w:rPr>
        <w:t>2.194.688</w:t>
      </w:r>
      <w:r w:rsidRPr="001A5DC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A0E4B" w:rsidRPr="001A5DC1" w:rsidRDefault="001A0E4B" w:rsidP="001A0E4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C1">
        <w:rPr>
          <w:rFonts w:ascii="Times New Roman" w:hAnsi="Times New Roman" w:cs="Times New Roman"/>
          <w:sz w:val="24"/>
          <w:szCs w:val="24"/>
        </w:rPr>
        <w:t>Stanje nedospjelih obveza na dan 31.12.201</w:t>
      </w:r>
      <w:r w:rsidR="009A7813">
        <w:rPr>
          <w:rFonts w:ascii="Times New Roman" w:hAnsi="Times New Roman" w:cs="Times New Roman"/>
          <w:sz w:val="24"/>
          <w:szCs w:val="24"/>
        </w:rPr>
        <w:t xml:space="preserve">5. godine iznose 12.791.821 </w:t>
      </w:r>
      <w:r w:rsidRPr="001A5DC1">
        <w:rPr>
          <w:rFonts w:ascii="Times New Roman" w:hAnsi="Times New Roman" w:cs="Times New Roman"/>
          <w:sz w:val="24"/>
          <w:szCs w:val="24"/>
        </w:rPr>
        <w:t xml:space="preserve">kn od čega se na obveze za rashode poslovanja odnosi iznos od </w:t>
      </w:r>
      <w:r w:rsidR="009A7813">
        <w:rPr>
          <w:rFonts w:ascii="Times New Roman" w:hAnsi="Times New Roman" w:cs="Times New Roman"/>
          <w:sz w:val="24"/>
          <w:szCs w:val="24"/>
        </w:rPr>
        <w:t>10.486.750</w:t>
      </w:r>
      <w:r w:rsidRPr="001A5DC1">
        <w:rPr>
          <w:rFonts w:ascii="Times New Roman" w:hAnsi="Times New Roman" w:cs="Times New Roman"/>
          <w:sz w:val="24"/>
          <w:szCs w:val="24"/>
        </w:rPr>
        <w:t xml:space="preserve"> kn, dok obveze za </w:t>
      </w:r>
      <w:r w:rsidR="009A7813">
        <w:rPr>
          <w:rFonts w:ascii="Times New Roman" w:hAnsi="Times New Roman" w:cs="Times New Roman"/>
          <w:sz w:val="24"/>
          <w:szCs w:val="24"/>
        </w:rPr>
        <w:t>nabavu nefinancijske</w:t>
      </w:r>
      <w:r w:rsidRPr="001A5DC1">
        <w:rPr>
          <w:rFonts w:ascii="Times New Roman" w:hAnsi="Times New Roman" w:cs="Times New Roman"/>
          <w:sz w:val="24"/>
          <w:szCs w:val="24"/>
        </w:rPr>
        <w:t xml:space="preserve"> imovin</w:t>
      </w:r>
      <w:r w:rsidR="009A7813">
        <w:rPr>
          <w:rFonts w:ascii="Times New Roman" w:hAnsi="Times New Roman" w:cs="Times New Roman"/>
          <w:sz w:val="24"/>
          <w:szCs w:val="24"/>
        </w:rPr>
        <w:t xml:space="preserve">e </w:t>
      </w:r>
      <w:r w:rsidRPr="001A5DC1">
        <w:rPr>
          <w:rFonts w:ascii="Times New Roman" w:hAnsi="Times New Roman" w:cs="Times New Roman"/>
          <w:sz w:val="24"/>
          <w:szCs w:val="24"/>
        </w:rPr>
        <w:t xml:space="preserve">iznose </w:t>
      </w:r>
      <w:r w:rsidR="009A7813">
        <w:rPr>
          <w:rFonts w:ascii="Times New Roman" w:hAnsi="Times New Roman" w:cs="Times New Roman"/>
          <w:sz w:val="24"/>
          <w:szCs w:val="24"/>
        </w:rPr>
        <w:t>2.305.071</w:t>
      </w:r>
      <w:r w:rsidRPr="001A5DC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92A1F" w:rsidRPr="001A5DC1" w:rsidRDefault="001A0E4B" w:rsidP="00792A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DC1">
        <w:rPr>
          <w:rFonts w:ascii="Times New Roman" w:hAnsi="Times New Roman" w:cs="Times New Roman"/>
          <w:b/>
          <w:i/>
          <w:sz w:val="24"/>
          <w:szCs w:val="24"/>
        </w:rPr>
        <w:t>Tablica 2 – Stanje dospjelih i nedospjelih obveza na dan 31.12.201</w:t>
      </w:r>
      <w:r w:rsidR="00B5453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A5DC1">
        <w:rPr>
          <w:rFonts w:ascii="Times New Roman" w:hAnsi="Times New Roman" w:cs="Times New Roman"/>
          <w:b/>
          <w:i/>
          <w:sz w:val="24"/>
          <w:szCs w:val="24"/>
        </w:rPr>
        <w:t>. godine</w:t>
      </w:r>
    </w:p>
    <w:p w:rsidR="00BF70A6" w:rsidRPr="001A5DC1" w:rsidRDefault="00BF70A6" w:rsidP="00BF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8" w:type="dxa"/>
        <w:tblInd w:w="98" w:type="dxa"/>
        <w:tblLook w:val="04A0"/>
      </w:tblPr>
      <w:tblGrid>
        <w:gridCol w:w="451"/>
        <w:gridCol w:w="5796"/>
        <w:gridCol w:w="1338"/>
        <w:gridCol w:w="1603"/>
      </w:tblGrid>
      <w:tr w:rsidR="009A7813" w:rsidRPr="009A7813" w:rsidTr="009A7813">
        <w:trPr>
          <w:trHeight w:val="645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A7813" w:rsidRPr="009A7813" w:rsidRDefault="009A7813" w:rsidP="009A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A7813" w:rsidRPr="009A7813" w:rsidRDefault="009A7813" w:rsidP="009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UDIO U UK. OBVEZAMA</w:t>
            </w:r>
          </w:p>
        </w:tc>
      </w:tr>
      <w:tr w:rsidR="009A7813" w:rsidRPr="009A7813" w:rsidTr="009A7813">
        <w:trPr>
          <w:trHeight w:val="330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DOSPJELE OBVEZE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9A7813" w:rsidRPr="009A7813" w:rsidRDefault="00526AD6" w:rsidP="0052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9A7813"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3.597.639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22,00%</w:t>
            </w:r>
          </w:p>
        </w:tc>
      </w:tr>
      <w:tr w:rsidR="009A7813" w:rsidRPr="009A7813" w:rsidTr="009A7813">
        <w:trPr>
          <w:trHeight w:val="33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OBVEZE ZA RASHODE POSLOVANJA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1.402.951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39,00%</w:t>
            </w:r>
          </w:p>
        </w:tc>
      </w:tr>
      <w:tr w:rsidR="009A7813" w:rsidRPr="009A7813" w:rsidTr="00526AD6">
        <w:trPr>
          <w:trHeight w:val="373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OBVEZE ZA NABAVU NEFINANCIJSKE IMOVINE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2.194.688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61,00%</w:t>
            </w:r>
          </w:p>
        </w:tc>
      </w:tr>
      <w:tr w:rsidR="009A7813" w:rsidRPr="009A7813" w:rsidTr="009A7813">
        <w:trPr>
          <w:trHeight w:val="330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NEDOSPJELE OBVEZE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12.791.821</w:t>
            </w:r>
            <w:r w:rsidR="00526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78,00%</w:t>
            </w:r>
          </w:p>
        </w:tc>
      </w:tr>
      <w:tr w:rsidR="009A7813" w:rsidRPr="009A7813" w:rsidTr="009A7813">
        <w:trPr>
          <w:trHeight w:val="33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OBVEZE ZA RASHODE POSLOVANJA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10.486.750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81,98%</w:t>
            </w:r>
          </w:p>
        </w:tc>
      </w:tr>
      <w:tr w:rsidR="009A7813" w:rsidRPr="009A7813" w:rsidTr="00526AD6">
        <w:trPr>
          <w:trHeight w:val="41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2.305.071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18,02%</w:t>
            </w:r>
          </w:p>
        </w:tc>
      </w:tr>
      <w:tr w:rsidR="009A7813" w:rsidRPr="009A7813" w:rsidTr="009A7813">
        <w:trPr>
          <w:trHeight w:val="330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9A7813" w:rsidRPr="009A7813" w:rsidRDefault="009A7813" w:rsidP="009A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SVEUKUPNO - DOSPJELO I NEDOSPJELO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16.389.460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A7813" w:rsidRPr="009A7813" w:rsidRDefault="009A7813" w:rsidP="00526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A7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100,00%</w:t>
            </w:r>
          </w:p>
        </w:tc>
      </w:tr>
    </w:tbl>
    <w:p w:rsidR="00C14D26" w:rsidRPr="001A5DC1" w:rsidRDefault="00C14D26" w:rsidP="00BF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40" w:rsidRPr="001A5DC1" w:rsidRDefault="00F90D40" w:rsidP="00BF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6" w:rsidRPr="001A5DC1" w:rsidRDefault="00E733A3" w:rsidP="00BF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DC1">
        <w:rPr>
          <w:rFonts w:ascii="Times New Roman" w:hAnsi="Times New Roman" w:cs="Times New Roman"/>
          <w:b/>
          <w:i/>
          <w:sz w:val="24"/>
          <w:szCs w:val="24"/>
        </w:rPr>
        <w:t>Grafikon</w:t>
      </w:r>
      <w:r w:rsidR="00F90D40" w:rsidRPr="001A5D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DC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90D40" w:rsidRPr="001A5DC1">
        <w:rPr>
          <w:rFonts w:ascii="Times New Roman" w:hAnsi="Times New Roman" w:cs="Times New Roman"/>
          <w:b/>
          <w:i/>
          <w:sz w:val="24"/>
          <w:szCs w:val="24"/>
        </w:rPr>
        <w:t xml:space="preserve"> – Udio dospjelih i nedospjelih obveza </w:t>
      </w:r>
    </w:p>
    <w:p w:rsidR="00C14D26" w:rsidRPr="001A5DC1" w:rsidRDefault="00C14D26" w:rsidP="00BF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9C" w:rsidRDefault="007B559C" w:rsidP="00BF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9C" w:rsidRDefault="00526AD6" w:rsidP="00BF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D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59C" w:rsidRDefault="007B559C" w:rsidP="007B559C">
      <w:pPr>
        <w:rPr>
          <w:rFonts w:ascii="Times New Roman" w:hAnsi="Times New Roman" w:cs="Times New Roman"/>
          <w:sz w:val="24"/>
          <w:szCs w:val="24"/>
        </w:rPr>
      </w:pPr>
    </w:p>
    <w:p w:rsidR="00C14D26" w:rsidRPr="007B559C" w:rsidRDefault="007B559C" w:rsidP="007B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31.12.2015.</w:t>
      </w:r>
    </w:p>
    <w:sectPr w:rsidR="00C14D26" w:rsidRPr="007B559C" w:rsidSect="00E733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B81"/>
    <w:multiLevelType w:val="hybridMultilevel"/>
    <w:tmpl w:val="0DEC5C2E"/>
    <w:lvl w:ilvl="0" w:tplc="F9828B56">
      <w:start w:val="23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1F"/>
    <w:rsid w:val="00097F53"/>
    <w:rsid w:val="000A31BA"/>
    <w:rsid w:val="00174114"/>
    <w:rsid w:val="001A0E4B"/>
    <w:rsid w:val="001A4CB5"/>
    <w:rsid w:val="001A5DC1"/>
    <w:rsid w:val="00204ECF"/>
    <w:rsid w:val="002A76E7"/>
    <w:rsid w:val="00454690"/>
    <w:rsid w:val="00504AE4"/>
    <w:rsid w:val="00506D34"/>
    <w:rsid w:val="00526AD6"/>
    <w:rsid w:val="00542859"/>
    <w:rsid w:val="005D5D39"/>
    <w:rsid w:val="006F4BED"/>
    <w:rsid w:val="00792A1F"/>
    <w:rsid w:val="007B559C"/>
    <w:rsid w:val="00887FA3"/>
    <w:rsid w:val="009058FC"/>
    <w:rsid w:val="009663FC"/>
    <w:rsid w:val="00991368"/>
    <w:rsid w:val="009A7813"/>
    <w:rsid w:val="00B54533"/>
    <w:rsid w:val="00BA5438"/>
    <w:rsid w:val="00BF70A6"/>
    <w:rsid w:val="00C14D26"/>
    <w:rsid w:val="00C30F4D"/>
    <w:rsid w:val="00C32F68"/>
    <w:rsid w:val="00C34DDE"/>
    <w:rsid w:val="00CE0D4F"/>
    <w:rsid w:val="00E43AB4"/>
    <w:rsid w:val="00E733A3"/>
    <w:rsid w:val="00F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>
        <c:manualLayout>
          <c:layoutTarget val="inner"/>
          <c:xMode val="edge"/>
          <c:yMode val="edge"/>
          <c:x val="3.6334814583820652E-2"/>
          <c:y val="9.3020426236451653E-2"/>
          <c:w val="0.53888888888888964"/>
          <c:h val="0.89814814814814858"/>
        </c:manualLayout>
      </c:layout>
      <c:pieChart>
        <c:varyColors val="1"/>
        <c:ser>
          <c:idx val="0"/>
          <c:order val="0"/>
          <c:explosion val="12"/>
          <c:dPt>
            <c:idx val="1"/>
            <c:explosion val="22"/>
          </c:dPt>
          <c:cat>
            <c:multiLvlStrRef>
              <c:f>Sheet1!$A$4:$B$13</c:f>
              <c:multiLvlStrCache>
                <c:ptCount val="10"/>
                <c:lvl>
                  <c:pt idx="0">
                    <c:v>Obveze za zaposlene</c:v>
                  </c:pt>
                  <c:pt idx="1">
                    <c:v>Obveze za materijalne rashode</c:v>
                  </c:pt>
                  <c:pt idx="2">
                    <c:v>Obveze za financijske rashode</c:v>
                  </c:pt>
                  <c:pt idx="3">
                    <c:v>Obveze za subvencije</c:v>
                  </c:pt>
                  <c:pt idx="4">
                    <c:v>Obveze temeljem sredstava pomoći unutar općeg proračuna</c:v>
                  </c:pt>
                  <c:pt idx="5">
                    <c:v>Obveze za naknade građanima i kućanstvima</c:v>
                  </c:pt>
                  <c:pt idx="6">
                    <c:v>Obveze za kazne, naknade šteta i kapitalne pomoći</c:v>
                  </c:pt>
                  <c:pt idx="7">
                    <c:v>Obveze za porez na dodanu vrijednost</c:v>
                  </c:pt>
                  <c:pt idx="8">
                    <c:v>Ostale nespomenute obveze</c:v>
                  </c:pt>
                  <c:pt idx="9">
                    <c:v>Obveze za nabavu nefinancijske imovine</c:v>
                  </c:pt>
                </c:lvl>
                <c:lvl>
                  <c:pt idx="0">
                    <c:v>231</c:v>
                  </c:pt>
                  <c:pt idx="1">
                    <c:v>232</c:v>
                  </c:pt>
                  <c:pt idx="2">
                    <c:v>234</c:v>
                  </c:pt>
                  <c:pt idx="3">
                    <c:v>235</c:v>
                  </c:pt>
                  <c:pt idx="4">
                    <c:v>236</c:v>
                  </c:pt>
                  <c:pt idx="5">
                    <c:v>237</c:v>
                  </c:pt>
                  <c:pt idx="6">
                    <c:v>238</c:v>
                  </c:pt>
                  <c:pt idx="7">
                    <c:v>2392</c:v>
                  </c:pt>
                  <c:pt idx="8">
                    <c:v>23954</c:v>
                  </c:pt>
                  <c:pt idx="9">
                    <c:v>24</c:v>
                  </c:pt>
                </c:lvl>
              </c:multiLvlStrCache>
            </c:multiLvlStrRef>
          </c:cat>
          <c:val>
            <c:numRef>
              <c:f>Sheet1!$C$4:$C$13</c:f>
              <c:numCache>
                <c:formatCode>#,##0</c:formatCode>
                <c:ptCount val="10"/>
                <c:pt idx="0">
                  <c:v>2104340</c:v>
                </c:pt>
                <c:pt idx="1">
                  <c:v>6512270</c:v>
                </c:pt>
                <c:pt idx="2">
                  <c:v>279943</c:v>
                </c:pt>
                <c:pt idx="3">
                  <c:v>60077</c:v>
                </c:pt>
                <c:pt idx="4">
                  <c:v>120</c:v>
                </c:pt>
                <c:pt idx="5">
                  <c:v>131427</c:v>
                </c:pt>
                <c:pt idx="6">
                  <c:v>76000</c:v>
                </c:pt>
                <c:pt idx="7">
                  <c:v>1401876</c:v>
                </c:pt>
                <c:pt idx="8">
                  <c:v>1323649</c:v>
                </c:pt>
                <c:pt idx="9">
                  <c:v>4499758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800"/>
          </a:pPr>
          <a:endParaRPr lang="sr-Latn-C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pieChart>
        <c:varyColors val="1"/>
        <c:ser>
          <c:idx val="0"/>
          <c:order val="0"/>
          <c:explosion val="25"/>
          <c:cat>
            <c:multiLvlStrRef>
              <c:f>Sheet2!$A$4:$B$7</c:f>
              <c:multiLvlStrCache>
                <c:ptCount val="4"/>
                <c:lvl>
                  <c:pt idx="0">
                    <c:v>DOSPJELE OBVEZE ZA RASHODE POSLOVANJA </c:v>
                  </c:pt>
                  <c:pt idx="1">
                    <c:v>DOSPJELE OBVEZE ZA NABAVU NEFINANCIJSKE IMOVINE </c:v>
                  </c:pt>
                  <c:pt idx="2">
                    <c:v>DOSPJELE OBVEZE ZA RASHODE POSLOVANJA</c:v>
                  </c:pt>
                  <c:pt idx="3">
                    <c:v>DOSPJELE OBVEZE ZA NABAVU NEFINANCIJSKE IMOVINE</c:v>
                  </c:pt>
                </c:lvl>
                <c:lvl>
                  <c:pt idx="0">
                    <c:v>23</c:v>
                  </c:pt>
                  <c:pt idx="1">
                    <c:v>24</c:v>
                  </c:pt>
                  <c:pt idx="2">
                    <c:v>23</c:v>
                  </c:pt>
                  <c:pt idx="3">
                    <c:v>24</c:v>
                  </c:pt>
                </c:lvl>
              </c:multiLvlStrCache>
            </c:multiLvlStrRef>
          </c:cat>
          <c:val>
            <c:numRef>
              <c:f>Sheet2!$C$4:$C$7</c:f>
              <c:numCache>
                <c:formatCode>#,##0</c:formatCode>
                <c:ptCount val="4"/>
                <c:pt idx="0">
                  <c:v>1402951</c:v>
                </c:pt>
                <c:pt idx="1">
                  <c:v>2194688</c:v>
                </c:pt>
                <c:pt idx="2">
                  <c:v>10486750</c:v>
                </c:pt>
                <c:pt idx="3">
                  <c:v>2305071</c:v>
                </c:pt>
              </c:numCache>
            </c:numRef>
          </c:val>
        </c:ser>
        <c:firstSliceAng val="0"/>
      </c:pie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B19B-D5FD-4ECC-89D4-F9F85AE8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bbatelic</cp:lastModifiedBy>
  <cp:revision>9</cp:revision>
  <cp:lastPrinted>2016-02-12T09:23:00Z</cp:lastPrinted>
  <dcterms:created xsi:type="dcterms:W3CDTF">2016-02-12T09:13:00Z</dcterms:created>
  <dcterms:modified xsi:type="dcterms:W3CDTF">2016-02-13T15:58:00Z</dcterms:modified>
</cp:coreProperties>
</file>