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8" w:rsidRDefault="0032318C" w:rsidP="00757C8B">
      <w:pPr>
        <w:spacing w:after="0" w:line="240" w:lineRule="auto"/>
        <w:ind w:left="115" w:right="134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</w:t>
      </w:r>
      <w:r w:rsid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866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stavak 1.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Zakona o koncesijama ("Narodne novine" br. </w:t>
      </w:r>
      <w:r w:rsidR="00617B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69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617B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članka 21. </w:t>
      </w:r>
      <w:r w:rsidR="004866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članka 80. stavka </w:t>
      </w:r>
      <w:r w:rsidR="006E05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E3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866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točke 1.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pomorskom dobru i morskim lukama ("Narodne novine" br. 158/03, 100/04, 141/06, 38/09, 123/11 i 56/16),</w:t>
      </w:r>
      <w:r w:rsidR="00A50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1. i 2. Odluke Županijske skupštine Istarske županije o povjeravanju ovlaštenja Gradu Puli za davanje koncesija na pomorskom dobru ("Službene novine Istarske županije“ br. 13/10) i članka 39. Statuta Grada Pula - Pola („Službene novine“ Grada Pule br. 7/09, 16/09, 12/11</w:t>
      </w:r>
      <w:r w:rsidR="00617B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17BE9" w:rsidRPr="00617BE9">
        <w:rPr>
          <w:rFonts w:ascii="Times New Roman" w:hAnsi="Times New Roman" w:cs="Times New Roman"/>
          <w:sz w:val="24"/>
          <w:szCs w:val="24"/>
        </w:rPr>
        <w:t>1/13 i 2/18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Gradsko vijeće Grada Pulena sjednici održanoj dana ________ 201</w:t>
      </w:r>
      <w:r w:rsidR="00E353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:rsidR="002B0A3F" w:rsidRDefault="002B0A3F" w:rsidP="0032318C">
      <w:pPr>
        <w:spacing w:before="2" w:after="0" w:line="240" w:lineRule="auto"/>
        <w:ind w:left="139" w:right="1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0A3F" w:rsidRDefault="002B0A3F" w:rsidP="0032318C">
      <w:pPr>
        <w:spacing w:before="2" w:after="0" w:line="240" w:lineRule="auto"/>
        <w:ind w:left="139" w:right="1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2318C" w:rsidRPr="0032318C" w:rsidRDefault="0032318C" w:rsidP="0032318C">
      <w:pPr>
        <w:spacing w:before="2" w:after="0" w:line="240" w:lineRule="auto"/>
        <w:ind w:left="139" w:right="1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32318C" w:rsidRPr="0032318C" w:rsidRDefault="0032318C" w:rsidP="0032318C">
      <w:pPr>
        <w:spacing w:before="2" w:after="0" w:line="240" w:lineRule="auto"/>
        <w:ind w:left="139" w:right="1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donošenju Obavijesti o namjeri davanja koncesije </w:t>
      </w:r>
    </w:p>
    <w:p w:rsidR="0032318C" w:rsidRPr="0032318C" w:rsidRDefault="0032318C" w:rsidP="0032318C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pomorskom dobru u svrhu gospodarskog </w:t>
      </w:r>
    </w:p>
    <w:p w:rsidR="0032318C" w:rsidRPr="0032318C" w:rsidRDefault="0032318C" w:rsidP="0048668F">
      <w:pPr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korištenja </w:t>
      </w:r>
      <w:r w:rsidR="006E3602" w:rsidRPr="001B30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luke posebne namjene</w:t>
      </w:r>
      <w:r w:rsidR="006E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- </w:t>
      </w:r>
      <w:r w:rsidR="00DC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postojeće brodogradilišne luke „</w:t>
      </w:r>
      <w:proofErr w:type="spellStart"/>
      <w:r w:rsidR="00DC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Tehnomont</w:t>
      </w:r>
      <w:proofErr w:type="spellEnd"/>
      <w:r w:rsidR="00DC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- Pula“</w:t>
      </w:r>
    </w:p>
    <w:p w:rsidR="003B1F13" w:rsidRDefault="003B1F13" w:rsidP="00323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6DC2" w:rsidRDefault="006B5DF9" w:rsidP="002E6DC2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6DC2">
        <w:rPr>
          <w:rFonts w:ascii="Times New Roman" w:hAnsi="Times New Roman" w:cs="Times New Roman"/>
          <w:b/>
          <w:sz w:val="24"/>
          <w:szCs w:val="24"/>
          <w:lang w:eastAsia="hr-HR"/>
        </w:rPr>
        <w:t>SADRŽAJ KONCESIJE</w:t>
      </w:r>
    </w:p>
    <w:p w:rsidR="00757C8B" w:rsidRPr="002E6DC2" w:rsidRDefault="00757C8B" w:rsidP="002E6DC2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2318C" w:rsidRPr="002E6DC2" w:rsidRDefault="0032318C" w:rsidP="002E6D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6DC2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</w:t>
      </w:r>
    </w:p>
    <w:p w:rsidR="00DC5297" w:rsidRDefault="00DC5297" w:rsidP="00323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5297" w:rsidRDefault="00365A83" w:rsidP="00D8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Odlukom Grad Pula – Pola (dalje u tekstu: Davatelj koncesije) iskazuje namjeru davanja koncesije na pomorskom dobru 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gospodarskog korištenja</w:t>
      </w:r>
      <w:r w:rsidR="006E3602" w:rsidRPr="006E36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6E3602" w:rsidRPr="001B30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luke posebne namjene</w:t>
      </w:r>
      <w:r w:rsidR="0032318C" w:rsidRPr="001B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5297" w:rsidRPr="00DC5297">
        <w:rPr>
          <w:rFonts w:ascii="Times New Roman" w:hAnsi="Times New Roman" w:cs="Times New Roman"/>
          <w:sz w:val="24"/>
          <w:szCs w:val="24"/>
        </w:rPr>
        <w:t>postojeće brodogradilišne luke „</w:t>
      </w:r>
      <w:proofErr w:type="spellStart"/>
      <w:r w:rsidR="00DC5297" w:rsidRPr="00DC5297">
        <w:rPr>
          <w:rFonts w:ascii="Times New Roman" w:hAnsi="Times New Roman" w:cs="Times New Roman"/>
          <w:sz w:val="24"/>
          <w:szCs w:val="24"/>
        </w:rPr>
        <w:t>Tehnomont</w:t>
      </w:r>
      <w:proofErr w:type="spellEnd"/>
      <w:r w:rsidR="00DC5297" w:rsidRPr="00DC5297">
        <w:rPr>
          <w:rFonts w:ascii="Times New Roman" w:hAnsi="Times New Roman" w:cs="Times New Roman"/>
          <w:sz w:val="24"/>
          <w:szCs w:val="24"/>
        </w:rPr>
        <w:t xml:space="preserve"> - Pula“</w:t>
      </w:r>
      <w:r w:rsidR="00E3534E">
        <w:rPr>
          <w:rFonts w:ascii="Times New Roman" w:hAnsi="Times New Roman" w:cs="Times New Roman"/>
          <w:sz w:val="24"/>
          <w:szCs w:val="24"/>
        </w:rPr>
        <w:t>,</w:t>
      </w:r>
      <w:r w:rsidR="006E3602">
        <w:rPr>
          <w:rFonts w:ascii="Times New Roman" w:hAnsi="Times New Roman" w:cs="Times New Roman"/>
          <w:sz w:val="24"/>
          <w:szCs w:val="24"/>
        </w:rPr>
        <w:t xml:space="preserve"> </w:t>
      </w:r>
      <w:r w:rsidR="00DC5297" w:rsidRPr="00DC5297">
        <w:rPr>
          <w:rFonts w:ascii="Times New Roman" w:hAnsi="Times New Roman" w:cs="Times New Roman"/>
          <w:sz w:val="24"/>
          <w:szCs w:val="24"/>
        </w:rPr>
        <w:t xml:space="preserve">na dijelu </w:t>
      </w:r>
      <w:proofErr w:type="spellStart"/>
      <w:r w:rsidR="00DC5297" w:rsidRPr="00DC5297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C5297" w:rsidRPr="00DC5297">
        <w:rPr>
          <w:rFonts w:ascii="Times New Roman" w:hAnsi="Times New Roman" w:cs="Times New Roman"/>
          <w:sz w:val="24"/>
          <w:szCs w:val="24"/>
        </w:rPr>
        <w:t>. Pula, lokacija “</w:t>
      </w:r>
      <w:proofErr w:type="spellStart"/>
      <w:r w:rsidR="00DC5297" w:rsidRPr="00DC5297">
        <w:rPr>
          <w:rFonts w:ascii="Times New Roman" w:hAnsi="Times New Roman" w:cs="Times New Roman"/>
          <w:sz w:val="24"/>
          <w:szCs w:val="24"/>
        </w:rPr>
        <w:t>Fižela</w:t>
      </w:r>
      <w:proofErr w:type="spellEnd"/>
      <w:r w:rsidR="00DC5297" w:rsidRPr="00DC5297">
        <w:rPr>
          <w:rFonts w:ascii="Times New Roman" w:hAnsi="Times New Roman" w:cs="Times New Roman"/>
          <w:sz w:val="24"/>
          <w:szCs w:val="24"/>
        </w:rPr>
        <w:t>“</w:t>
      </w:r>
      <w:r w:rsidR="00D87F35">
        <w:rPr>
          <w:rFonts w:ascii="Times New Roman" w:hAnsi="Times New Roman" w:cs="Times New Roman"/>
          <w:sz w:val="24"/>
          <w:szCs w:val="24"/>
        </w:rPr>
        <w:t xml:space="preserve"> u Puli.</w:t>
      </w:r>
    </w:p>
    <w:p w:rsidR="00617BE9" w:rsidRPr="0032318C" w:rsidRDefault="00617BE9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Procijenjena vrijednost koncesije iznosi </w:t>
      </w:r>
      <w:r w:rsidR="00FA6BA9" w:rsidRPr="00213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146.330.805,00 kuna</w:t>
      </w:r>
      <w:r w:rsidRPr="00213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03608" w:rsidRDefault="00F03608" w:rsidP="006B5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B0A3F" w:rsidRDefault="002B0A3F" w:rsidP="006B5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B5DF9" w:rsidRDefault="006B5DF9" w:rsidP="006B5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PREDMET KONCESIJE</w:t>
      </w:r>
    </w:p>
    <w:p w:rsidR="0032318C" w:rsidRDefault="0032318C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</w:p>
    <w:p w:rsidR="0032318C" w:rsidRPr="0032318C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A83" w:rsidRDefault="00365A83" w:rsidP="0036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Koncesija se daje na pomorskom dobru – dijelu lučkog područja Pula za gospodarsko korištenje luke posebne namjene – postojeće brodogradilišne luke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Tehnomont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Pula“.</w:t>
      </w:r>
    </w:p>
    <w:p w:rsidR="00365A83" w:rsidRDefault="00365A83" w:rsidP="0036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Ukupna površina pomorskog dobra koje se daje u koncesiju ukupno iznosi 73.200 m2 od čega je 27.295 m2 kopneni dio, a 45.905 m2 morski dio (</w:t>
      </w:r>
      <w:proofErr w:type="spellStart"/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akvatorij</w:t>
      </w:r>
      <w:proofErr w:type="spellEnd"/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365A83" w:rsidRDefault="00365A83" w:rsidP="0036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Pomorsko dobro koje se daje u koncesiju u cijelosti obuhvaća k.č.br.: 4908/ZGR., 4909/ZGR., 4910/ZGR. i 4911/ZGR., 5273/4, 5290/1, 5290/2, 5290/3, 5292, 5293, 5295/1, 5295/2, 5295/3, 6005, 6006, 6056, 6244 i 6279, sve </w:t>
      </w:r>
      <w:proofErr w:type="spellStart"/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k.o</w:t>
      </w:r>
      <w:proofErr w:type="spellEnd"/>
      <w:r w:rsidRPr="00BC5F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Pula.</w:t>
      </w:r>
    </w:p>
    <w:p w:rsidR="00365A83" w:rsidRPr="006C14D0" w:rsidRDefault="00365A83" w:rsidP="00365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pomorskom dobru koje se daje u koncesiju koncesionar ima pravo korištenja postojećih objekata lučke infrastrukture i </w:t>
      </w:r>
      <w:proofErr w:type="spellStart"/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suprastrukture</w:t>
      </w:r>
      <w:proofErr w:type="spellEnd"/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65A83" w:rsidRPr="006C14D0" w:rsidRDefault="00365A83" w:rsidP="00365A83">
      <w:pPr>
        <w:spacing w:before="4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pomorskom dobru koje se daje u koncesiju, </w:t>
      </w:r>
      <w:r w:rsidRPr="006C1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djelatnosti omogućene važećom prostorno planskom dokumentacijom </w:t>
      </w:r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obavljati isključivo koncesionar.</w:t>
      </w:r>
    </w:p>
    <w:p w:rsidR="0032318C" w:rsidRPr="005B7044" w:rsidRDefault="00D87F35" w:rsidP="0061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p</w:t>
      </w:r>
      <w:r w:rsidR="0032318C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omorsko</w:t>
      </w:r>
      <w:r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32318C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dobr</w:t>
      </w:r>
      <w:r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- lučkog područja </w:t>
      </w:r>
      <w:r w:rsidR="005B7044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se daje u koncesiju</w:t>
      </w:r>
      <w:r w:rsidR="00617BE9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2318C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omeđ</w:t>
      </w:r>
      <w:r w:rsidR="00E63926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</w:t>
      </w:r>
      <w:r w:rsidR="005B7044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je </w:t>
      </w:r>
      <w:r w:rsidR="004E2A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zatvorenim </w:t>
      </w:r>
      <w:r w:rsidR="005B7044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poligonom određenim </w:t>
      </w:r>
      <w:r w:rsidR="00E63926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lomnim točkama</w:t>
      </w:r>
      <w:r w:rsidR="006E3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7044" w:rsidRPr="005B7044">
        <w:rPr>
          <w:rFonts w:ascii="Times New Roman" w:hAnsi="Times New Roman" w:cs="Times New Roman"/>
          <w:sz w:val="24"/>
          <w:szCs w:val="24"/>
        </w:rPr>
        <w:t xml:space="preserve">od 1 do 58 i nastavno do početne točke 1, </w:t>
      </w:r>
      <w:r w:rsidR="00E63926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iskazanim u </w:t>
      </w:r>
      <w:r w:rsidR="0032318C" w:rsidRPr="005B7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koordinatnom sustavu HTRS96 kako slijedi:</w:t>
      </w:r>
    </w:p>
    <w:p w:rsidR="00F03608" w:rsidRDefault="00F03608" w:rsidP="005B7044">
      <w:pPr>
        <w:pStyle w:val="BodyText"/>
        <w:spacing w:before="0" w:after="0"/>
        <w:rPr>
          <w:rFonts w:ascii="Times New Roman" w:eastAsia="Times New Roman" w:hAnsi="Times New Roman" w:cs="Times New Roman"/>
          <w:lang w:val="hr-HR" w:eastAsia="hr-HR"/>
        </w:rPr>
      </w:pP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  <w:b/>
        </w:rPr>
      </w:pPr>
      <w:r w:rsidRPr="00A23CA5">
        <w:rPr>
          <w:rFonts w:ascii="Times New Roman" w:hAnsi="Times New Roman" w:cs="Times New Roman"/>
          <w:b/>
        </w:rPr>
        <w:t xml:space="preserve">TOČKA </w:t>
      </w:r>
      <w:r>
        <w:rPr>
          <w:rFonts w:ascii="Times New Roman" w:hAnsi="Times New Roman" w:cs="Times New Roman"/>
          <w:b/>
        </w:rPr>
        <w:t xml:space="preserve">            </w:t>
      </w:r>
      <w:r w:rsidRPr="00A23CA5">
        <w:rPr>
          <w:rFonts w:ascii="Times New Roman" w:hAnsi="Times New Roman" w:cs="Times New Roman"/>
          <w:b/>
        </w:rPr>
        <w:t xml:space="preserve">E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A23CA5">
        <w:rPr>
          <w:rFonts w:ascii="Times New Roman" w:hAnsi="Times New Roman" w:cs="Times New Roman"/>
          <w:b/>
        </w:rPr>
        <w:t xml:space="preserve">N </w:t>
      </w:r>
    </w:p>
    <w:p w:rsidR="00EF24D3" w:rsidRPr="00A23CA5" w:rsidRDefault="00EF24D3" w:rsidP="00EF24D3">
      <w:pPr>
        <w:pStyle w:val="BodyText"/>
        <w:spacing w:before="0" w:after="0"/>
        <w:rPr>
          <w:rFonts w:ascii="Times New Roman" w:hAnsi="Times New Roman" w:cs="Times New Roman"/>
          <w:b/>
        </w:rPr>
      </w:pP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288 057.73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4 972 977.70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288 125.76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4 972 934.58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288 486.21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4 972 936.67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lastRenderedPageBreak/>
        <w:t xml:space="preserve">4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288 484.36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4 972 836.70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288 484.76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4 972 823.79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288 483.15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4 972 816.28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288 481.89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4 972 809.83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288 481.23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4 972 806.40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                 </w:t>
      </w:r>
      <w:r w:rsidRPr="00A90DEF">
        <w:rPr>
          <w:rFonts w:ascii="Times New Roman" w:hAnsi="Times New Roman" w:cs="Times New Roman"/>
        </w:rPr>
        <w:t xml:space="preserve">288 479.61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4 972 798.20 </w:t>
      </w:r>
    </w:p>
    <w:p w:rsidR="00EF24D3" w:rsidRPr="00A90DEF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288 479.03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>4 972 797.71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288 476.10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4 972 783.72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288 473.78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4 972 772.58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288 472.50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4 972 766.74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288 471.88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4 972 763.88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288 471.63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4 972 763.95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288 465.59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4 972 764.98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288 417.21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4 972 768.36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288 402.35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4 972 767.56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288 399.61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4 972 767.33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288 396.94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4 972 766.90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288 388.94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4 972 765.25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288 370.33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4 972 761.43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288 357.10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4 972 758.66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288 344.05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4 972 754.91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25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288 333.60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4 972 751.90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288 324.67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4 972 749.31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288 315.38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4 972 746.62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28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288 299.75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4 972 742.02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288 284.16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4 972 737.42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288 271.22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4 972 733.42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31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288 247.98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4 972 726.46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32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288 234.88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4 972 722.70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33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288 216.64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4 972 717.52 </w:t>
      </w:r>
    </w:p>
    <w:p w:rsidR="00EF24D3" w:rsidRPr="00A90DEF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34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288 201.01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4 972 713.01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35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288 199.57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4 972 712.61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36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288 204.47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4 972 727.72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37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288 206.80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4 972 734.91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38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288 207.56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4 972 737.08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39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288 215.47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4 972 763.08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288 224.21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4 972 795.93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41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288 170.01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4 972 813.96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42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288 156.77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4 972 813.55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43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288 144.37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4 972 809.06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A90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288 135.61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4 972 802.35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288 133.18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4 972 795.23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46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288 131.43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4 972 784.23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47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288 128.53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4 972 778.48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48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288 126.57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4 972 774.32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49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288 124.90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4 972 771.70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288 120.21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4 972 773.61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51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288 101.04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4 972 781.56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52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288 099.20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90DEF">
        <w:rPr>
          <w:rFonts w:ascii="Times New Roman" w:hAnsi="Times New Roman" w:cs="Times New Roman"/>
        </w:rPr>
        <w:t xml:space="preserve">972 782.17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53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288 097.39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4 972 782.81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lastRenderedPageBreak/>
        <w:t xml:space="preserve">54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288 057.53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4 972 798.92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55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288 052.59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4 972 800.91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56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288 053.12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4 972 803.48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57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288 053.86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4 972 807.02 </w:t>
      </w:r>
    </w:p>
    <w:p w:rsidR="00EF24D3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 w:rsidRPr="00A90DEF">
        <w:rPr>
          <w:rFonts w:ascii="Times New Roman" w:hAnsi="Times New Roman" w:cs="Times New Roman"/>
        </w:rPr>
        <w:t xml:space="preserve">58 </w:t>
      </w:r>
      <w:r>
        <w:rPr>
          <w:rFonts w:ascii="Times New Roman" w:hAnsi="Times New Roman" w:cs="Times New Roman"/>
        </w:rPr>
        <w:t xml:space="preserve">               </w:t>
      </w:r>
      <w:r w:rsidRPr="00A90DEF">
        <w:rPr>
          <w:rFonts w:ascii="Times New Roman" w:hAnsi="Times New Roman" w:cs="Times New Roman"/>
        </w:rPr>
        <w:t xml:space="preserve">288 054.66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 xml:space="preserve">4 972 811.80 </w:t>
      </w:r>
    </w:p>
    <w:p w:rsidR="00EF24D3" w:rsidRPr="00A90DEF" w:rsidRDefault="00EF24D3" w:rsidP="00EF24D3">
      <w:pPr>
        <w:pStyle w:val="BodyText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       </w:t>
      </w:r>
      <w:r w:rsidRPr="00A90DEF">
        <w:rPr>
          <w:rFonts w:ascii="Times New Roman" w:hAnsi="Times New Roman" w:cs="Times New Roman"/>
        </w:rPr>
        <w:t xml:space="preserve">288 057.73 </w:t>
      </w:r>
      <w:r>
        <w:rPr>
          <w:rFonts w:ascii="Times New Roman" w:hAnsi="Times New Roman" w:cs="Times New Roman"/>
        </w:rPr>
        <w:t xml:space="preserve">                          </w:t>
      </w:r>
      <w:r w:rsidRPr="00A90DEF">
        <w:rPr>
          <w:rFonts w:ascii="Times New Roman" w:hAnsi="Times New Roman" w:cs="Times New Roman"/>
        </w:rPr>
        <w:t>4 972 977.70</w:t>
      </w:r>
    </w:p>
    <w:p w:rsidR="004E2A37" w:rsidRPr="006E3602" w:rsidRDefault="004E2A37" w:rsidP="006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E2A37" w:rsidRDefault="0032318C" w:rsidP="006B427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pomorskog dobra iz stavka 1. prikazano na geodetskom situacijskom nacrtu</w:t>
      </w:r>
      <w:r w:rsidR="006E3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 je dio ove Obavijesti i objavljuje se</w:t>
      </w:r>
      <w:r w:rsidR="000B0A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0B0ADF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Elektroničkom oglasniku javne nabave RH.</w:t>
      </w:r>
    </w:p>
    <w:p w:rsidR="006B427C" w:rsidRDefault="00365A83" w:rsidP="006B427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14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 dio ove Odluke čini Dokumentacija za nadmetanje.</w:t>
      </w:r>
    </w:p>
    <w:p w:rsidR="00F03608" w:rsidRDefault="00F03608" w:rsidP="00780C4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0C47" w:rsidRPr="00514A10" w:rsidRDefault="00780C47" w:rsidP="00780C4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NA KOJI SE DAJE KONCESIJA</w:t>
      </w:r>
    </w:p>
    <w:p w:rsidR="00780C47" w:rsidRPr="00691710" w:rsidRDefault="00780C47" w:rsidP="00780C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</w:t>
      </w:r>
    </w:p>
    <w:p w:rsidR="006951E8" w:rsidRDefault="00780C47" w:rsidP="004D65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Koncesija se daje na rok od 20 (dvadeset) godina počevši od dana sklapanja ugovora o koncesiji </w:t>
      </w:r>
      <w:r w:rsidRPr="004D6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mogućnost raskida ugovora sukladno važećim zakonskim propisima</w:t>
      </w:r>
      <w:r w:rsidR="004D6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B0A3F" w:rsidRDefault="002B0A3F" w:rsidP="00323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18C" w:rsidRPr="002E6DC2" w:rsidRDefault="002E6DC2" w:rsidP="00323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D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POČETNI IZNOS NAKNADE ZA KONCESIJU</w:t>
      </w:r>
    </w:p>
    <w:p w:rsidR="00F03608" w:rsidRDefault="00F03608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2318C" w:rsidRPr="00691710" w:rsidRDefault="00503B88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32318C" w:rsidRPr="006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</w:t>
      </w:r>
    </w:p>
    <w:p w:rsidR="006E3602" w:rsidRDefault="006E3602" w:rsidP="00323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0C47" w:rsidRPr="004D65F0" w:rsidRDefault="00780C47" w:rsidP="0078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65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Početni iznos stalnog dijela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 naknade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koncesiju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</w:t>
      </w:r>
      <w:r w:rsidRPr="00F30C9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D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219.600,00 kuna (slovima: </w:t>
      </w:r>
      <w:proofErr w:type="spellStart"/>
      <w:r w:rsidRPr="004D65F0">
        <w:rPr>
          <w:rFonts w:ascii="Times New Roman" w:eastAsia="Times New Roman" w:hAnsi="Times New Roman" w:cs="Times New Roman"/>
          <w:sz w:val="24"/>
          <w:szCs w:val="24"/>
          <w:lang w:eastAsia="hr-HR"/>
        </w:rPr>
        <w:t>dvjestodevetnaesttisućašestostotinakuna</w:t>
      </w:r>
      <w:proofErr w:type="spellEnd"/>
      <w:r w:rsidRPr="004D65F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4D65F0" w:rsidRDefault="00780C47" w:rsidP="0078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65F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Početni iznos promjenjivog dijela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 naknade iznosi</w:t>
      </w:r>
      <w:r w:rsidR="004D6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D37">
        <w:rPr>
          <w:rFonts w:ascii="Times New Roman" w:hAnsi="Times New Roman" w:cs="Times New Roman"/>
          <w:sz w:val="24"/>
          <w:szCs w:val="24"/>
        </w:rPr>
        <w:t>1% prihoda ponuditelja ostvarenog</w:t>
      </w:r>
      <w:r w:rsidR="004D65F0">
        <w:rPr>
          <w:rFonts w:ascii="Times New Roman" w:hAnsi="Times New Roman" w:cs="Times New Roman"/>
          <w:sz w:val="24"/>
          <w:szCs w:val="24"/>
        </w:rPr>
        <w:t xml:space="preserve"> </w:t>
      </w:r>
      <w:r w:rsidR="004D65F0" w:rsidRPr="00B33314">
        <w:rPr>
          <w:rFonts w:ascii="Times New Roman" w:hAnsi="Times New Roman" w:cs="Times New Roman"/>
          <w:sz w:val="24"/>
          <w:szCs w:val="24"/>
        </w:rPr>
        <w:t>obavljanjem djelatnosti</w:t>
      </w:r>
      <w:r w:rsidR="003B7D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B7D37">
        <w:rPr>
          <w:rFonts w:ascii="Times New Roman" w:hAnsi="Times New Roman" w:cs="Times New Roman"/>
          <w:sz w:val="24"/>
          <w:szCs w:val="24"/>
        </w:rPr>
        <w:t>koncesioniranom</w:t>
      </w:r>
      <w:proofErr w:type="spellEnd"/>
      <w:r w:rsidR="003B7D37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3B7D37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(promjenjivi dio).</w:t>
      </w:r>
      <w:r w:rsidR="006E3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B7D37" w:rsidRDefault="003B7D37" w:rsidP="0078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Prihodom ponuditelja smatra se onaj dio prihoda koji se pokrivaju s pozicija iz Računa dobiti i gubitka koncesionara kako slijedi: troškovi osoblja (AOP 137), amortizacija (AOP 14</w:t>
      </w:r>
      <w:r w:rsidR="00CA15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i dobit razdoblja (AOP 1</w:t>
      </w:r>
      <w:r w:rsidR="00CA151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). Ukoliko je poslovni rezultat razdoblja gubitak (AOP 1</w:t>
      </w:r>
      <w:r w:rsidR="00CA15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5), osnovica za obračun koncesijske naknade računa se samo zbrajanjem pozicija troškova osoblja (AOP 1</w:t>
      </w:r>
      <w:r w:rsidR="00CA151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) i amortizacije (AOP 14</w:t>
      </w:r>
      <w:r w:rsidR="00CA15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0C47" w:rsidRDefault="00780C47" w:rsidP="00B91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se za vrijeme trajanja koncesijskog ugovora promijeni srednji tečaj Hrvatske narodne banke za kunu, u odnosu na EUR i to za +/- 3%, mijenja se i iznos stalnog dijela koncesijske naknade sukladno promjeni tečaja.</w:t>
      </w:r>
    </w:p>
    <w:p w:rsidR="00A608B2" w:rsidRPr="0099098F" w:rsidRDefault="00A608B2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koncesionar ne plati koncesijsku naknadu, Davatelj koncesije obračunati će pripadajuću zakonsku kamatu, te može </w:t>
      </w:r>
      <w:r w:rsidR="004D65F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okrenuti postupak oduzimanja koncesije sukladno </w:t>
      </w:r>
      <w:r w:rsidRPr="0099098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ugovora o koncesiji.</w:t>
      </w:r>
    </w:p>
    <w:p w:rsidR="00A608B2" w:rsidRPr="0099098F" w:rsidRDefault="00FA6BA9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dio koncesijske naknade za razdoblje prve godine važenja koncesije koncesionar je dužan platiti u roku od 60 (šezdeset) dana od dana sklapanja ugovora.</w:t>
      </w:r>
    </w:p>
    <w:p w:rsidR="00A608B2" w:rsidRPr="0099098F" w:rsidRDefault="00FA6BA9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početnu i godinu u kojoj koncesija ističe koncesijska naknada plaća se razmjerno mjesecima korištenja.</w:t>
      </w:r>
    </w:p>
    <w:p w:rsidR="00A608B2" w:rsidRPr="0099098F" w:rsidRDefault="00FA6BA9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Stalni dio koncesijske naknade za svaku iduću godinu važenja Ugovora koncesionar je dužan platiti do 01. svibnja tekuće godine.</w:t>
      </w:r>
    </w:p>
    <w:p w:rsidR="00A608B2" w:rsidRPr="0099098F" w:rsidRDefault="00FA6BA9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Promjenjivi dio koncesijske naknade koncesionar je dužan platiti najkasnije do 01. svibnja tekuće godine, po završnom računu za proteklu godinu.</w:t>
      </w:r>
    </w:p>
    <w:p w:rsidR="00A608B2" w:rsidRDefault="00FA6BA9" w:rsidP="00A6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u kojoj koncesija ističe Koncesionar je dužan stalni i promjenjivi dio koncesijske naknade platiti najkasnije do isteka koncesije.</w:t>
      </w:r>
    </w:p>
    <w:p w:rsidR="00F03608" w:rsidRDefault="00F03608" w:rsidP="00F036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E6DC2" w:rsidRDefault="002E6DC2" w:rsidP="00F036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B427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PONUDA – OSOBNI STRUČNI I FINANCIJSKI UVJETI KOJE MORAJU ZADOVOLJITI PONUDITELJI I ISPRAVE KOJIMA SE DOKAZUJE NJIHOVO ISPUNJENJE</w:t>
      </w:r>
    </w:p>
    <w:p w:rsidR="00CC27E3" w:rsidRPr="006B427C" w:rsidRDefault="00CC27E3" w:rsidP="00F036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2318C" w:rsidRPr="006B427C" w:rsidRDefault="0032318C" w:rsidP="006B42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B427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V</w:t>
      </w:r>
    </w:p>
    <w:p w:rsidR="006E3602" w:rsidRPr="006B427C" w:rsidRDefault="006E3602" w:rsidP="006B427C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2318C" w:rsidRPr="00FE3130" w:rsidRDefault="003C4FD1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Ponuda </w:t>
      </w:r>
      <w:r w:rsidR="00E6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obvezno </w:t>
      </w:r>
      <w:r w:rsidR="002613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sadrži 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dokumente u izvornom obliku, i to:</w:t>
      </w:r>
    </w:p>
    <w:p w:rsidR="00124C42" w:rsidRDefault="00A608B2" w:rsidP="00A608B2">
      <w:pPr>
        <w:pStyle w:val="box45354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</w:t>
      </w:r>
      <w:r w:rsidR="00124C42">
        <w:rPr>
          <w:color w:val="231F20"/>
        </w:rPr>
        <w:t>okaze o sposobnosti ponuditelja: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izvadak iz sudskog registra trgovačkog suda ili izvadak iz obrtnog registra s upisanom djelatnošću za koju se traži koncesija, ne stariji od 30 dana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odgovarajuću potvrdu kojom dokazuje da nije pokrenut stečajni, odnosno </w:t>
      </w:r>
      <w:proofErr w:type="spellStart"/>
      <w:r>
        <w:rPr>
          <w:color w:val="231F20"/>
        </w:rPr>
        <w:t>predstečajni</w:t>
      </w:r>
      <w:proofErr w:type="spellEnd"/>
      <w:r>
        <w:rPr>
          <w:color w:val="231F20"/>
        </w:rPr>
        <w:t xml:space="preserve"> postupak, da se ne nalazi u postupku likvidacije, odnosno da nije u postupku obustavljanja poslovnih djelatnosti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podatke o bonitetu (BON 1), osim za obrte obveznike poreza na dohodak i novoosnovana društva i obrte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podatke o solventnosti (BON 2 – za glavni račun ponuditelja) i potvrdu nadležne Porezne uprave o plaćenim dospjelim obvezama temeljem javnih davanja, sve ne starije od 30 dana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izjavu da li je ponuditelj ispunio sve obveze iz drugih koncesija, ako ih ima ili ih je imao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izjavu da li je ponuditelju do sada oduzeta koncesija sukladno članku 30. Zakona</w:t>
      </w:r>
      <w:r w:rsidR="008B3C0B">
        <w:rPr>
          <w:color w:val="231F20"/>
        </w:rPr>
        <w:t xml:space="preserve"> </w:t>
      </w:r>
      <w:r w:rsidR="00691710" w:rsidRPr="0032318C">
        <w:rPr>
          <w:color w:val="000000"/>
        </w:rPr>
        <w:t xml:space="preserve">o </w:t>
      </w:r>
      <w:r w:rsidR="008B3C0B">
        <w:rPr>
          <w:color w:val="000000"/>
        </w:rPr>
        <w:t xml:space="preserve"> </w:t>
      </w:r>
      <w:r w:rsidR="00691710" w:rsidRPr="0032318C">
        <w:rPr>
          <w:color w:val="000000"/>
        </w:rPr>
        <w:t>pomorskom dobru i morskim lukama</w:t>
      </w:r>
    </w:p>
    <w:p w:rsidR="00124C42" w:rsidRDefault="00124C42" w:rsidP="00A608B2">
      <w:pPr>
        <w:pStyle w:val="box45354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izjavu da ponuditelju ili osobi ovlaštenoj za zastupanje nije izrečena pravomoćna osuđujuća presuda za jedno ili više kaznenih djela iz p</w:t>
      </w:r>
      <w:r w:rsidR="00E63926">
        <w:rPr>
          <w:color w:val="231F20"/>
        </w:rPr>
        <w:t>odručja gospodarskoga kriminala</w:t>
      </w:r>
      <w:r w:rsidR="00A608B2">
        <w:rPr>
          <w:color w:val="231F20"/>
        </w:rPr>
        <w:t>.</w:t>
      </w:r>
    </w:p>
    <w:p w:rsidR="00A608B2" w:rsidRPr="00646747" w:rsidRDefault="00A608B2" w:rsidP="00A608B2">
      <w:pPr>
        <w:pStyle w:val="box453543"/>
        <w:spacing w:before="0" w:beforeAutospacing="0" w:after="0" w:afterAutospacing="0"/>
        <w:ind w:left="360"/>
        <w:jc w:val="both"/>
        <w:textAlignment w:val="baseline"/>
      </w:pPr>
      <w:r w:rsidRPr="00646747">
        <w:t>U slučaju dostave ponude od strane zajednice ponuditelja svaki član unutar zajednice mora tražene dokaze dostaviti pojedinačno.</w:t>
      </w:r>
    </w:p>
    <w:p w:rsidR="00124C42" w:rsidRPr="00646747" w:rsidRDefault="00124C42" w:rsidP="00A608B2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46747">
        <w:t>ponuđeni iznos stalnog i postotak promjenj</w:t>
      </w:r>
      <w:r w:rsidR="00E63926" w:rsidRPr="00646747">
        <w:t>ivog dijela koncesijske naknade</w:t>
      </w:r>
    </w:p>
    <w:p w:rsidR="00A608B2" w:rsidRPr="00646747" w:rsidRDefault="00A608B2" w:rsidP="00A608B2">
      <w:pPr>
        <w:pStyle w:val="box453543"/>
        <w:spacing w:before="0" w:beforeAutospacing="0" w:after="0" w:afterAutospacing="0"/>
        <w:ind w:left="360"/>
        <w:jc w:val="both"/>
        <w:textAlignment w:val="baseline"/>
      </w:pPr>
      <w:r w:rsidRPr="00646747">
        <w:t>Napomena: U tijeku koncesije Davatelj koncesije zadržava pravo da u slučaju nerazmjera većeg od 10.000,00 kuna između ponuđenog iznosa godišnjeg promjenjivog dijela koncesijske naknade i uplaćenog iznosa promjenjivog dijela naknade za koncesije budućeg koncesionara, razliku naplati putem bjanko zadužnice za svaku godinu zasebno, osim u slučaju više sile.</w:t>
      </w:r>
    </w:p>
    <w:p w:rsidR="00124C42" w:rsidRPr="0099098F" w:rsidRDefault="00A608B2" w:rsidP="00A608B2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9098F">
        <w:t>S</w:t>
      </w:r>
      <w:r w:rsidR="00124C42" w:rsidRPr="0099098F">
        <w:t>tudiju gospodarske opravdanosti koja se izrađuje</w:t>
      </w:r>
      <w:r w:rsidR="00EC5A1B">
        <w:t xml:space="preserve"> u suglasju sa odredbama Zakona o pomorskom dobru i morskim lukama i Uredbom o postupku davanja koncesije na pomorskom dobru</w:t>
      </w:r>
      <w:r w:rsidR="00FA6BA9" w:rsidRPr="00FA6BA9">
        <w:t>.</w:t>
      </w:r>
      <w:r w:rsidR="00124C42" w:rsidRPr="0099098F">
        <w:t xml:space="preserve"> Ukupna vrijednost investicije koja se planira studijom gospodarske opravdanosti smatra se ulaganjem u osnovna sredstva.</w:t>
      </w:r>
    </w:p>
    <w:p w:rsidR="00A608B2" w:rsidRPr="00646747" w:rsidRDefault="00A608B2" w:rsidP="00A608B2">
      <w:pPr>
        <w:pStyle w:val="box453543"/>
        <w:spacing w:before="0" w:beforeAutospacing="0" w:after="0" w:afterAutospacing="0"/>
        <w:ind w:left="360"/>
        <w:jc w:val="both"/>
        <w:textAlignment w:val="baseline"/>
      </w:pPr>
      <w:r w:rsidRPr="00646747">
        <w:t>Za zajednicu ponuditelja potrebno je definirati koje djelatnosti iz predmeta koncesije će obavljati pojedini poslovni subjekt u Zajednici ponuditelja.</w:t>
      </w:r>
    </w:p>
    <w:p w:rsidR="00124C42" w:rsidRDefault="00124C42" w:rsidP="00A608B2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garanciju poslovne banke za ozbiljnost ponude u izvornom obliku u visini 1% od ponuđene vrijednosti investicije s rokom važenja do planiranog roka zaključenja ugovora o koncesiji, a najduže dvije godine.</w:t>
      </w:r>
    </w:p>
    <w:p w:rsidR="005B6B18" w:rsidRDefault="00A608B2" w:rsidP="00A608B2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popunjen rekapitulacijski list</w:t>
      </w:r>
    </w:p>
    <w:p w:rsidR="00A608B2" w:rsidRDefault="00A608B2" w:rsidP="00A608B2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Cjelokupnu ponudbenu dokumentaciju i u elektronskom obliku.</w:t>
      </w:r>
    </w:p>
    <w:p w:rsidR="00C97B55" w:rsidRDefault="00C97B55" w:rsidP="00C97B55">
      <w:pPr>
        <w:spacing w:before="2" w:after="0" w:line="240" w:lineRule="auto"/>
        <w:ind w:left="139" w:right="177"/>
        <w:rPr>
          <w:color w:val="231F20"/>
        </w:rPr>
      </w:pPr>
    </w:p>
    <w:p w:rsidR="00A608B2" w:rsidRPr="00C97B55" w:rsidRDefault="00C97B55" w:rsidP="00C97B55">
      <w:pPr>
        <w:spacing w:before="2" w:after="0" w:line="240" w:lineRule="auto"/>
        <w:ind w:left="139" w:right="177"/>
        <w:jc w:val="both"/>
        <w:rPr>
          <w:rFonts w:ascii="Times New Roman" w:hAnsi="Times New Roman" w:cs="Times New Roman"/>
          <w:sz w:val="24"/>
          <w:szCs w:val="24"/>
        </w:rPr>
      </w:pPr>
      <w:r w:rsidRPr="00C97B55">
        <w:rPr>
          <w:rFonts w:ascii="Times New Roman" w:hAnsi="Times New Roman" w:cs="Times New Roman"/>
          <w:sz w:val="24"/>
          <w:szCs w:val="24"/>
        </w:rPr>
        <w:t xml:space="preserve">Razlozi isključenja ponuditelja su ako ponuda ne sadrži potpunu dokumentaciju propisanu Obaviješću o namjeri  </w:t>
      </w:r>
      <w:r w:rsidRPr="00C97B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davanja koncesije na pomorskom dobru u svrhu gospodarskog korištenja luke posebne namjene - postojeće brodogradilišne luke „</w:t>
      </w:r>
      <w:proofErr w:type="spellStart"/>
      <w:r w:rsidRPr="00C97B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Tehnomont</w:t>
      </w:r>
      <w:proofErr w:type="spellEnd"/>
      <w:r w:rsidRPr="00C97B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Pula“ i dokumentacijom za nadmetanje te ako ponuditelj ne udovoljava svim uvjetima propisanom naprijed navedenom Obaviješću, dokumentacijom za nadmetanje, člankom </w:t>
      </w:r>
      <w:r w:rsidRPr="00C97B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17. stavak 3. Zakon o pomorskom dobru i morskim lukama i člankom 24. Zakona o koncesijama.</w:t>
      </w:r>
    </w:p>
    <w:p w:rsidR="00FA6BA9" w:rsidRDefault="00691710" w:rsidP="00FA6BA9">
      <w:pPr>
        <w:pStyle w:val="box453543"/>
        <w:spacing w:before="0" w:beforeAutospacing="0" w:after="0" w:afterAutospacing="0"/>
        <w:ind w:left="142"/>
        <w:jc w:val="both"/>
        <w:textAlignment w:val="baseline"/>
        <w:rPr>
          <w:color w:val="231F20"/>
        </w:rPr>
      </w:pPr>
      <w:r>
        <w:rPr>
          <w:color w:val="231F20"/>
        </w:rPr>
        <w:t xml:space="preserve">Natječajna dokumentacija biti će objavljena u </w:t>
      </w:r>
      <w:r w:rsidRPr="0032318C">
        <w:rPr>
          <w:color w:val="000000"/>
        </w:rPr>
        <w:t>Elektroničkom oglasniku javne nabave RH</w:t>
      </w:r>
      <w:r>
        <w:rPr>
          <w:color w:val="000000"/>
        </w:rPr>
        <w:t>.</w:t>
      </w:r>
    </w:p>
    <w:p w:rsidR="002B0A3F" w:rsidRDefault="002B0A3F" w:rsidP="002E6DC2">
      <w:pPr>
        <w:pStyle w:val="box453543"/>
        <w:spacing w:before="0" w:beforeAutospacing="0" w:after="0" w:afterAutospacing="0"/>
        <w:textAlignment w:val="baseline"/>
        <w:rPr>
          <w:color w:val="231F20"/>
        </w:rPr>
      </w:pPr>
    </w:p>
    <w:p w:rsidR="002B0A3F" w:rsidRDefault="002B0A3F" w:rsidP="002E6DC2">
      <w:pPr>
        <w:pStyle w:val="box453543"/>
        <w:spacing w:before="0" w:beforeAutospacing="0" w:after="0" w:afterAutospacing="0"/>
        <w:textAlignment w:val="baseline"/>
        <w:rPr>
          <w:color w:val="231F20"/>
        </w:rPr>
      </w:pPr>
    </w:p>
    <w:p w:rsidR="00D10A67" w:rsidRDefault="002E6DC2" w:rsidP="002E6DC2">
      <w:pPr>
        <w:pStyle w:val="box453543"/>
        <w:spacing w:before="0" w:beforeAutospacing="0" w:after="0" w:afterAutospacing="0"/>
        <w:textAlignment w:val="baseline"/>
        <w:rPr>
          <w:b/>
          <w:color w:val="231F20"/>
        </w:rPr>
      </w:pPr>
      <w:r w:rsidRPr="002E6DC2">
        <w:rPr>
          <w:b/>
          <w:color w:val="231F20"/>
        </w:rPr>
        <w:t>ROK ZA DOSTAVU PONUDE</w:t>
      </w:r>
    </w:p>
    <w:p w:rsidR="00CC27E3" w:rsidRPr="002E6DC2" w:rsidRDefault="00CC27E3" w:rsidP="002E6DC2">
      <w:pPr>
        <w:pStyle w:val="box453543"/>
        <w:spacing w:before="0" w:beforeAutospacing="0" w:after="0" w:afterAutospacing="0"/>
        <w:textAlignment w:val="baseline"/>
        <w:rPr>
          <w:b/>
          <w:color w:val="231F20"/>
        </w:rPr>
      </w:pPr>
    </w:p>
    <w:p w:rsidR="00124C42" w:rsidRPr="00691710" w:rsidRDefault="00124C42" w:rsidP="00124C42">
      <w:pPr>
        <w:pStyle w:val="box453543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  <w:r w:rsidRPr="00691710">
        <w:rPr>
          <w:b/>
          <w:color w:val="231F20"/>
        </w:rPr>
        <w:t>VI</w:t>
      </w: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davanja koncesije započinje danom objave ove Obavijesti u Elektroničkom oglasniku javne nabave RH.</w:t>
      </w:r>
    </w:p>
    <w:p w:rsidR="002C573E" w:rsidRDefault="00354EF1" w:rsidP="002C5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1C0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ponude je 30 dana od dana objave Obavijesti o namjeri davanja koncesije za gospodarsko korištenje luke posebne namjene – postojeće brodogradilišne luke „</w:t>
      </w:r>
      <w:proofErr w:type="spellStart"/>
      <w:r w:rsidRPr="00B81C05">
        <w:rPr>
          <w:rFonts w:ascii="Times New Roman" w:eastAsia="Times New Roman" w:hAnsi="Times New Roman" w:cs="Times New Roman"/>
          <w:sz w:val="24"/>
          <w:szCs w:val="24"/>
          <w:lang w:eastAsia="hr-HR"/>
        </w:rPr>
        <w:t>Tehnomont</w:t>
      </w:r>
      <w:proofErr w:type="spellEnd"/>
      <w:r w:rsidRPr="00B81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Pula“ u Elektroničkom oglasniku javne nabave RH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54EF1" w:rsidRPr="00B81C05" w:rsidRDefault="00354EF1" w:rsidP="003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05">
        <w:rPr>
          <w:rFonts w:ascii="Times New Roman" w:eastAsia="Times New Roman" w:hAnsi="Times New Roman" w:cs="Times New Roman"/>
          <w:sz w:val="24"/>
          <w:szCs w:val="24"/>
        </w:rPr>
        <w:t xml:space="preserve">Ponuda se dostavlja u zatvorenoj omotnici s naznakom „Za javno prikupljanje ponuda za dodjelu </w:t>
      </w:r>
      <w:r w:rsidRPr="00B81C05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koncesije na pomorskom dobru u svrhu </w:t>
      </w:r>
      <w:r w:rsidRPr="00B81C05">
        <w:rPr>
          <w:rFonts w:ascii="Times New Roman" w:eastAsia="Times New Roman" w:hAnsi="Times New Roman" w:cs="Times New Roman"/>
          <w:sz w:val="24"/>
          <w:szCs w:val="24"/>
        </w:rPr>
        <w:t xml:space="preserve">gospodarskog korištenja </w:t>
      </w:r>
      <w:r w:rsidRPr="00B81C05">
        <w:rPr>
          <w:rFonts w:ascii="Times New Roman" w:hAnsi="Times New Roman" w:cs="Times New Roman"/>
          <w:sz w:val="24"/>
          <w:szCs w:val="24"/>
        </w:rPr>
        <w:t>postojeće brodogradilišne luke „</w:t>
      </w:r>
      <w:proofErr w:type="spellStart"/>
      <w:r w:rsidRPr="00B81C05">
        <w:rPr>
          <w:rFonts w:ascii="Times New Roman" w:hAnsi="Times New Roman" w:cs="Times New Roman"/>
          <w:sz w:val="24"/>
          <w:szCs w:val="24"/>
        </w:rPr>
        <w:t>Tehnomont</w:t>
      </w:r>
      <w:proofErr w:type="spellEnd"/>
      <w:r w:rsidRPr="00B81C05">
        <w:rPr>
          <w:rFonts w:ascii="Times New Roman" w:hAnsi="Times New Roman" w:cs="Times New Roman"/>
          <w:sz w:val="24"/>
          <w:szCs w:val="24"/>
        </w:rPr>
        <w:t xml:space="preserve"> - Pula“</w:t>
      </w:r>
      <w:r w:rsidRPr="00B81C05">
        <w:rPr>
          <w:rFonts w:ascii="Times New Roman" w:eastAsia="Times New Roman" w:hAnsi="Times New Roman" w:cs="Times New Roman"/>
          <w:sz w:val="24"/>
          <w:szCs w:val="24"/>
        </w:rPr>
        <w:t xml:space="preserve">, te s napomenom „NE OTVARATI“. </w:t>
      </w:r>
    </w:p>
    <w:p w:rsidR="00354EF1" w:rsidRPr="00B81C05" w:rsidRDefault="00354EF1" w:rsidP="003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A3F">
        <w:rPr>
          <w:rFonts w:ascii="Times New Roman" w:eastAsia="Times New Roman" w:hAnsi="Times New Roman" w:cs="Times New Roman"/>
          <w:sz w:val="24"/>
          <w:szCs w:val="24"/>
        </w:rPr>
        <w:t>Ponude se dostavljaju preporučenom pošiljkom</w:t>
      </w:r>
      <w:r w:rsidR="00503B88" w:rsidRPr="002B0A3F">
        <w:rPr>
          <w:rFonts w:ascii="Times New Roman" w:eastAsia="Times New Roman" w:hAnsi="Times New Roman" w:cs="Times New Roman"/>
          <w:sz w:val="24"/>
          <w:szCs w:val="24"/>
        </w:rPr>
        <w:t xml:space="preserve"> na adresu</w:t>
      </w:r>
      <w:r w:rsidRPr="002B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B88" w:rsidRPr="002B0A3F">
        <w:rPr>
          <w:rFonts w:ascii="Times New Roman" w:eastAsia="Times New Roman" w:hAnsi="Times New Roman" w:cs="Times New Roman"/>
          <w:sz w:val="24"/>
          <w:szCs w:val="24"/>
        </w:rPr>
        <w:t xml:space="preserve">Grad Pula – Pola, Upravni odjel za prostorno uređenje, komunalni sustav i imovinu, Forum 2, 52100 Pula </w:t>
      </w:r>
      <w:r w:rsidRPr="002B0A3F">
        <w:rPr>
          <w:rFonts w:ascii="Times New Roman" w:eastAsia="Times New Roman" w:hAnsi="Times New Roman" w:cs="Times New Roman"/>
          <w:sz w:val="24"/>
          <w:szCs w:val="24"/>
        </w:rPr>
        <w:t xml:space="preserve">ili neposrednom predajom u pisarnicu </w:t>
      </w:r>
      <w:r w:rsidRPr="002B0A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Pule</w:t>
      </w:r>
      <w:r w:rsidRPr="002B0A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C05">
        <w:rPr>
          <w:rFonts w:ascii="Times New Roman" w:eastAsia="Times New Roman" w:hAnsi="Times New Roman" w:cs="Times New Roman"/>
          <w:sz w:val="24"/>
          <w:szCs w:val="24"/>
        </w:rPr>
        <w:t xml:space="preserve"> U obzir će se uzimati samo ponude koje se predaju na pošti odnosno ovlaštenom pružatelju poštanskih usluga</w:t>
      </w:r>
      <w:r w:rsidR="004C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C14" w:rsidRPr="002B0A3F">
        <w:rPr>
          <w:rFonts w:ascii="Times New Roman" w:hAnsi="Times New Roman" w:cs="Times New Roman"/>
          <w:sz w:val="24"/>
          <w:szCs w:val="24"/>
        </w:rPr>
        <w:t>U slučaju da je zahtjev predan pošti preporučeno ili ovlaštenom pružatelju poštanskih usluga, dan predaje pošti odnosno ovlaštenom pružatelju poštanskih usluga</w:t>
      </w:r>
      <w:r w:rsidRPr="00B81C05">
        <w:rPr>
          <w:rFonts w:ascii="Times New Roman" w:eastAsia="Times New Roman" w:hAnsi="Times New Roman" w:cs="Times New Roman"/>
          <w:sz w:val="24"/>
          <w:szCs w:val="24"/>
        </w:rPr>
        <w:t>, smatra se danom predaje davatelju koncesije.</w:t>
      </w:r>
    </w:p>
    <w:p w:rsidR="00354EF1" w:rsidRPr="00354EF1" w:rsidRDefault="00354EF1" w:rsidP="00354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B81C0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mora biti napisana na hrvatskom jeziku i latiničnim pismom</w:t>
      </w:r>
      <w:r w:rsidRPr="00354EF1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.</w:t>
      </w:r>
    </w:p>
    <w:p w:rsidR="00C20BD5" w:rsidRDefault="0032318C" w:rsidP="00C20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Nepotpune 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ponude zaprimljene izvan roka neće se razmatrati.</w:t>
      </w:r>
    </w:p>
    <w:p w:rsidR="006F6D42" w:rsidRDefault="006F6D42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F6D42" w:rsidRDefault="006F6D42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2E86" w:rsidRDefault="002E6DC2" w:rsidP="00145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ZA ODABIR NAJPOVOLJNIJE PONUDE</w:t>
      </w:r>
    </w:p>
    <w:p w:rsidR="00CC27E3" w:rsidRDefault="00CC27E3" w:rsidP="00145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B241F" w:rsidRPr="001456A9" w:rsidRDefault="00503B88" w:rsidP="001456A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VII</w:t>
      </w:r>
    </w:p>
    <w:p w:rsidR="0032318C" w:rsidRPr="0032318C" w:rsidRDefault="00354EF1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zaprimanja dvije ili više ponuda najpovoljniji ponuditelj biti će odabran sukladno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kriterijima iz članka 21. Uredbe o postupku davanja koncesije na pomorskom dobr</w:t>
      </w:r>
      <w:r w:rsidR="00C20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("Narodne novine" br. 23/04, 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101/04, 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39/06, 63/08, 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125/10, 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102/11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83/12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10/17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to:</w:t>
      </w:r>
    </w:p>
    <w:p w:rsidR="0032318C" w:rsidRPr="006A05DE" w:rsidRDefault="0032318C" w:rsidP="006A0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ponuđeni iznos stalnog dijela koncesijske naknade                                                 </w:t>
      </w:r>
      <w:r w:rsidR="00124C42"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0%</w:t>
      </w:r>
    </w:p>
    <w:p w:rsidR="0032318C" w:rsidRPr="006A05DE" w:rsidRDefault="0032318C" w:rsidP="006A0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ponuđeni iznos promjenjivog dijela koncesijske naknade                                       </w:t>
      </w:r>
      <w:r w:rsidR="008B60E9"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0%</w:t>
      </w:r>
    </w:p>
    <w:p w:rsidR="0032318C" w:rsidRPr="006A05DE" w:rsidRDefault="0032318C" w:rsidP="006A0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ponuđeni iznos ukupnoga investicijskog ulaganja prema studiji gospodarske </w:t>
      </w:r>
    </w:p>
    <w:p w:rsidR="007B241F" w:rsidRDefault="0032318C" w:rsidP="00F03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opravdanosti                                                                                                             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40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7B241F" w:rsidRPr="007B241F" w:rsidRDefault="007B241F" w:rsidP="001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Svaki element ponude se vrednuje zasebno, a zbroj ukupne ocjene po kriterijima ne može iznositi više od 1,00.</w:t>
      </w:r>
    </w:p>
    <w:p w:rsidR="007B241F" w:rsidRPr="0085030E" w:rsidRDefault="007B241F" w:rsidP="001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:rsidR="00B81C05" w:rsidRDefault="00B81C05" w:rsidP="001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41F" w:rsidRPr="0085030E" w:rsidRDefault="007B241F" w:rsidP="001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Formule i način izračuna:</w:t>
      </w: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a) Koeficijent stalnog dijela koncesijske naknade</w:t>
      </w:r>
      <w:r w:rsidR="001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0E">
        <w:rPr>
          <w:rFonts w:ascii="Times New Roman" w:eastAsia="Calibri" w:hAnsi="Times New Roman" w:cs="Times New Roman"/>
          <w:sz w:val="24"/>
          <w:szCs w:val="24"/>
          <w:u w:val="single"/>
        </w:rPr>
        <w:t>30% × ponuđeni iznos stalnog dijela koncesijske naknade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30E">
        <w:rPr>
          <w:rFonts w:ascii="Times New Roman" w:eastAsia="Calibri" w:hAnsi="Times New Roman" w:cs="Times New Roman"/>
          <w:sz w:val="24"/>
          <w:szCs w:val="24"/>
        </w:rPr>
        <w:t>najviši ponuđeni iznos stalnog dijela koncesijske naknade</w:t>
      </w: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b) Koeficijent promjenjivog dijela koncesijske naknade</w:t>
      </w:r>
      <w:r w:rsidR="001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30% × ponuđeni apsolutni iznos promjenjivog dijela koncesijske naknade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najviši ponuđeni apsolutni iznos promjenjivog dijela koncesijske naknade</w:t>
      </w: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41F" w:rsidRPr="0085030E" w:rsidRDefault="007B241F" w:rsidP="007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c) Koeficijent ukupne investicije = 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t>40% × ponuđeni iznos ukupne investicije</w:t>
      </w:r>
    </w:p>
    <w:p w:rsidR="007B241F" w:rsidRPr="0085030E" w:rsidRDefault="007B241F" w:rsidP="007B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najviši ponuđeni iznos ukupne investicije</w:t>
      </w:r>
    </w:p>
    <w:p w:rsidR="007B241F" w:rsidRDefault="007B241F" w:rsidP="00323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965E9" w:rsidRPr="0088010F" w:rsidRDefault="006965E9" w:rsidP="0069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10F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iz stavka prvog ove točke moraju biti posebno istaknuti u ponudi na rekapitulacijskom listu.</w:t>
      </w:r>
    </w:p>
    <w:p w:rsidR="006965E9" w:rsidRDefault="006965E9" w:rsidP="00323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318C" w:rsidRPr="007B241F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Davatelj konces</w:t>
      </w:r>
      <w:r w:rsidR="005B6B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zadr</w:t>
      </w:r>
      <w:r w:rsidR="001456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 pravo neprihvaćanja svih pristiglih ponuda.</w:t>
      </w:r>
    </w:p>
    <w:p w:rsidR="008C3957" w:rsidRDefault="008C3957" w:rsidP="002E6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0A3F" w:rsidRDefault="002B0A3F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E6DC2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E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PREUZIMANJE DOKUMENTACIJE ZA NADMETANJE</w:t>
      </w:r>
    </w:p>
    <w:p w:rsidR="00F03608" w:rsidRPr="002E6DC2" w:rsidRDefault="00F03608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E6DC2" w:rsidRPr="006B427C" w:rsidRDefault="00503B88" w:rsidP="006B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VIII</w:t>
      </w:r>
    </w:p>
    <w:p w:rsidR="002E6DC2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6DC2" w:rsidRDefault="006965E9" w:rsidP="00696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2E6D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atječajna dokumentacija sadrži dokumentaciju za nadmetanje koja čini sastavni dio Obavijesti o namjeri davanja koncesije koja će biti objavljena u „Elektroničkom oglasniku javne nabave Republike Hrvatske“ po stupanju na snagu ove Odluke.</w:t>
      </w:r>
    </w:p>
    <w:p w:rsidR="002E6DC2" w:rsidRDefault="002E6DC2" w:rsidP="00696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0A3F" w:rsidRDefault="002B0A3F" w:rsidP="00696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0BD5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E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OTVARANJE PONUDA</w:t>
      </w:r>
    </w:p>
    <w:p w:rsidR="00CC27E3" w:rsidRPr="002E6DC2" w:rsidRDefault="00CC27E3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2318C" w:rsidRPr="00C20BD5" w:rsidRDefault="00503B88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32318C" w:rsidRPr="00C2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</w:t>
      </w:r>
    </w:p>
    <w:p w:rsidR="001456A9" w:rsidRDefault="001456A9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Javno otvaranje ponuda u otvorenom postupku obaviti će Stručno povjerenstvo za koncesije na pomorskom dobru Grada Pule - Pola (dalje </w:t>
      </w:r>
      <w:r w:rsidR="00C20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tekstu: Povjerenstvo) </w:t>
      </w:r>
      <w:r w:rsidR="001456A9" w:rsidRPr="0088010F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četvrtog</w:t>
      </w:r>
      <w:r w:rsidR="00C20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po isteku </w:t>
      </w:r>
      <w:r w:rsidR="001456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roka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predaju ponuda, 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14,00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sati, u prostorijama Upravnog odjela za prostorno uređenje, komunalni sustav i imovinu, u Puli, Forum 2. U slučaju da je navedeni dan neradni, otvaranje ponuda obaviti će se prvog sljedećeg radnog dana.</w:t>
      </w:r>
    </w:p>
    <w:p w:rsidR="006F6D42" w:rsidRDefault="0032318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otvaranja pristiglih ponuda vodi se zapisnik, utvrđuje se broj dostavljenih ponuda, </w:t>
      </w:r>
      <w:r w:rsidR="0031611A" w:rsidRPr="0031611A">
        <w:rPr>
          <w:rFonts w:ascii="Times New Roman" w:hAnsi="Times New Roman" w:cs="Times New Roman"/>
          <w:color w:val="231F20"/>
          <w:sz w:val="24"/>
          <w:szCs w:val="24"/>
        </w:rPr>
        <w:t>čita</w:t>
      </w:r>
      <w:r w:rsidR="0031611A">
        <w:rPr>
          <w:rFonts w:ascii="Times New Roman" w:hAnsi="Times New Roman" w:cs="Times New Roman"/>
          <w:color w:val="231F20"/>
          <w:sz w:val="24"/>
          <w:szCs w:val="24"/>
        </w:rPr>
        <w:t xml:space="preserve"> se</w:t>
      </w:r>
      <w:r w:rsidR="0031611A" w:rsidRPr="0031611A">
        <w:rPr>
          <w:rFonts w:ascii="Times New Roman" w:hAnsi="Times New Roman" w:cs="Times New Roman"/>
          <w:color w:val="231F20"/>
          <w:sz w:val="24"/>
          <w:szCs w:val="24"/>
        </w:rPr>
        <w:t xml:space="preserve"> rekapitulacijski list i provjerava da li je dostavljena sva tražena dokumentacija.</w:t>
      </w:r>
    </w:p>
    <w:p w:rsidR="006F6D42" w:rsidRDefault="00FA6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6BA9">
        <w:rPr>
          <w:rFonts w:ascii="Times New Roman" w:hAnsi="Times New Roman" w:cs="Times New Roman"/>
          <w:sz w:val="24"/>
          <w:szCs w:val="24"/>
        </w:rPr>
        <w:t>Zapisnik se uručuje svim ovlaštenim predstavnicima ponuditelja nazočnim na otvaranju ponuda, a ostalima na pisani zahtjev.</w:t>
      </w:r>
    </w:p>
    <w:p w:rsidR="006F6D42" w:rsidRDefault="00FA6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6BA9">
        <w:rPr>
          <w:rFonts w:ascii="Times New Roman" w:hAnsi="Times New Roman" w:cs="Times New Roman"/>
          <w:sz w:val="24"/>
          <w:szCs w:val="24"/>
        </w:rPr>
        <w:t>Pravo sudjelovanja na otvaranju ponuda imaju samo ovlašteni predstavnici ponuditelja, predstavnici Upravnog odjela za prostorno uređenje, komunalni sustav i imovinu te članovi Stručnog povjerenstva.</w:t>
      </w:r>
    </w:p>
    <w:p w:rsidR="00CD5C55" w:rsidRPr="001456A9" w:rsidRDefault="0032318C" w:rsidP="001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 se smatra nesposobnim, iako je dostavio svu potrebnu dokumentaciju, ukoliko ima nepodmirenih dospjelih obveza temeljem javnih davanja i ukoliko na BON 2 obrascu ima evidentirano vi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od 15 dana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neprekinute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blokade glavnog ra</w:t>
      </w:r>
      <w:r w:rsidR="008B6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 u posljednjih šest mjeseci, te se njegova ponuda isključuje iz daljnjeg postupka ocjenjivanja.</w:t>
      </w:r>
    </w:p>
    <w:p w:rsidR="00646747" w:rsidRDefault="00646747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57C8B" w:rsidRDefault="00757C8B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E6DC2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DONOŠENJE ODLUKE</w:t>
      </w:r>
    </w:p>
    <w:p w:rsidR="00757C8B" w:rsidRDefault="00757C8B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2318C" w:rsidRPr="00C20BD5" w:rsidRDefault="0032318C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</w:t>
      </w:r>
    </w:p>
    <w:p w:rsidR="0032318C" w:rsidRPr="0032318C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18C" w:rsidRPr="0032318C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pregledava i ocjenjuje ponude te donosi svoj nalaz i mišljenje.</w:t>
      </w: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Nalaz se sastoji od navođenja svih pristiglih ponuda, te ocjene ponuda </w:t>
      </w:r>
      <w:r w:rsidR="00EB1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kriterijima iz točke</w:t>
      </w:r>
      <w:r w:rsidR="005D3D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VII</w:t>
      </w:r>
      <w:r w:rsidR="00EB18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mišljenje se sastoji od prijedloga najpovoljnije ponude s obrazloženjem.</w:t>
      </w: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dostavlja</w:t>
      </w:r>
      <w:r w:rsidR="00570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 i mišljenje Upravnom odjelu za prostorno uređenje, komunalni sustav i imovinu, u roku od 8 dana od dana održane sjednice Povjerenstva. </w:t>
      </w:r>
    </w:p>
    <w:p w:rsidR="0032318C" w:rsidRPr="0032318C" w:rsidRDefault="00FE3130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odjel za prostorno uređenje, komunalni sustav i imovinu, dužan je u daljnjem roku od 8 dana izraditi Nacrt Odluke o davanju koncesije najpovoljnijem 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ili Nacrt Odluke o poništenju postupka davanja koncesije i dostaviti ga Gradonačelniku Grada Pule radi utvrđivanja Prijedloga Odluke o davanju koncesije ili Prijedloga Odluke o poništenju postupka davanja koncesije i upućivanja Gradskom vijeću Grada Pule</w:t>
      </w:r>
      <w:r w:rsidR="001456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20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donošenja </w:t>
      </w:r>
      <w:r w:rsidR="00406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2318C"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dluke.</w:t>
      </w:r>
    </w:p>
    <w:p w:rsidR="004061BB" w:rsidRPr="0088010F" w:rsidRDefault="004061BB" w:rsidP="0040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10F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donošenja Odluke o davanju koncesije odabranom najpovoljnijem ponuditelju ponudit će se zaključenje ugovora o koncesiji, a o donesenoj odluci ostali ponuditelji biti će obaviješteni bez odgode, preporučenom pošiljkom s povratnicom.</w:t>
      </w:r>
    </w:p>
    <w:p w:rsidR="004061BB" w:rsidRPr="006C14D0" w:rsidRDefault="004061BB" w:rsidP="0040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koncesiji sklopiti će se u roku od </w:t>
      </w: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10 dana</w:t>
      </w:r>
      <w:r w:rsidRPr="006C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isteku razdoblja mirovanja koje iznosi 15 dana od dana dostave Odluke o davanju koncesije svakom ponuditelju. Ako je pokrenut postupak pravne zaštite, ugovor o koncesiji sklapa se kada odluka o davanju koncesije postane izvršna.</w:t>
      </w:r>
    </w:p>
    <w:p w:rsidR="004061BB" w:rsidRPr="00646747" w:rsidRDefault="004061BB" w:rsidP="00D7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koncesiji najpovoljniji ponuditelj dužan je Davatelju koncesije predati:</w:t>
      </w:r>
    </w:p>
    <w:p w:rsidR="004061BB" w:rsidRPr="00646747" w:rsidRDefault="00D728EF" w:rsidP="00D728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Bjanko zadužnicu/e najmanje u </w:t>
      </w:r>
      <w:r w:rsidR="004061BB"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dvostruke naknade za koncesiju </w:t>
      </w:r>
      <w:proofErr w:type="spellStart"/>
      <w:r w:rsidR="004061BB"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="004061BB"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javnog bilježnika, a sve u svrhu osiguranja urednog plaćanja naknade za koncesiju,</w:t>
      </w:r>
    </w:p>
    <w:p w:rsidR="004061BB" w:rsidRPr="00646747" w:rsidRDefault="004061BB" w:rsidP="00D728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Bjanko zadužni</w:t>
      </w:r>
      <w:r w:rsidR="00F0360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u/e najmanje u iznosu ponuđenog iznosa promjenjivog dijela naknade za koncesiju </w:t>
      </w:r>
      <w:proofErr w:type="spellStart"/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javnog bilježnika, a sve u svrhu osiguranja naplate razlike između ponuđenog i uplaćenog iznosa promjenjivog dijela naknade za koncesiju,</w:t>
      </w:r>
    </w:p>
    <w:p w:rsidR="004061BB" w:rsidRPr="00646747" w:rsidRDefault="004061BB" w:rsidP="00D728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6747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Važeću policu osiguranja ponuditelja za cijelo vrijeme važenja ugovora, kao dokaz jamstva za pokriće odgovornosti iz djelatnosti.</w:t>
      </w:r>
    </w:p>
    <w:p w:rsidR="004061BB" w:rsidRDefault="004061BB" w:rsidP="00406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61BB" w:rsidRPr="00205330" w:rsidRDefault="00FA6BA9" w:rsidP="0040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A9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se ne može prenijeti na drugu osobu, osim pod uvjetima utvrđenima važećim zakonskim propisima.</w:t>
      </w:r>
    </w:p>
    <w:p w:rsidR="004061BB" w:rsidRDefault="004061BB" w:rsidP="00406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koncesiji zaključuju Gradonačelnik Grada Pule i odabrani najpovoljniji ponuditelj.</w:t>
      </w:r>
    </w:p>
    <w:p w:rsidR="004061BB" w:rsidRDefault="004061BB" w:rsidP="00406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koncesiji može se mijenjati u skladu s člankom 62. Zakona o koncesijama.</w:t>
      </w:r>
    </w:p>
    <w:p w:rsidR="00F03608" w:rsidRDefault="00F03608" w:rsidP="002E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0A3F" w:rsidRDefault="002B0A3F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E6DC2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UPUTA O PRAVNOM LIJEKU</w:t>
      </w:r>
    </w:p>
    <w:p w:rsidR="00CC27E3" w:rsidRDefault="00CC27E3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2318C" w:rsidRPr="00C20BD5" w:rsidRDefault="0032318C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XI</w:t>
      </w:r>
    </w:p>
    <w:p w:rsidR="0032318C" w:rsidRPr="0032318C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E44" w:rsidRPr="0032318C" w:rsidRDefault="00D26E44" w:rsidP="00D2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Protiv Odluke o davanju koncesije ili Odluke o poništenju postupka davanja koncesije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se izjaviti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alba Ministarstvu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prometa i infrastrukture, Zagreb, Prisavlje 14, u roku 15 dana, računajući od dana primitka Odluke.  </w:t>
      </w:r>
    </w:p>
    <w:p w:rsidR="00D26E44" w:rsidRPr="0032318C" w:rsidRDefault="00D26E44" w:rsidP="00D2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Žalba se izjavljuje Ministarstvu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prometa i infrastrukture putem davatelja koncesije u pisanom obliku neposredno ili preporučenom pošiljkom.</w:t>
      </w:r>
    </w:p>
    <w:p w:rsidR="00D26E44" w:rsidRPr="0032318C" w:rsidRDefault="00D26E44" w:rsidP="00D2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Žalitelj je dužan istodobno jedan primjerak žalbe na isti način podnijeti Ministarstvu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prometa i infrastrukture.</w:t>
      </w:r>
    </w:p>
    <w:p w:rsidR="00C20BD5" w:rsidRDefault="00C20BD5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0A3F" w:rsidRDefault="002B0A3F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B3C0B" w:rsidRDefault="002E6DC2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E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ZAVRŠNE ODREDBE</w:t>
      </w:r>
    </w:p>
    <w:p w:rsidR="00CC27E3" w:rsidRPr="002E6DC2" w:rsidRDefault="00CC27E3" w:rsidP="002E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2318C" w:rsidRPr="00C20BD5" w:rsidRDefault="006B427C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</w:t>
      </w:r>
      <w:r w:rsidR="0050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</w:p>
    <w:p w:rsidR="008B3C0B" w:rsidRDefault="008B3C0B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3FAD" w:rsidRDefault="00FE3130" w:rsidP="0032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0">
        <w:rPr>
          <w:rFonts w:ascii="Times New Roman" w:hAnsi="Times New Roman" w:cs="Times New Roman"/>
          <w:sz w:val="24"/>
          <w:szCs w:val="24"/>
        </w:rPr>
        <w:t>Ova Odluka stupa na snagu dan</w:t>
      </w:r>
      <w:r w:rsidR="00A63FAD">
        <w:rPr>
          <w:rFonts w:ascii="Times New Roman" w:hAnsi="Times New Roman" w:cs="Times New Roman"/>
          <w:sz w:val="24"/>
          <w:szCs w:val="24"/>
        </w:rPr>
        <w:t>om donošenja.</w:t>
      </w:r>
    </w:p>
    <w:p w:rsidR="008E5887" w:rsidRDefault="0032318C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Postupak davanja koncesije započinje danom objave ove Obavijesti u Elektroničkom oglasniku javne nabave RH.</w:t>
      </w:r>
    </w:p>
    <w:p w:rsidR="00FE3130" w:rsidRDefault="00FE3130" w:rsidP="0032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Zadužuje se Upravni</w:t>
      </w:r>
      <w:r w:rsidRPr="00323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odjel za prostorno uređenje, komunalni sustav i imovinu</w:t>
      </w:r>
      <w:r w:rsidR="008B3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t xml:space="preserve">da </w:t>
      </w:r>
      <w:r w:rsidRPr="00FE3130">
        <w:rPr>
          <w:rFonts w:ascii="Times New Roman" w:hAnsi="Times New Roman" w:cs="Times New Roman"/>
          <w:sz w:val="24"/>
          <w:szCs w:val="24"/>
        </w:rPr>
        <w:t xml:space="preserve">u Elektroničkom oglasniku javne nabave Republike Hrvatske </w:t>
      </w:r>
      <w:r w:rsidR="00C20BD5" w:rsidRPr="00FE3130">
        <w:rPr>
          <w:rFonts w:ascii="Times New Roman" w:hAnsi="Times New Roman" w:cs="Times New Roman"/>
          <w:sz w:val="24"/>
          <w:szCs w:val="24"/>
        </w:rPr>
        <w:t xml:space="preserve">objavi </w:t>
      </w:r>
      <w:r w:rsidRPr="00FE3130">
        <w:rPr>
          <w:rFonts w:ascii="Times New Roman" w:hAnsi="Times New Roman" w:cs="Times New Roman"/>
          <w:sz w:val="24"/>
          <w:szCs w:val="24"/>
        </w:rPr>
        <w:t>Obavijest o namjeri davanja koncesije sa pratećom dokumentacijom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BA9" w:rsidRPr="00FA6BA9" w:rsidRDefault="00FA6BA9" w:rsidP="00FA6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6BA9">
        <w:rPr>
          <w:rFonts w:ascii="Times New Roman" w:hAnsi="Times New Roman" w:cs="Times New Roman"/>
          <w:sz w:val="24"/>
          <w:szCs w:val="24"/>
        </w:rPr>
        <w:t>Obrada osobnih podataka prikupljenih u ovom postupku, koristiti će se u smislu Zakona o zaštiti osobnih podataka, isključivo u svrhu obrade osobnih podataka u ovom postupku davanja koncesije a sukladno s procedurom propisanim odredbama Zakona o koncesijama, Zakona o javnoj nabavi i Zakona o pomorskom dobru i morskim lukama.</w:t>
      </w:r>
    </w:p>
    <w:p w:rsidR="008E5887" w:rsidRPr="00FE3130" w:rsidRDefault="008E5887" w:rsidP="0032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608" w:rsidRPr="0032318C" w:rsidRDefault="00F03608" w:rsidP="00323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2DF" w:rsidRDefault="00F342DF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342DF" w:rsidRDefault="00F342DF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20BD5" w:rsidRDefault="0032318C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GRADSKO VIJEĆE GRADA PULE</w:t>
      </w:r>
    </w:p>
    <w:p w:rsidR="00C20BD5" w:rsidRPr="0032318C" w:rsidRDefault="00C20BD5" w:rsidP="0032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18C" w:rsidRPr="0032318C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18C" w:rsidRPr="0032318C" w:rsidRDefault="0032318C" w:rsidP="0032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PREDSJEDNIK</w:t>
      </w:r>
    </w:p>
    <w:p w:rsidR="00AB7DB5" w:rsidRDefault="0032318C" w:rsidP="0032318C"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   </w:t>
      </w:r>
      <w:proofErr w:type="spellStart"/>
      <w:r w:rsidR="00C2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Tiziano</w:t>
      </w:r>
      <w:proofErr w:type="spellEnd"/>
      <w:r w:rsidR="006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C2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Sošić</w:t>
      </w:r>
      <w:bookmarkStart w:id="0" w:name="_GoBack"/>
      <w:bookmarkEnd w:id="0"/>
      <w:proofErr w:type="spellEnd"/>
    </w:p>
    <w:sectPr w:rsidR="00AB7DB5" w:rsidSect="00AB7D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B6" w:rsidRDefault="008443B6" w:rsidP="00FE7D12">
      <w:pPr>
        <w:spacing w:after="0" w:line="240" w:lineRule="auto"/>
      </w:pPr>
      <w:r>
        <w:separator/>
      </w:r>
    </w:p>
  </w:endnote>
  <w:endnote w:type="continuationSeparator" w:id="0">
    <w:p w:rsidR="008443B6" w:rsidRDefault="008443B6" w:rsidP="00FE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69759"/>
      <w:docPartObj>
        <w:docPartGallery w:val="Page Numbers (Bottom of Page)"/>
        <w:docPartUnique/>
      </w:docPartObj>
    </w:sdtPr>
    <w:sdtContent>
      <w:p w:rsidR="003B1F13" w:rsidRDefault="00B1284F">
        <w:pPr>
          <w:pStyle w:val="Footer"/>
          <w:jc w:val="center"/>
        </w:pPr>
        <w:fldSimple w:instr=" PAGE   \* MERGEFORMAT ">
          <w:r w:rsidR="00213447">
            <w:rPr>
              <w:noProof/>
            </w:rPr>
            <w:t>8</w:t>
          </w:r>
        </w:fldSimple>
      </w:p>
    </w:sdtContent>
  </w:sdt>
  <w:p w:rsidR="0088010F" w:rsidRDefault="0088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B6" w:rsidRDefault="008443B6" w:rsidP="00FE7D12">
      <w:pPr>
        <w:spacing w:after="0" w:line="240" w:lineRule="auto"/>
      </w:pPr>
      <w:r>
        <w:separator/>
      </w:r>
    </w:p>
  </w:footnote>
  <w:footnote w:type="continuationSeparator" w:id="0">
    <w:p w:rsidR="008443B6" w:rsidRDefault="008443B6" w:rsidP="00FE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419"/>
    <w:multiLevelType w:val="hybridMultilevel"/>
    <w:tmpl w:val="10B6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749"/>
    <w:multiLevelType w:val="hybridMultilevel"/>
    <w:tmpl w:val="DDDCF6C6"/>
    <w:lvl w:ilvl="0" w:tplc="4EC08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A46"/>
    <w:multiLevelType w:val="hybridMultilevel"/>
    <w:tmpl w:val="BF1ABD36"/>
    <w:lvl w:ilvl="0" w:tplc="B2281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C08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95B83"/>
    <w:multiLevelType w:val="hybridMultilevel"/>
    <w:tmpl w:val="8D56B0AE"/>
    <w:lvl w:ilvl="0" w:tplc="66B236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046B"/>
    <w:multiLevelType w:val="hybridMultilevel"/>
    <w:tmpl w:val="BC7C92EE"/>
    <w:lvl w:ilvl="0" w:tplc="4EC08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7566"/>
    <w:multiLevelType w:val="hybridMultilevel"/>
    <w:tmpl w:val="5A5CED26"/>
    <w:lvl w:ilvl="0" w:tplc="4EC08F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E5478"/>
    <w:multiLevelType w:val="hybridMultilevel"/>
    <w:tmpl w:val="78FE0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8C"/>
    <w:rsid w:val="00013FC5"/>
    <w:rsid w:val="00016152"/>
    <w:rsid w:val="00057696"/>
    <w:rsid w:val="000B0ADF"/>
    <w:rsid w:val="00124C42"/>
    <w:rsid w:val="001456A9"/>
    <w:rsid w:val="001B3026"/>
    <w:rsid w:val="001B79E7"/>
    <w:rsid w:val="001B7CA6"/>
    <w:rsid w:val="001E3A6B"/>
    <w:rsid w:val="00205330"/>
    <w:rsid w:val="00213447"/>
    <w:rsid w:val="00224341"/>
    <w:rsid w:val="002613B7"/>
    <w:rsid w:val="00283ED3"/>
    <w:rsid w:val="0029705F"/>
    <w:rsid w:val="002B0A3F"/>
    <w:rsid w:val="002C573E"/>
    <w:rsid w:val="002E6DC2"/>
    <w:rsid w:val="002F1B51"/>
    <w:rsid w:val="0031611A"/>
    <w:rsid w:val="0032154B"/>
    <w:rsid w:val="0032318C"/>
    <w:rsid w:val="0032634E"/>
    <w:rsid w:val="00327D47"/>
    <w:rsid w:val="003348AD"/>
    <w:rsid w:val="00352383"/>
    <w:rsid w:val="00354EF1"/>
    <w:rsid w:val="00365A83"/>
    <w:rsid w:val="003A4A2A"/>
    <w:rsid w:val="003B1F13"/>
    <w:rsid w:val="003B7D37"/>
    <w:rsid w:val="003C4FD1"/>
    <w:rsid w:val="003D286E"/>
    <w:rsid w:val="004061BB"/>
    <w:rsid w:val="004072FA"/>
    <w:rsid w:val="004159CC"/>
    <w:rsid w:val="0048668F"/>
    <w:rsid w:val="004C7C14"/>
    <w:rsid w:val="004D24A8"/>
    <w:rsid w:val="004D65F0"/>
    <w:rsid w:val="004E2A37"/>
    <w:rsid w:val="00503B88"/>
    <w:rsid w:val="00557848"/>
    <w:rsid w:val="00570F5A"/>
    <w:rsid w:val="005B64C7"/>
    <w:rsid w:val="005B6B18"/>
    <w:rsid w:val="005B7044"/>
    <w:rsid w:val="005D3D32"/>
    <w:rsid w:val="0061161D"/>
    <w:rsid w:val="00612E86"/>
    <w:rsid w:val="00617BE9"/>
    <w:rsid w:val="00624A4E"/>
    <w:rsid w:val="0063184E"/>
    <w:rsid w:val="0063210F"/>
    <w:rsid w:val="00646747"/>
    <w:rsid w:val="00671BED"/>
    <w:rsid w:val="00674981"/>
    <w:rsid w:val="006825BF"/>
    <w:rsid w:val="00691710"/>
    <w:rsid w:val="006951E8"/>
    <w:rsid w:val="006965E9"/>
    <w:rsid w:val="006A05DE"/>
    <w:rsid w:val="006B427C"/>
    <w:rsid w:val="006B5DF9"/>
    <w:rsid w:val="006C14D0"/>
    <w:rsid w:val="006E0577"/>
    <w:rsid w:val="006E3602"/>
    <w:rsid w:val="006F6D42"/>
    <w:rsid w:val="00721E62"/>
    <w:rsid w:val="00745C01"/>
    <w:rsid w:val="007563CF"/>
    <w:rsid w:val="00757C8B"/>
    <w:rsid w:val="007705B3"/>
    <w:rsid w:val="007751D9"/>
    <w:rsid w:val="00780C47"/>
    <w:rsid w:val="007B241F"/>
    <w:rsid w:val="007B3A85"/>
    <w:rsid w:val="007B5B29"/>
    <w:rsid w:val="007E3752"/>
    <w:rsid w:val="008443B6"/>
    <w:rsid w:val="00863C67"/>
    <w:rsid w:val="0088010F"/>
    <w:rsid w:val="008B3C0B"/>
    <w:rsid w:val="008B60E9"/>
    <w:rsid w:val="008C1893"/>
    <w:rsid w:val="008C3957"/>
    <w:rsid w:val="008E5887"/>
    <w:rsid w:val="00900BE9"/>
    <w:rsid w:val="0099098F"/>
    <w:rsid w:val="00A11B66"/>
    <w:rsid w:val="00A12D9E"/>
    <w:rsid w:val="00A40CAD"/>
    <w:rsid w:val="00A50F7D"/>
    <w:rsid w:val="00A608B2"/>
    <w:rsid w:val="00A63FAD"/>
    <w:rsid w:val="00A92F8F"/>
    <w:rsid w:val="00AA2309"/>
    <w:rsid w:val="00AA46A2"/>
    <w:rsid w:val="00AB7182"/>
    <w:rsid w:val="00AB7DB5"/>
    <w:rsid w:val="00AE1F70"/>
    <w:rsid w:val="00B1284F"/>
    <w:rsid w:val="00B33314"/>
    <w:rsid w:val="00B517A4"/>
    <w:rsid w:val="00B81C05"/>
    <w:rsid w:val="00B91B89"/>
    <w:rsid w:val="00BD5355"/>
    <w:rsid w:val="00C20BD5"/>
    <w:rsid w:val="00C271DC"/>
    <w:rsid w:val="00C34DA7"/>
    <w:rsid w:val="00C94C25"/>
    <w:rsid w:val="00C97B55"/>
    <w:rsid w:val="00CA1513"/>
    <w:rsid w:val="00CB6858"/>
    <w:rsid w:val="00CC27E3"/>
    <w:rsid w:val="00CD5C55"/>
    <w:rsid w:val="00D10A67"/>
    <w:rsid w:val="00D26E44"/>
    <w:rsid w:val="00D728EF"/>
    <w:rsid w:val="00D807B2"/>
    <w:rsid w:val="00D8243C"/>
    <w:rsid w:val="00D87F35"/>
    <w:rsid w:val="00D97303"/>
    <w:rsid w:val="00DB1228"/>
    <w:rsid w:val="00DC5297"/>
    <w:rsid w:val="00DF5CDF"/>
    <w:rsid w:val="00E1486D"/>
    <w:rsid w:val="00E17477"/>
    <w:rsid w:val="00E26510"/>
    <w:rsid w:val="00E32A05"/>
    <w:rsid w:val="00E3534E"/>
    <w:rsid w:val="00E606A9"/>
    <w:rsid w:val="00E63926"/>
    <w:rsid w:val="00EB189B"/>
    <w:rsid w:val="00EC5A1B"/>
    <w:rsid w:val="00EF24D3"/>
    <w:rsid w:val="00F03608"/>
    <w:rsid w:val="00F055FE"/>
    <w:rsid w:val="00F22849"/>
    <w:rsid w:val="00F342DF"/>
    <w:rsid w:val="00FA6BA9"/>
    <w:rsid w:val="00FB6643"/>
    <w:rsid w:val="00FE3130"/>
    <w:rsid w:val="00FE7D12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B5"/>
  </w:style>
  <w:style w:type="paragraph" w:styleId="Heading1">
    <w:name w:val="heading 1"/>
    <w:basedOn w:val="Normal"/>
    <w:link w:val="Heading1Char"/>
    <w:uiPriority w:val="9"/>
    <w:qFormat/>
    <w:rsid w:val="0032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8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3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32318C"/>
  </w:style>
  <w:style w:type="paragraph" w:styleId="BalloonText">
    <w:name w:val="Balloon Text"/>
    <w:basedOn w:val="Normal"/>
    <w:link w:val="BalloonTextChar"/>
    <w:uiPriority w:val="99"/>
    <w:semiHidden/>
    <w:unhideWhenUsed/>
    <w:rsid w:val="003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8C"/>
    <w:rPr>
      <w:rFonts w:ascii="Tahoma" w:hAnsi="Tahoma" w:cs="Tahoma"/>
      <w:sz w:val="16"/>
      <w:szCs w:val="16"/>
    </w:rPr>
  </w:style>
  <w:style w:type="paragraph" w:customStyle="1" w:styleId="box453543">
    <w:name w:val="box_453543"/>
    <w:basedOn w:val="Normal"/>
    <w:rsid w:val="001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17BE9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5B704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B7044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12"/>
  </w:style>
  <w:style w:type="paragraph" w:styleId="Footer">
    <w:name w:val="footer"/>
    <w:basedOn w:val="Normal"/>
    <w:link w:val="FooterChar"/>
    <w:uiPriority w:val="99"/>
    <w:unhideWhenUsed/>
    <w:rsid w:val="00FE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12"/>
  </w:style>
  <w:style w:type="paragraph" w:styleId="NoSpacing">
    <w:name w:val="No Spacing"/>
    <w:uiPriority w:val="1"/>
    <w:qFormat/>
    <w:rsid w:val="002E6D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051">
          <w:marLeft w:val="1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94DE-FD02-45E9-8161-494216FD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Željko Pavletić</cp:lastModifiedBy>
  <cp:revision>4</cp:revision>
  <cp:lastPrinted>2019-05-14T08:31:00Z</cp:lastPrinted>
  <dcterms:created xsi:type="dcterms:W3CDTF">2019-05-15T11:13:00Z</dcterms:created>
  <dcterms:modified xsi:type="dcterms:W3CDTF">2019-05-15T12:35:00Z</dcterms:modified>
</cp:coreProperties>
</file>